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595CB2">
      <w:pPr>
        <w:spacing w:line="360" w:lineRule="auto"/>
        <w:ind w:firstLine="883" w:firstLineChars="200"/>
        <w:jc w:val="center"/>
        <w:rPr>
          <w:rFonts w:hint="default" w:ascii="宋体" w:hAnsi="宋体" w:eastAsia="宋体"/>
          <w:b/>
          <w:color w:val="000000"/>
          <w:sz w:val="44"/>
          <w:szCs w:val="44"/>
          <w:lang w:val="en-US" w:eastAsia="zh-CN"/>
        </w:rPr>
      </w:pPr>
      <w:r>
        <w:rPr>
          <w:rFonts w:hint="eastAsia" w:ascii="宋体" w:hAnsi="宋体"/>
          <w:b/>
          <w:color w:val="000000"/>
          <w:sz w:val="44"/>
          <w:szCs w:val="44"/>
          <w:lang w:val="en-US" w:eastAsia="zh-CN"/>
        </w:rPr>
        <w:t>编 制 说 明</w:t>
      </w:r>
    </w:p>
    <w:p w14:paraId="73D275BB">
      <w:pPr>
        <w:spacing w:line="360" w:lineRule="auto"/>
        <w:ind w:firstLine="482" w:firstLineChars="200"/>
        <w:jc w:val="left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 xml:space="preserve">一、编制依据                                                   </w:t>
      </w:r>
    </w:p>
    <w:p w14:paraId="0AB85C8C">
      <w:pPr>
        <w:spacing w:line="360" w:lineRule="auto"/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1、中华人民共和国交通运输部2018-12-17发布JTG 3830-2018《公路工程建设项目概算预算编制办法》 (以下简称“编制办法”)。</w:t>
      </w:r>
    </w:p>
    <w:p w14:paraId="298F05CB">
      <w:pPr>
        <w:spacing w:line="360" w:lineRule="auto"/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2、中华人民共和国交通运输部2018-12-17发布JTG/T 3832-2018《公路工程预算定额》。</w:t>
      </w:r>
    </w:p>
    <w:p w14:paraId="6D1AF2E2">
      <w:pPr>
        <w:spacing w:line="360" w:lineRule="auto"/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3、中华人民共和国交通运输部2018-12-17发布JTG/T 3833-2018《公路工程机械台班费用定额》。</w:t>
      </w:r>
    </w:p>
    <w:p w14:paraId="13E2B973">
      <w:pPr>
        <w:spacing w:line="360" w:lineRule="auto"/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4、福建省交通运输厅闽交建（2019）31号文关于印发《福建省公路工程建设项目估算概算预算编制补充规定》的通知(以下简称“补充规定”)。</w:t>
      </w:r>
    </w:p>
    <w:p w14:paraId="768FDC9B">
      <w:pPr>
        <w:spacing w:line="360" w:lineRule="auto"/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5、福建省交通工程造价站闽交价（2019）35号《福建省交通工程造价站关于公布〈福建省公路工程机械台班车船使用税标准〉的通知》。</w:t>
      </w:r>
    </w:p>
    <w:p w14:paraId="24A9CD2C">
      <w:pPr>
        <w:spacing w:line="360" w:lineRule="auto"/>
        <w:ind w:firstLine="480" w:firstLineChars="200"/>
        <w:rPr>
          <w:rFonts w:hint="eastAsia" w:ascii="宋体" w:hAnsi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6、《福建省公路水运造价管理实施细则(试行)》(闽交建函﹝2018﹞149 号)。</w:t>
      </w:r>
    </w:p>
    <w:p w14:paraId="45AC0C28">
      <w:pPr>
        <w:spacing w:line="360" w:lineRule="auto"/>
        <w:ind w:firstLine="480" w:firstLineChars="200"/>
        <w:rPr>
          <w:rFonts w:hint="eastAsia" w:ascii="宋体" w:hAnsi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7、福建省公安厅治安管理总队发布的《关于做好电子雷管推广使用工作的通知》。</w:t>
      </w:r>
    </w:p>
    <w:p w14:paraId="241DBD3A">
      <w:pPr>
        <w:spacing w:line="360" w:lineRule="auto"/>
        <w:ind w:firstLine="480" w:firstLineChars="200"/>
        <w:rPr>
          <w:rFonts w:hint="default" w:ascii="宋体" w:hAnsi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8、</w:t>
      </w:r>
      <w:r>
        <w:rPr>
          <w:rFonts w:hint="eastAsia" w:ascii="宋体" w:hAnsi="宋体"/>
          <w:sz w:val="24"/>
          <w:szCs w:val="24"/>
        </w:rPr>
        <w:t>闽交价函【2022】29号</w:t>
      </w:r>
      <w:r>
        <w:rPr>
          <w:rFonts w:hint="eastAsia" w:ascii="宋体" w:hAnsi="宋体"/>
          <w:sz w:val="24"/>
          <w:szCs w:val="24"/>
          <w:lang w:val="en-US" w:eastAsia="zh-CN"/>
        </w:rPr>
        <w:t>关于</w:t>
      </w:r>
      <w:r>
        <w:rPr>
          <w:rFonts w:hint="eastAsia" w:ascii="宋体" w:hAnsi="宋体"/>
          <w:sz w:val="24"/>
          <w:szCs w:val="24"/>
        </w:rPr>
        <w:t>《福建省交通运输工程材料运杂费参考信息价》的通知。</w:t>
      </w:r>
    </w:p>
    <w:p w14:paraId="6D3E7635">
      <w:pPr>
        <w:spacing w:line="360" w:lineRule="auto"/>
        <w:ind w:firstLine="480" w:firstLineChars="200"/>
        <w:rPr>
          <w:rFonts w:hint="eastAsia" w:ascii="宋体" w:hAnsi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9、按照《编制办法》 的要求根据设计图纸的工程数量，利用同望WECOST 公路工程造价管理系统WEC10.8软件进行编制。</w:t>
      </w:r>
    </w:p>
    <w:p w14:paraId="18F72C21">
      <w:pPr>
        <w:spacing w:line="360" w:lineRule="auto"/>
        <w:ind w:firstLine="482" w:firstLineChars="200"/>
        <w:jc w:val="left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二、费用计算</w:t>
      </w:r>
    </w:p>
    <w:p w14:paraId="7B5C149F">
      <w:pPr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各类取费根据“编制办法”、及“补充规定”计取各项费用。</w:t>
      </w:r>
    </w:p>
    <w:p w14:paraId="5FEF1E09">
      <w:pPr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1、直接费</w:t>
      </w:r>
    </w:p>
    <w:p w14:paraId="2886B4B1">
      <w:pPr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（1）、人工单价：根据闽交建（2019）31号文印发《福建省公路工程建设项目估算概算预算编制补充规定》的通知，人工费按112元/工日计取（含机械工）；</w:t>
      </w:r>
    </w:p>
    <w:p w14:paraId="1FA5C4B2">
      <w:pPr>
        <w:tabs>
          <w:tab w:val="left" w:pos="3629"/>
        </w:tabs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color w:val="000000"/>
          <w:sz w:val="24"/>
        </w:rPr>
        <w:t>（2）、材料单价：</w:t>
      </w:r>
      <w:r>
        <w:rPr>
          <w:rFonts w:hint="eastAsia" w:ascii="宋体" w:hAnsi="宋体" w:eastAsia="宋体" w:cs="Times New Roman"/>
          <w:sz w:val="24"/>
        </w:rPr>
        <w:t>采用</w:t>
      </w:r>
      <w:r>
        <w:rPr>
          <w:rFonts w:hint="eastAsia" w:ascii="宋体" w:hAnsi="宋体" w:eastAsia="宋体" w:cs="Times New Roman"/>
          <w:sz w:val="24"/>
          <w:lang w:val="en-US" w:eastAsia="zh-CN"/>
        </w:rPr>
        <w:t>《</w:t>
      </w:r>
      <w:r>
        <w:rPr>
          <w:rFonts w:hint="eastAsia" w:ascii="宋体" w:hAnsi="宋体" w:eastAsia="宋体" w:cs="Times New Roman"/>
          <w:sz w:val="24"/>
        </w:rPr>
        <w:t>福建省交通（公路、水运）工程各市主要材料</w:t>
      </w:r>
      <w:r>
        <w:rPr>
          <w:rFonts w:hint="eastAsia" w:ascii="宋体" w:hAnsi="宋体" w:eastAsia="宋体" w:cs="Times New Roman"/>
          <w:sz w:val="24"/>
          <w:lang w:val="en-US" w:eastAsia="zh-CN"/>
        </w:rPr>
        <w:t>材料价格信息</w:t>
      </w:r>
      <w:r>
        <w:rPr>
          <w:rFonts w:hint="eastAsia" w:ascii="宋体" w:hAnsi="宋体" w:eastAsia="宋体" w:cs="Times New Roman"/>
          <w:sz w:val="24"/>
          <w:lang w:eastAsia="zh-CN"/>
        </w:rPr>
        <w:t>》</w:t>
      </w:r>
      <w:r>
        <w:rPr>
          <w:rFonts w:hint="eastAsia" w:ascii="宋体" w:hAnsi="宋体" w:eastAsia="宋体" w:cs="Times New Roman"/>
          <w:sz w:val="24"/>
          <w:lang w:val="en-US" w:eastAsia="zh-CN"/>
        </w:rPr>
        <w:t>2025年</w:t>
      </w:r>
      <w:r>
        <w:rPr>
          <w:rFonts w:hint="eastAsia" w:ascii="宋体" w:hAnsi="宋体" w:cs="Times New Roman"/>
          <w:sz w:val="24"/>
          <w:lang w:val="en-US" w:eastAsia="zh-CN"/>
        </w:rPr>
        <w:t>3</w:t>
      </w:r>
      <w:r>
        <w:rPr>
          <w:rFonts w:hint="eastAsia" w:ascii="宋体" w:hAnsi="宋体" w:eastAsia="宋体" w:cs="Times New Roman"/>
          <w:sz w:val="24"/>
          <w:lang w:val="en-US" w:eastAsia="zh-CN"/>
        </w:rPr>
        <w:t>月三明</w:t>
      </w:r>
      <w:r>
        <w:rPr>
          <w:rFonts w:hint="eastAsia" w:ascii="宋体" w:hAnsi="宋体" w:eastAsia="宋体" w:cs="Times New Roman"/>
          <w:sz w:val="24"/>
        </w:rPr>
        <w:t>市主要材料除税价格，在</w:t>
      </w:r>
      <w:r>
        <w:rPr>
          <w:rFonts w:hint="eastAsia" w:ascii="宋体" w:hAnsi="宋体" w:eastAsia="宋体" w:cs="Times New Roman"/>
          <w:sz w:val="24"/>
          <w:lang w:val="en-US" w:eastAsia="zh-CN"/>
        </w:rPr>
        <w:t>《</w:t>
      </w:r>
      <w:r>
        <w:rPr>
          <w:rFonts w:hint="eastAsia" w:ascii="宋体" w:hAnsi="宋体" w:eastAsia="宋体" w:cs="Times New Roman"/>
          <w:sz w:val="24"/>
        </w:rPr>
        <w:t>福建省交通（公路、水运）工程各市主要材料</w:t>
      </w:r>
      <w:r>
        <w:rPr>
          <w:rFonts w:hint="eastAsia" w:ascii="宋体" w:hAnsi="宋体" w:eastAsia="宋体" w:cs="Times New Roman"/>
          <w:sz w:val="24"/>
          <w:lang w:val="en-US" w:eastAsia="zh-CN"/>
        </w:rPr>
        <w:t>材料价格信息</w:t>
      </w:r>
      <w:r>
        <w:rPr>
          <w:rFonts w:hint="eastAsia" w:ascii="宋体" w:hAnsi="宋体" w:eastAsia="宋体" w:cs="Times New Roman"/>
          <w:sz w:val="24"/>
          <w:lang w:eastAsia="zh-CN"/>
        </w:rPr>
        <w:t>》</w:t>
      </w:r>
      <w:r>
        <w:rPr>
          <w:rFonts w:hint="eastAsia" w:ascii="宋体" w:hAnsi="宋体" w:eastAsia="宋体" w:cs="Times New Roman"/>
          <w:sz w:val="24"/>
        </w:rPr>
        <w:t>中未编录的材料单价参照</w:t>
      </w:r>
      <w:r>
        <w:rPr>
          <w:rFonts w:hint="eastAsia" w:ascii="宋体" w:hAnsi="宋体" w:eastAsia="宋体" w:cs="Times New Roman"/>
          <w:sz w:val="24"/>
          <w:lang w:val="en-US" w:eastAsia="zh-CN"/>
        </w:rPr>
        <w:t>三明市</w:t>
      </w:r>
      <w:r>
        <w:rPr>
          <w:rFonts w:hint="eastAsia" w:ascii="宋体" w:hAnsi="宋体" w:eastAsia="宋体" w:cs="Times New Roman"/>
          <w:sz w:val="24"/>
        </w:rPr>
        <w:t>市建设主管部门发布的</w:t>
      </w:r>
      <w:r>
        <w:rPr>
          <w:rFonts w:hint="eastAsia" w:ascii="宋体" w:hAnsi="宋体" w:eastAsia="宋体" w:cs="Times New Roman"/>
          <w:sz w:val="24"/>
          <w:lang w:val="en-US" w:eastAsia="zh-CN"/>
        </w:rPr>
        <w:t>三明</w:t>
      </w:r>
      <w:r>
        <w:rPr>
          <w:rFonts w:hint="eastAsia" w:ascii="宋体" w:hAnsi="宋体" w:eastAsia="宋体" w:cs="Times New Roman"/>
          <w:sz w:val="24"/>
        </w:rPr>
        <w:t>202</w:t>
      </w:r>
      <w:r>
        <w:rPr>
          <w:rFonts w:hint="eastAsia" w:ascii="宋体" w:hAnsi="宋体" w:eastAsia="宋体" w:cs="Times New Roman"/>
          <w:sz w:val="24"/>
          <w:lang w:val="en-US" w:eastAsia="zh-CN"/>
        </w:rPr>
        <w:t>5</w:t>
      </w:r>
      <w:r>
        <w:rPr>
          <w:rFonts w:hint="eastAsia" w:ascii="宋体" w:hAnsi="宋体" w:eastAsia="宋体" w:cs="Times New Roman"/>
          <w:sz w:val="24"/>
        </w:rPr>
        <w:t>年第</w:t>
      </w:r>
      <w:r>
        <w:rPr>
          <w:rFonts w:hint="eastAsia" w:ascii="宋体" w:hAnsi="宋体" w:cs="Times New Roman"/>
          <w:sz w:val="24"/>
          <w:lang w:val="en-US" w:eastAsia="zh-CN"/>
        </w:rPr>
        <w:t>4</w:t>
      </w:r>
      <w:r>
        <w:rPr>
          <w:rFonts w:hint="eastAsia" w:ascii="宋体" w:hAnsi="宋体" w:eastAsia="宋体" w:cs="Times New Roman"/>
          <w:sz w:val="24"/>
          <w:lang w:val="en-US" w:eastAsia="zh-CN"/>
        </w:rPr>
        <w:t>月</w:t>
      </w:r>
      <w:r>
        <w:rPr>
          <w:rFonts w:hint="eastAsia" w:ascii="宋体" w:hAnsi="宋体" w:eastAsia="宋体" w:cs="Times New Roman"/>
          <w:sz w:val="24"/>
        </w:rPr>
        <w:t>《</w:t>
      </w:r>
      <w:r>
        <w:rPr>
          <w:rFonts w:hint="eastAsia" w:ascii="宋体" w:hAnsi="宋体" w:eastAsia="宋体" w:cs="Times New Roman"/>
          <w:sz w:val="24"/>
          <w:lang w:val="en-US" w:eastAsia="zh-CN"/>
        </w:rPr>
        <w:t>三明</w:t>
      </w:r>
      <w:r>
        <w:rPr>
          <w:rFonts w:hint="eastAsia" w:ascii="宋体" w:hAnsi="宋体" w:eastAsia="宋体" w:cs="Times New Roman"/>
          <w:sz w:val="24"/>
        </w:rPr>
        <w:t>工程造价信息》中</w:t>
      </w:r>
      <w:r>
        <w:rPr>
          <w:rFonts w:hint="eastAsia" w:ascii="宋体" w:hAnsi="宋体" w:eastAsia="宋体" w:cs="Times New Roman"/>
          <w:sz w:val="24"/>
          <w:lang w:val="en-US" w:eastAsia="zh-CN"/>
        </w:rPr>
        <w:t>沙县区</w:t>
      </w:r>
      <w:r>
        <w:rPr>
          <w:rFonts w:hint="eastAsia" w:ascii="宋体" w:hAnsi="宋体" w:eastAsia="宋体" w:cs="Times New Roman"/>
          <w:sz w:val="24"/>
        </w:rPr>
        <w:t>的材料税前综合价格，</w:t>
      </w:r>
      <w:r>
        <w:rPr>
          <w:rFonts w:hint="eastAsia" w:ascii="宋体" w:hAnsi="宋体" w:eastAsia="宋体" w:cs="Times New Roman"/>
          <w:sz w:val="24"/>
          <w:lang w:val="en-US" w:eastAsia="zh-CN"/>
        </w:rPr>
        <w:t>地材价格参考《三明市2025年</w:t>
      </w:r>
      <w:r>
        <w:rPr>
          <w:rFonts w:hint="eastAsia" w:ascii="宋体" w:hAnsi="宋体" w:cs="Times New Roman"/>
          <w:sz w:val="24"/>
          <w:lang w:val="en-US" w:eastAsia="zh-CN"/>
        </w:rPr>
        <w:t>3</w:t>
      </w:r>
      <w:r>
        <w:rPr>
          <w:rFonts w:hint="eastAsia" w:ascii="宋体" w:hAnsi="宋体" w:eastAsia="宋体" w:cs="Times New Roman"/>
          <w:sz w:val="24"/>
          <w:lang w:val="en-US" w:eastAsia="zh-CN"/>
        </w:rPr>
        <w:t>月份交通工程地方材料价格信息汇总表》</w:t>
      </w:r>
      <w:r>
        <w:rPr>
          <w:rFonts w:hint="eastAsia" w:ascii="宋体" w:hAnsi="宋体" w:eastAsia="宋体" w:cs="Times New Roman"/>
          <w:sz w:val="24"/>
        </w:rPr>
        <w:t>。</w:t>
      </w:r>
    </w:p>
    <w:p w14:paraId="0632F0B6"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</w:t>
      </w:r>
      <w:r>
        <w:rPr>
          <w:rFonts w:hint="eastAsia" w:ascii="宋体" w:hAnsi="宋体"/>
          <w:color w:val="000000"/>
          <w:sz w:val="24"/>
          <w:lang w:val="en-US" w:eastAsia="zh-CN"/>
        </w:rPr>
        <w:t>4</w:t>
      </w:r>
      <w:r>
        <w:rPr>
          <w:rFonts w:hint="eastAsia" w:ascii="宋体" w:hAnsi="宋体"/>
          <w:color w:val="000000"/>
          <w:sz w:val="24"/>
        </w:rPr>
        <w:t>）、机械台班费：采用中华人民共和国交通运输部2018-12-17发布JTG/T 3833-2018《公路工程机械台班费用定额》为依据计算；车船使用税按福建省交通工程造价站发闽交价（2019）35号文件执行。</w:t>
      </w:r>
    </w:p>
    <w:p w14:paraId="3149A623">
      <w:pPr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2、设备费：</w:t>
      </w:r>
      <w:r>
        <w:rPr>
          <w:rFonts w:hint="eastAsia" w:ascii="宋体" w:hAnsi="宋体"/>
          <w:color w:val="000000"/>
          <w:sz w:val="24"/>
          <w:lang w:val="en-US" w:eastAsia="zh-CN"/>
        </w:rPr>
        <w:t>详见设备计算表</w:t>
      </w:r>
      <w:r>
        <w:rPr>
          <w:rFonts w:hint="eastAsia" w:ascii="宋体" w:hAnsi="宋体"/>
          <w:color w:val="000000"/>
          <w:sz w:val="24"/>
        </w:rPr>
        <w:t>。</w:t>
      </w:r>
    </w:p>
    <w:p w14:paraId="5018C906">
      <w:pPr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3、措施费</w:t>
      </w:r>
    </w:p>
    <w:p w14:paraId="25C15767">
      <w:pPr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（1）、冬季施工增加费：按“编制办法”规定，</w:t>
      </w:r>
      <w:r>
        <w:rPr>
          <w:rFonts w:hint="eastAsia" w:ascii="宋体" w:hAnsi="宋体"/>
          <w:color w:val="000000"/>
          <w:sz w:val="24"/>
          <w:lang w:val="en-US" w:eastAsia="zh-CN"/>
        </w:rPr>
        <w:t>准一区</w:t>
      </w:r>
      <w:r>
        <w:rPr>
          <w:rFonts w:hint="eastAsia" w:ascii="宋体" w:hAnsi="宋体"/>
          <w:color w:val="000000"/>
          <w:sz w:val="24"/>
        </w:rPr>
        <w:t>。；</w:t>
      </w:r>
    </w:p>
    <w:p w14:paraId="685DAF48">
      <w:pPr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（2）、雨季施工增加费：按“编制办法”所列Ⅱ类雨量区、雨季</w:t>
      </w:r>
      <w:r>
        <w:rPr>
          <w:rFonts w:hint="eastAsia" w:ascii="宋体" w:hAnsi="宋体"/>
          <w:color w:val="000000"/>
          <w:sz w:val="24"/>
          <w:lang w:val="en-US" w:eastAsia="zh-CN"/>
        </w:rPr>
        <w:t>7</w:t>
      </w:r>
      <w:r>
        <w:rPr>
          <w:rFonts w:hint="eastAsia" w:ascii="宋体" w:hAnsi="宋体"/>
          <w:color w:val="000000"/>
          <w:sz w:val="24"/>
        </w:rPr>
        <w:t>个月的费率；</w:t>
      </w:r>
    </w:p>
    <w:p w14:paraId="1828FDDF">
      <w:pPr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（3）、夜间施工增加费：未计列；</w:t>
      </w:r>
    </w:p>
    <w:p w14:paraId="4DB47B6D">
      <w:pPr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（4）、特殊地区施工增加费：按“编制办法”规定，该地区不计列；</w:t>
      </w:r>
    </w:p>
    <w:p w14:paraId="1758DED2">
      <w:pPr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（5）、行车干扰施工增加费：</w:t>
      </w:r>
      <w:r>
        <w:rPr>
          <w:rFonts w:hint="eastAsia" w:ascii="宋体" w:hAnsi="宋体"/>
          <w:sz w:val="24"/>
          <w:lang w:val="en-US" w:eastAsia="zh-CN"/>
        </w:rPr>
        <w:t>按 51~100计取</w:t>
      </w:r>
      <w:r>
        <w:rPr>
          <w:rFonts w:hint="eastAsia" w:ascii="宋体" w:hAnsi="宋体"/>
          <w:color w:val="000000"/>
          <w:sz w:val="24"/>
        </w:rPr>
        <w:t>；</w:t>
      </w:r>
    </w:p>
    <w:p w14:paraId="690ED7DB">
      <w:pPr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（6）、施工辅助费：按“编制办法”规定计列；</w:t>
      </w:r>
    </w:p>
    <w:p w14:paraId="290DB500">
      <w:pPr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（7）、工地转移费：按50km计列。</w:t>
      </w:r>
    </w:p>
    <w:p w14:paraId="42165A5A">
      <w:pPr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4、企业管理费</w:t>
      </w:r>
    </w:p>
    <w:p w14:paraId="228790CB">
      <w:pPr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（1）、基本费用：按“编制办法”规定计列；</w:t>
      </w:r>
    </w:p>
    <w:p w14:paraId="1BB8DF38">
      <w:pPr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（2）、主副食运费补贴：按</w:t>
      </w:r>
      <w:r>
        <w:rPr>
          <w:rFonts w:hint="eastAsia" w:ascii="宋体" w:hAnsi="宋体"/>
          <w:color w:val="000000"/>
          <w:sz w:val="24"/>
          <w:lang w:val="en-US" w:eastAsia="zh-CN"/>
        </w:rPr>
        <w:t>3</w:t>
      </w:r>
      <w:r>
        <w:rPr>
          <w:rFonts w:hint="eastAsia" w:ascii="宋体" w:hAnsi="宋体"/>
          <w:color w:val="000000"/>
          <w:sz w:val="24"/>
        </w:rPr>
        <w:t>km计列；</w:t>
      </w:r>
    </w:p>
    <w:p w14:paraId="040FAE9D">
      <w:pPr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（3）、职工探亲路费：未计列；</w:t>
      </w:r>
    </w:p>
    <w:p w14:paraId="6468B791">
      <w:pPr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（4）、职工取暖补贴：未计列；</w:t>
      </w:r>
    </w:p>
    <w:p w14:paraId="447E7AA5">
      <w:pPr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（5）、财务费用：按“编制办法”规定计列；</w:t>
      </w:r>
    </w:p>
    <w:p w14:paraId="24CA440B">
      <w:pPr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5、规费（根据“补充规定”）</w:t>
      </w:r>
    </w:p>
    <w:p w14:paraId="696FB35A">
      <w:pPr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（1）、养老保险费：施工企业按福建省规定标准为职工缴纳基本养老保险费，费率为16%；</w:t>
      </w:r>
    </w:p>
    <w:p w14:paraId="4D84D081">
      <w:pPr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（2）、失业保险费：施工企业按福建省规定标准为职工缴纳失业保险费，费率为0.5%；</w:t>
      </w:r>
    </w:p>
    <w:p w14:paraId="3BE00202">
      <w:pPr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（3）、医疗保险费：施工企业按福建省规定标准为职工缴纳医疗保险费（含生育保险费），费率为8.5%；</w:t>
      </w:r>
    </w:p>
    <w:p w14:paraId="7A3B8690">
      <w:pPr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（4）、工伤保险费：规费中费率取零，按照项目总造价的千分之一点五单独计列；</w:t>
      </w:r>
    </w:p>
    <w:p w14:paraId="2DF94778">
      <w:pPr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（5）、住房公积金：施工企业按福建省规定标准为职工缴纳住房公积金，费率为8.5%；</w:t>
      </w:r>
    </w:p>
    <w:p w14:paraId="47C0AC0A">
      <w:pPr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6、利润及税金</w:t>
      </w:r>
    </w:p>
    <w:p w14:paraId="3C8AFB2E">
      <w:pPr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利润：根据“编制办法”规定，按定额直接费及措施费、企业管理费之和的7.42%计算。</w:t>
      </w:r>
    </w:p>
    <w:p w14:paraId="2B056120">
      <w:pPr>
        <w:spacing w:line="360" w:lineRule="auto"/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税金：交通运输部公告2019年第26号文关于调整《公路工程建设项目投资估算编制办法》(JTG 3820-2018)和《公路工程建设项目概算预算编制办法》(JTG 3830-2018)中“税金”有关规定的公告，增值税税率调整为9%。</w:t>
      </w:r>
    </w:p>
    <w:p w14:paraId="32143FB7">
      <w:pPr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7、保险费</w:t>
      </w:r>
    </w:p>
    <w:p w14:paraId="2FC4C758">
      <w:pPr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（</w:t>
      </w:r>
      <w:r>
        <w:rPr>
          <w:rFonts w:hint="eastAsia" w:ascii="宋体" w:hAnsi="宋体"/>
          <w:color w:val="000000"/>
          <w:sz w:val="24"/>
          <w:lang w:val="en-US" w:eastAsia="zh-CN"/>
        </w:rPr>
        <w:t>1</w:t>
      </w:r>
      <w:r>
        <w:rPr>
          <w:rFonts w:hint="eastAsia" w:ascii="宋体" w:hAnsi="宋体"/>
          <w:color w:val="000000"/>
          <w:sz w:val="24"/>
        </w:rPr>
        <w:t>）、工程保险费：以建筑安装工程费（不含设备费）为基数，按0.4%费率计算。</w:t>
      </w:r>
    </w:p>
    <w:p w14:paraId="154A29F5">
      <w:pPr>
        <w:spacing w:line="360" w:lineRule="auto"/>
        <w:ind w:firstLine="480" w:firstLineChars="200"/>
        <w:jc w:val="left"/>
        <w:rPr>
          <w:rFonts w:hint="default" w:ascii="宋体" w:hAnsi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  <w:lang w:eastAsia="zh-CN"/>
        </w:rPr>
        <w:t>（</w:t>
      </w:r>
      <w:r>
        <w:rPr>
          <w:rFonts w:hint="eastAsia" w:ascii="宋体" w:hAnsi="宋体"/>
          <w:color w:val="000000"/>
          <w:sz w:val="24"/>
          <w:lang w:val="en-US" w:eastAsia="zh-CN"/>
        </w:rPr>
        <w:t>2</w:t>
      </w:r>
      <w:r>
        <w:rPr>
          <w:rFonts w:hint="eastAsia" w:ascii="宋体" w:hAnsi="宋体"/>
          <w:color w:val="000000"/>
          <w:sz w:val="24"/>
          <w:lang w:eastAsia="zh-CN"/>
        </w:rPr>
        <w:t>）、</w:t>
      </w:r>
      <w:r>
        <w:rPr>
          <w:rFonts w:hint="eastAsia" w:ascii="宋体" w:hAnsi="宋体"/>
          <w:color w:val="000000"/>
          <w:sz w:val="24"/>
          <w:lang w:val="en-US" w:eastAsia="zh-CN"/>
        </w:rPr>
        <w:t>工伤保险费：</w:t>
      </w:r>
      <w:r>
        <w:rPr>
          <w:rFonts w:hint="eastAsia" w:ascii="宋体" w:hAnsi="宋体"/>
          <w:color w:val="000000"/>
          <w:sz w:val="24"/>
        </w:rPr>
        <w:t>以建筑安装工程费为基数，按0.</w:t>
      </w:r>
      <w:r>
        <w:rPr>
          <w:rFonts w:hint="eastAsia" w:ascii="宋体" w:hAnsi="宋体"/>
          <w:color w:val="000000"/>
          <w:sz w:val="24"/>
          <w:lang w:val="en-US" w:eastAsia="zh-CN"/>
        </w:rPr>
        <w:t>15</w:t>
      </w:r>
      <w:r>
        <w:rPr>
          <w:rFonts w:hint="eastAsia" w:ascii="宋体" w:hAnsi="宋体"/>
          <w:color w:val="000000"/>
          <w:sz w:val="24"/>
        </w:rPr>
        <w:t>%费率计算。</w:t>
      </w:r>
    </w:p>
    <w:p w14:paraId="3CFADF55">
      <w:pPr>
        <w:spacing w:line="360" w:lineRule="auto"/>
        <w:ind w:firstLine="480" w:firstLineChars="200"/>
        <w:jc w:val="left"/>
        <w:rPr>
          <w:rFonts w:hint="default" w:ascii="宋体" w:hAnsi="宋体" w:eastAsia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8</w:t>
      </w:r>
      <w:r>
        <w:rPr>
          <w:rFonts w:hint="eastAsia" w:ascii="宋体" w:hAnsi="宋体"/>
          <w:color w:val="000000"/>
          <w:sz w:val="24"/>
        </w:rPr>
        <w:t>、</w:t>
      </w:r>
      <w:r>
        <w:rPr>
          <w:rFonts w:hint="eastAsia" w:ascii="宋体" w:hAnsi="宋体"/>
          <w:color w:val="000000"/>
          <w:sz w:val="24"/>
          <w:lang w:val="en-US" w:eastAsia="zh-CN"/>
        </w:rPr>
        <w:t>暂列金</w:t>
      </w:r>
    </w:p>
    <w:p w14:paraId="23A35791">
      <w:pPr>
        <w:spacing w:line="360" w:lineRule="auto"/>
        <w:ind w:firstLine="480" w:firstLineChars="200"/>
        <w:jc w:val="left"/>
        <w:rPr>
          <w:rFonts w:hint="eastAsia" w:ascii="宋体" w:hAnsi="宋体" w:cs="Times New Roman"/>
          <w:color w:val="000000"/>
          <w:sz w:val="24"/>
          <w:lang w:eastAsia="zh-CN"/>
        </w:rPr>
      </w:pPr>
      <w:r>
        <w:rPr>
          <w:rFonts w:hint="eastAsia" w:ascii="宋体" w:hAnsi="宋体"/>
          <w:color w:val="000000"/>
          <w:sz w:val="24"/>
        </w:rPr>
        <w:t>（1）、</w:t>
      </w:r>
      <w:r>
        <w:rPr>
          <w:rFonts w:hint="eastAsia" w:ascii="宋体" w:hAnsi="宋体"/>
          <w:color w:val="000000"/>
          <w:sz w:val="24"/>
          <w:lang w:val="en-US" w:eastAsia="zh-CN"/>
        </w:rPr>
        <w:t>暂列金</w:t>
      </w:r>
      <w:r>
        <w:rPr>
          <w:rFonts w:hint="eastAsia" w:ascii="宋体" w:hAnsi="宋体" w:eastAsia="宋体" w:cs="Times New Roman"/>
          <w:color w:val="000000"/>
          <w:sz w:val="24"/>
        </w:rPr>
        <w:t>：按</w:t>
      </w:r>
      <w:r>
        <w:rPr>
          <w:rFonts w:hint="eastAsia" w:ascii="宋体" w:hAnsi="宋体" w:cs="Times New Roman"/>
          <w:color w:val="000000"/>
          <w:sz w:val="24"/>
          <w:lang w:val="en-US" w:eastAsia="zh-CN"/>
        </w:rPr>
        <w:t>5</w:t>
      </w:r>
      <w:r>
        <w:rPr>
          <w:rFonts w:hint="eastAsia" w:ascii="宋体" w:hAnsi="宋体" w:eastAsia="宋体" w:cs="Times New Roman"/>
          <w:color w:val="000000"/>
          <w:sz w:val="24"/>
        </w:rPr>
        <w:t>%计列</w:t>
      </w:r>
      <w:r>
        <w:rPr>
          <w:rFonts w:hint="eastAsia" w:ascii="宋体" w:hAnsi="宋体" w:cs="Times New Roman"/>
          <w:color w:val="000000"/>
          <w:sz w:val="24"/>
          <w:lang w:eastAsia="zh-CN"/>
        </w:rPr>
        <w:t>。</w:t>
      </w:r>
    </w:p>
    <w:p w14:paraId="79B66C01">
      <w:pPr>
        <w:spacing w:line="360" w:lineRule="auto"/>
        <w:ind w:firstLine="482" w:firstLineChars="200"/>
        <w:jc w:val="left"/>
        <w:rPr>
          <w:rFonts w:hint="eastAsia" w:ascii="宋体" w:hAnsi="宋体"/>
          <w:b/>
          <w:color w:val="000000"/>
          <w:sz w:val="24"/>
          <w:lang w:val="en-US" w:eastAsia="zh-CN"/>
        </w:rPr>
      </w:pPr>
      <w:r>
        <w:rPr>
          <w:rFonts w:hint="eastAsia" w:ascii="宋体" w:hAnsi="宋体"/>
          <w:b/>
          <w:color w:val="000000"/>
          <w:sz w:val="24"/>
          <w:lang w:val="en-US" w:eastAsia="zh-CN"/>
        </w:rPr>
        <w:t>三</w:t>
      </w:r>
      <w:r>
        <w:rPr>
          <w:rFonts w:hint="eastAsia" w:ascii="宋体" w:hAnsi="宋体"/>
          <w:b/>
          <w:color w:val="000000"/>
          <w:sz w:val="24"/>
        </w:rPr>
        <w:t>、</w:t>
      </w:r>
      <w:r>
        <w:rPr>
          <w:rFonts w:hint="eastAsia" w:ascii="宋体" w:hAnsi="宋体"/>
          <w:b/>
          <w:color w:val="000000"/>
          <w:sz w:val="24"/>
          <w:lang w:val="en-US" w:eastAsia="zh-CN"/>
        </w:rPr>
        <w:t>审核说明</w:t>
      </w:r>
    </w:p>
    <w:p w14:paraId="0BD41808">
      <w:pPr>
        <w:spacing w:line="360" w:lineRule="auto"/>
        <w:ind w:firstLine="480" w:firstLineChars="200"/>
        <w:jc w:val="left"/>
        <w:rPr>
          <w:rFonts w:hint="eastAsia" w:ascii="宋体" w:hAnsi="宋体"/>
          <w:b w:val="0"/>
          <w:bCs/>
          <w:color w:val="000000"/>
          <w:sz w:val="24"/>
          <w:lang w:val="en-US" w:eastAsia="zh-CN"/>
        </w:rPr>
      </w:pPr>
      <w:r>
        <w:rPr>
          <w:rFonts w:hint="eastAsia" w:ascii="宋体" w:hAnsi="宋体"/>
          <w:b w:val="0"/>
          <w:bCs/>
          <w:color w:val="000000"/>
          <w:sz w:val="24"/>
          <w:lang w:val="en-US" w:eastAsia="zh-CN"/>
        </w:rPr>
        <w:t>1、水沟壁厚改为15cm，数量增加3.4m3，造价增加2040元。</w:t>
      </w:r>
    </w:p>
    <w:p w14:paraId="5B0E155E">
      <w:pPr>
        <w:spacing w:line="360" w:lineRule="auto"/>
        <w:ind w:firstLine="480" w:firstLineChars="200"/>
        <w:jc w:val="left"/>
        <w:rPr>
          <w:rFonts w:hint="default" w:ascii="宋体" w:hAnsi="宋体"/>
          <w:b w:val="0"/>
          <w:bCs/>
          <w:color w:val="000000"/>
          <w:sz w:val="24"/>
          <w:lang w:val="en-US" w:eastAsia="zh-CN"/>
        </w:rPr>
      </w:pPr>
      <w:r>
        <w:rPr>
          <w:rFonts w:hint="eastAsia" w:ascii="宋体" w:hAnsi="宋体"/>
          <w:b w:val="0"/>
          <w:bCs/>
          <w:color w:val="000000"/>
          <w:sz w:val="24"/>
          <w:lang w:val="en-US" w:eastAsia="zh-CN"/>
        </w:rPr>
        <w:t>2、钢筋（含植筋）按路面拓宽长度计算，钢筋及</w:t>
      </w:r>
      <w:r>
        <w:rPr>
          <w:rFonts w:hint="eastAsia" w:ascii="宋体" w:hAnsi="宋体"/>
          <w:b w:val="0"/>
          <w:bCs/>
          <w:color w:val="000000"/>
          <w:sz w:val="24"/>
          <w:lang w:val="en-US" w:eastAsia="zh-CN"/>
        </w:rPr>
        <w:t>植筋数量增加，造价增加7524元。</w:t>
      </w:r>
      <w:bookmarkStart w:id="0" w:name="_GoBack"/>
      <w:bookmarkEnd w:id="0"/>
    </w:p>
    <w:p w14:paraId="4B95D460">
      <w:pPr>
        <w:spacing w:line="360" w:lineRule="auto"/>
        <w:ind w:firstLine="480" w:firstLineChars="200"/>
        <w:jc w:val="left"/>
        <w:rPr>
          <w:rFonts w:hint="default" w:ascii="宋体" w:hAnsi="宋体"/>
          <w:b w:val="0"/>
          <w:bCs/>
          <w:color w:val="000000"/>
          <w:sz w:val="24"/>
          <w:lang w:val="en-US" w:eastAsia="zh-CN"/>
        </w:rPr>
      </w:pPr>
    </w:p>
    <w:p w14:paraId="392256F0">
      <w:pPr>
        <w:spacing w:line="360" w:lineRule="auto"/>
        <w:ind w:firstLine="480" w:firstLineChars="200"/>
        <w:jc w:val="left"/>
        <w:rPr>
          <w:rFonts w:hint="eastAsia" w:ascii="宋体" w:hAnsi="宋体" w:cs="Times New Roman"/>
          <w:color w:val="000000"/>
          <w:sz w:val="24"/>
          <w:lang w:val="en-US" w:eastAsia="zh-CN"/>
        </w:rPr>
      </w:pPr>
    </w:p>
    <w:p w14:paraId="2758FB32">
      <w:pPr>
        <w:spacing w:line="360" w:lineRule="auto"/>
        <w:ind w:firstLine="480" w:firstLineChars="200"/>
        <w:jc w:val="left"/>
        <w:rPr>
          <w:rFonts w:hint="eastAsia" w:ascii="宋体" w:hAnsi="宋体" w:cs="Times New Roman"/>
          <w:color w:val="000000"/>
          <w:sz w:val="24"/>
          <w:lang w:val="en-US" w:eastAsia="zh-CN"/>
        </w:rPr>
      </w:pPr>
    </w:p>
    <w:p w14:paraId="41AC5148">
      <w:pPr>
        <w:rPr>
          <w:rFonts w:hint="eastAsia" w:ascii="宋体" w:hAnsi="宋体"/>
          <w:color w:val="000000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F3586E"/>
    <w:rsid w:val="614C0C50"/>
    <w:rsid w:val="65EB389A"/>
    <w:rsid w:val="698B631B"/>
    <w:rsid w:val="6F1F6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1473</Words>
  <Characters>1664</Characters>
  <Lines>0</Lines>
  <Paragraphs>0</Paragraphs>
  <TotalTime>6</TotalTime>
  <ScaleCrop>false</ScaleCrop>
  <LinksUpToDate>false</LinksUpToDate>
  <CharactersWithSpaces>1729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2025-05-21T03:46:00Z</dcterms:created>
  <dc:creator>admin</dc:creator>
  <cp:lastModifiedBy>༗~浅笑醉流年~</cp:lastModifiedBy>
  <dcterms:modified xsi:type="dcterms:W3CDTF">2025-06-17T09:34:31Z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eyJoZGlkIjoiYzA0MTIwMjE1YTkxZWJjMjAzZjk1NTQxZWE3NDMxNjkiLCJ1c2VySWQiOiI0MjM3MzMwMDcifQ==</vt:lpwstr>
  </property>
  <property fmtid="{D5CDD505-2E9C-101B-9397-08002B2CF9AE}" pid="4" name="ICV">
    <vt:lpwstr>2AB77389F21D431ABF9CB1E2CD4CFE90_12</vt:lpwstr>
  </property>
</Properties>
</file>