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A1108">
      <w:pPr>
        <w:spacing w:line="420" w:lineRule="exact"/>
        <w:rPr>
          <w:rFonts w:hint="eastAsia" w:ascii="宋体" w:hAnsi="宋体"/>
          <w:b/>
          <w:sz w:val="44"/>
          <w:szCs w:val="44"/>
        </w:rPr>
      </w:pPr>
      <w:bookmarkStart w:id="0" w:name="_GoBack"/>
      <w:bookmarkEnd w:id="0"/>
    </w:p>
    <w:p w14:paraId="3E6584E8">
      <w:pPr>
        <w:jc w:val="center"/>
        <w:rPr>
          <w:rFonts w:hint="eastAsia" w:ascii="仿宋_GB2312" w:hAnsi="仿宋_GB2312" w:eastAsia="仿宋_GB2312" w:cs="仿宋_GB2312"/>
          <w:b/>
          <w:bCs/>
          <w:color w:val="000000"/>
          <w:spacing w:val="40"/>
          <w:sz w:val="48"/>
          <w:szCs w:val="48"/>
        </w:rPr>
      </w:pPr>
      <w:r>
        <w:rPr>
          <w:rFonts w:hint="eastAsia" w:ascii="仿宋_GB2312" w:hAnsi="仿宋_GB2312" w:eastAsia="仿宋_GB2312" w:cs="仿宋_GB2312"/>
          <w:b/>
          <w:bCs/>
          <w:color w:val="000000"/>
          <w:spacing w:val="40"/>
          <w:sz w:val="48"/>
          <w:szCs w:val="48"/>
        </w:rPr>
        <w:t>肥料采购合同</w:t>
      </w:r>
    </w:p>
    <w:p w14:paraId="0CF71D59">
      <w:pPr>
        <w:spacing w:line="38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合同号：明国场[202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]营</w:t>
      </w:r>
      <w:r>
        <w:rPr>
          <w:rFonts w:hint="eastAsia" w:ascii="仿宋_GB2312" w:hAnsi="仿宋_GB2312" w:eastAsia="仿宋_GB2312" w:cs="仿宋_GB2312"/>
          <w:sz w:val="24"/>
          <w:lang w:val="en-US" w:eastAsia="zh-CN"/>
        </w:rPr>
        <w:t>肥料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号</w:t>
      </w:r>
    </w:p>
    <w:p w14:paraId="426CBCAD">
      <w:pPr>
        <w:spacing w:line="38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lang w:eastAsia="zh-CN"/>
        </w:rPr>
        <w:t>方</w:t>
      </w:r>
      <w:r>
        <w:rPr>
          <w:rFonts w:hint="eastAsia" w:ascii="仿宋_GB2312" w:hAnsi="仿宋_GB2312" w:eastAsia="仿宋_GB2312" w:cs="仿宋_GB2312"/>
          <w:sz w:val="24"/>
        </w:rPr>
        <w:t>：福建省明溪国有林场                      （以下简称甲方）</w:t>
      </w:r>
    </w:p>
    <w:p w14:paraId="196EA293">
      <w:pPr>
        <w:spacing w:line="3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供应方</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（以下简称乙方）</w:t>
      </w:r>
    </w:p>
    <w:p w14:paraId="1E1ABD49">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日（周</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）甲方已将福建省明溪国有林场202</w:t>
      </w:r>
      <w:r>
        <w:rPr>
          <w:rFonts w:hint="eastAsia" w:ascii="仿宋_GB2312" w:hAnsi="仿宋_GB2312" w:eastAsia="仿宋_GB2312" w:cs="仿宋_GB2312"/>
          <w:sz w:val="24"/>
          <w:lang w:val="en-US" w:eastAsia="zh-CN"/>
        </w:rPr>
        <w:t>501</w:t>
      </w:r>
      <w:r>
        <w:rPr>
          <w:rFonts w:hint="eastAsia" w:ascii="仿宋_GB2312" w:hAnsi="仿宋_GB2312" w:eastAsia="仿宋_GB2312" w:cs="仿宋_GB2312"/>
          <w:sz w:val="24"/>
        </w:rPr>
        <w:t>期肥料采购交易项目在福建沙县农村产权交易中心面向社会公开竞价购买服务。乙方成交，按招标公告约定，同意订立如下肥料交易合同条款。</w:t>
      </w:r>
    </w:p>
    <w:p w14:paraId="36819411">
      <w:pPr>
        <w:spacing w:line="38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一</w:t>
      </w:r>
      <w:r>
        <w:rPr>
          <w:rFonts w:hint="eastAsia" w:ascii="仿宋_GB2312" w:hAnsi="仿宋_GB2312" w:eastAsia="仿宋_GB2312" w:cs="仿宋_GB2312"/>
          <w:sz w:val="24"/>
          <w:lang w:val="zh-CN"/>
        </w:rPr>
        <w:t>.合同标的和合同价格</w:t>
      </w:r>
    </w:p>
    <w:tbl>
      <w:tblPr>
        <w:tblStyle w:val="7"/>
        <w:tblW w:w="85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836"/>
        <w:gridCol w:w="2094"/>
        <w:gridCol w:w="1013"/>
        <w:gridCol w:w="1554"/>
        <w:gridCol w:w="824"/>
      </w:tblGrid>
      <w:tr w14:paraId="3CB8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271" w:type="dxa"/>
            <w:noWrap/>
            <w:vAlign w:val="center"/>
          </w:tcPr>
          <w:p w14:paraId="7F1E2812">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产品名称</w:t>
            </w:r>
          </w:p>
        </w:tc>
        <w:tc>
          <w:tcPr>
            <w:tcW w:w="1836" w:type="dxa"/>
            <w:noWrap/>
            <w:vAlign w:val="center"/>
          </w:tcPr>
          <w:p w14:paraId="1E0454CD">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规格型号</w:t>
            </w:r>
          </w:p>
        </w:tc>
        <w:tc>
          <w:tcPr>
            <w:tcW w:w="2094" w:type="dxa"/>
            <w:noWrap/>
            <w:vAlign w:val="center"/>
          </w:tcPr>
          <w:p w14:paraId="3BF8A238">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生产厂家</w:t>
            </w:r>
          </w:p>
        </w:tc>
        <w:tc>
          <w:tcPr>
            <w:tcW w:w="1013" w:type="dxa"/>
            <w:noWrap/>
            <w:vAlign w:val="center"/>
          </w:tcPr>
          <w:p w14:paraId="638183CF">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数量（吨）</w:t>
            </w:r>
          </w:p>
        </w:tc>
        <w:tc>
          <w:tcPr>
            <w:tcW w:w="1554" w:type="dxa"/>
            <w:noWrap/>
            <w:vAlign w:val="center"/>
          </w:tcPr>
          <w:p w14:paraId="51F8A6D6">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单价（元/吨）</w:t>
            </w:r>
          </w:p>
        </w:tc>
        <w:tc>
          <w:tcPr>
            <w:tcW w:w="824" w:type="dxa"/>
            <w:noWrap/>
            <w:vAlign w:val="center"/>
          </w:tcPr>
          <w:p w14:paraId="2B411671">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合同</w:t>
            </w:r>
            <w:r>
              <w:rPr>
                <w:rFonts w:hint="eastAsia" w:ascii="仿宋_GB2312" w:hAnsi="仿宋_GB2312" w:eastAsia="仿宋_GB2312" w:cs="仿宋_GB2312"/>
                <w:kern w:val="0"/>
                <w:sz w:val="24"/>
              </w:rPr>
              <w:t>总价（元）</w:t>
            </w:r>
          </w:p>
        </w:tc>
      </w:tr>
      <w:tr w14:paraId="6038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271" w:type="dxa"/>
            <w:noWrap/>
            <w:vAlign w:val="center"/>
          </w:tcPr>
          <w:p w14:paraId="14C7E21C">
            <w:pPr>
              <w:spacing w:line="52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复合肥</w:t>
            </w:r>
          </w:p>
        </w:tc>
        <w:tc>
          <w:tcPr>
            <w:tcW w:w="1836" w:type="dxa"/>
            <w:noWrap/>
            <w:vAlign w:val="center"/>
          </w:tcPr>
          <w:p w14:paraId="06CCECE5">
            <w:pPr>
              <w:widowControl/>
              <w:spacing w:line="520" w:lineRule="exac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GB/T 15063-2020</w:t>
            </w:r>
          </w:p>
          <w:p w14:paraId="7CC7DF49">
            <w:pPr>
              <w:widowControl/>
              <w:spacing w:line="52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（25kg/袋）</w:t>
            </w:r>
          </w:p>
        </w:tc>
        <w:tc>
          <w:tcPr>
            <w:tcW w:w="2094" w:type="dxa"/>
            <w:noWrap/>
            <w:vAlign w:val="center"/>
          </w:tcPr>
          <w:p w14:paraId="1A6F29AE">
            <w:pPr>
              <w:widowControl/>
              <w:spacing w:line="52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c>
          <w:tcPr>
            <w:tcW w:w="1013" w:type="dxa"/>
            <w:noWrap/>
            <w:vAlign w:val="center"/>
          </w:tcPr>
          <w:p w14:paraId="3F4E04C7">
            <w:pPr>
              <w:widowControl/>
              <w:spacing w:line="400" w:lineRule="exact"/>
              <w:jc w:val="center"/>
              <w:rPr>
                <w:rFonts w:hint="default"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4</w:t>
            </w:r>
            <w:r>
              <w:rPr>
                <w:rFonts w:hint="eastAsia" w:ascii="仿宋_GB2312" w:hAnsi="仿宋_GB2312" w:eastAsia="仿宋_GB2312" w:cs="仿宋_GB2312"/>
                <w:b/>
                <w:bCs/>
                <w:kern w:val="0"/>
                <w:sz w:val="24"/>
                <w:lang w:val="en-US" w:eastAsia="zh-CN"/>
              </w:rPr>
              <w:t>50</w:t>
            </w:r>
          </w:p>
        </w:tc>
        <w:tc>
          <w:tcPr>
            <w:tcW w:w="1554" w:type="dxa"/>
            <w:noWrap/>
            <w:vAlign w:val="center"/>
          </w:tcPr>
          <w:p w14:paraId="0077CBE7">
            <w:pPr>
              <w:widowControl/>
              <w:spacing w:line="400" w:lineRule="exact"/>
              <w:jc w:val="center"/>
              <w:rPr>
                <w:rFonts w:ascii="仿宋_GB2312" w:hAnsi="仿宋_GB2312" w:eastAsia="仿宋_GB2312" w:cs="仿宋_GB2312"/>
                <w:b/>
                <w:bCs/>
                <w:kern w:val="0"/>
                <w:sz w:val="24"/>
              </w:rPr>
            </w:pPr>
          </w:p>
        </w:tc>
        <w:tc>
          <w:tcPr>
            <w:tcW w:w="824" w:type="dxa"/>
            <w:noWrap/>
            <w:vAlign w:val="center"/>
          </w:tcPr>
          <w:p w14:paraId="4B2D2527">
            <w:pPr>
              <w:widowControl/>
              <w:spacing w:line="400" w:lineRule="exact"/>
              <w:jc w:val="center"/>
              <w:rPr>
                <w:rFonts w:ascii="仿宋_GB2312" w:hAnsi="仿宋_GB2312" w:eastAsia="仿宋_GB2312" w:cs="仿宋_GB2312"/>
                <w:b/>
                <w:bCs/>
                <w:kern w:val="0"/>
                <w:sz w:val="24"/>
              </w:rPr>
            </w:pPr>
          </w:p>
        </w:tc>
      </w:tr>
      <w:tr w14:paraId="53E17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592" w:type="dxa"/>
            <w:gridSpan w:val="6"/>
            <w:noWrap/>
            <w:vAlign w:val="center"/>
          </w:tcPr>
          <w:p w14:paraId="5FDE8944">
            <w:pPr>
              <w:widowControl/>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1"/>
                <w:szCs w:val="21"/>
                <w:lang w:val="en-US" w:eastAsia="zh-CN"/>
              </w:rPr>
              <w:t>合同总价（¥</w:t>
            </w:r>
            <w:r>
              <w:rPr>
                <w:rFonts w:hint="eastAsia" w:ascii="仿宋_GB2312" w:hAnsi="仿宋_GB2312" w:eastAsia="仿宋_GB2312" w:cs="仿宋_GB2312"/>
                <w:b/>
                <w:bCs/>
                <w:kern w:val="0"/>
                <w:sz w:val="21"/>
                <w:szCs w:val="21"/>
              </w:rPr>
              <w:t>****</w:t>
            </w:r>
            <w:r>
              <w:rPr>
                <w:rFonts w:hint="eastAsia" w:ascii="仿宋_GB2312" w:hAnsi="仿宋_GB2312" w:eastAsia="仿宋_GB2312" w:cs="仿宋_GB2312"/>
                <w:b/>
                <w:bCs/>
                <w:kern w:val="0"/>
                <w:sz w:val="21"/>
                <w:szCs w:val="21"/>
                <w:lang w:val="en-US" w:eastAsia="zh-CN"/>
              </w:rPr>
              <w:t>元）</w:t>
            </w:r>
            <w:r>
              <w:rPr>
                <w:rFonts w:hint="eastAsia" w:ascii="仿宋_GB2312" w:hAnsi="仿宋_GB2312" w:eastAsia="仿宋_GB2312" w:cs="仿宋_GB2312"/>
                <w:b/>
                <w:bCs/>
                <w:kern w:val="0"/>
                <w:sz w:val="21"/>
                <w:szCs w:val="21"/>
              </w:rPr>
              <w:t>包括肥料、装卸费、运费、税金、</w:t>
            </w:r>
            <w:r>
              <w:rPr>
                <w:rFonts w:hint="eastAsia" w:ascii="仿宋_GB2312" w:hAnsi="仿宋_GB2312" w:eastAsia="仿宋_GB2312" w:cs="仿宋_GB2312"/>
                <w:b/>
                <w:bCs/>
                <w:sz w:val="21"/>
                <w:szCs w:val="21"/>
                <w:shd w:val="clear" w:color="auto" w:fill="FFFFFF"/>
              </w:rPr>
              <w:t>售后服务、肥料</w:t>
            </w:r>
            <w:r>
              <w:rPr>
                <w:rFonts w:hint="eastAsia" w:ascii="仿宋_GB2312" w:hAnsi="仿宋_GB2312" w:eastAsia="仿宋_GB2312" w:cs="仿宋_GB2312"/>
                <w:b/>
                <w:bCs/>
                <w:kern w:val="0"/>
                <w:sz w:val="21"/>
                <w:szCs w:val="21"/>
              </w:rPr>
              <w:t>检验费等其他一切费用，</w:t>
            </w:r>
            <w:r>
              <w:rPr>
                <w:rFonts w:hint="eastAsia" w:ascii="仿宋_GB2312" w:hAnsi="仿宋_GB2312" w:eastAsia="仿宋_GB2312" w:cs="仿宋_GB2312"/>
                <w:b/>
                <w:bCs/>
                <w:kern w:val="0"/>
                <w:sz w:val="21"/>
                <w:szCs w:val="21"/>
                <w:lang w:eastAsia="zh-CN"/>
              </w:rPr>
              <w:t>采购方</w:t>
            </w:r>
            <w:r>
              <w:rPr>
                <w:rFonts w:hint="eastAsia" w:ascii="仿宋_GB2312" w:hAnsi="仿宋_GB2312" w:eastAsia="仿宋_GB2312" w:cs="仿宋_GB2312"/>
                <w:b/>
                <w:bCs/>
                <w:kern w:val="0"/>
                <w:sz w:val="21"/>
                <w:szCs w:val="21"/>
              </w:rPr>
              <w:t>不再另付任何费用。</w:t>
            </w:r>
          </w:p>
        </w:tc>
      </w:tr>
    </w:tbl>
    <w:p w14:paraId="1FBA33FB">
      <w:pPr>
        <w:spacing w:line="380" w:lineRule="exact"/>
        <w:ind w:firstLine="241" w:firstLineChars="100"/>
        <w:rPr>
          <w:rFonts w:hint="eastAsia" w:ascii="仿宋_GB2312" w:hAnsi="仿宋_GB2312" w:eastAsia="仿宋_GB2312" w:cs="仿宋_GB2312"/>
          <w:b/>
          <w:sz w:val="24"/>
        </w:rPr>
      </w:pPr>
      <w:r>
        <w:rPr>
          <w:rFonts w:hint="eastAsia" w:ascii="仿宋" w:hAnsi="仿宋" w:eastAsia="仿宋"/>
          <w:b/>
          <w:color w:val="000000"/>
          <w:sz w:val="24"/>
          <w:szCs w:val="24"/>
        </w:rPr>
        <w:t>甲乙双方同意以实际调运数量为结算数量、按</w:t>
      </w:r>
      <w:r>
        <w:rPr>
          <w:rFonts w:hint="eastAsia" w:ascii="仿宋" w:hAnsi="仿宋" w:eastAsia="仿宋"/>
          <w:b/>
          <w:color w:val="000000"/>
          <w:sz w:val="24"/>
          <w:szCs w:val="24"/>
          <w:lang w:val="en-US" w:eastAsia="zh-CN"/>
        </w:rPr>
        <w:t>成</w:t>
      </w:r>
      <w:r>
        <w:rPr>
          <w:rFonts w:hint="eastAsia" w:ascii="仿宋" w:hAnsi="仿宋" w:eastAsia="仿宋"/>
          <w:b/>
          <w:color w:val="000000"/>
          <w:sz w:val="24"/>
          <w:szCs w:val="24"/>
          <w:lang w:val="en-US" w:eastAsia="zh-CN"/>
        </w:rPr>
        <w:t>交</w:t>
      </w:r>
      <w:r>
        <w:rPr>
          <w:rFonts w:hint="eastAsia" w:ascii="仿宋" w:hAnsi="仿宋" w:eastAsia="仿宋"/>
          <w:b/>
          <w:color w:val="000000"/>
          <w:sz w:val="24"/>
          <w:szCs w:val="24"/>
        </w:rPr>
        <w:t>单价进行结算。</w:t>
      </w:r>
    </w:p>
    <w:p w14:paraId="779F0133">
      <w:pPr>
        <w:spacing w:line="380" w:lineRule="exact"/>
        <w:ind w:firstLine="470" w:firstLineChars="196"/>
        <w:rPr>
          <w:rFonts w:hint="eastAsia" w:ascii="仿宋_GB2312" w:hAnsi="仿宋_GB2312" w:eastAsia="仿宋_GB2312" w:cs="仿宋_GB2312"/>
          <w:bCs/>
          <w:sz w:val="24"/>
        </w:rPr>
      </w:pPr>
      <w:r>
        <w:rPr>
          <w:rFonts w:hint="eastAsia" w:ascii="仿宋_GB2312" w:hAnsi="仿宋_GB2312" w:eastAsia="仿宋_GB2312" w:cs="仿宋_GB2312"/>
          <w:sz w:val="24"/>
        </w:rPr>
        <w:t>二、复合肥交货日期：</w:t>
      </w:r>
      <w:r>
        <w:rPr>
          <w:rFonts w:hint="eastAsia" w:ascii="仿宋_GB2312" w:hAnsi="仿宋_GB2312" w:eastAsia="仿宋_GB2312" w:cs="仿宋_GB2312"/>
          <w:sz w:val="24"/>
          <w:lang w:val="en-US" w:eastAsia="zh-CN"/>
        </w:rPr>
        <w:t>2025年6月3日</w:t>
      </w:r>
      <w:r>
        <w:rPr>
          <w:rFonts w:hint="eastAsia" w:ascii="仿宋_GB2312" w:hAnsi="仿宋_GB2312" w:eastAsia="仿宋_GB2312" w:cs="仿宋_GB2312"/>
          <w:sz w:val="24"/>
        </w:rPr>
        <w:t>至202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月30日。</w:t>
      </w:r>
    </w:p>
    <w:p w14:paraId="736949DE">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三、交货方式和交货地点.</w:t>
      </w:r>
    </w:p>
    <w:p w14:paraId="2620460B">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乙方组织人员装料上车，装车费由乙方承担。乙方同时负责仓库码堆。双方当面清点肥料数量并签出仓凭证。</w:t>
      </w:r>
    </w:p>
    <w:p w14:paraId="489072DC">
      <w:pPr>
        <w:spacing w:line="380" w:lineRule="exact"/>
        <w:ind w:firstLine="470" w:firstLineChars="196"/>
        <w:rPr>
          <w:rFonts w:hint="eastAsia" w:ascii="仿宋_GB2312" w:hAnsi="仿宋_GB2312" w:eastAsia="仿宋_GB2312" w:cs="仿宋_GB2312"/>
          <w:sz w:val="24"/>
        </w:rPr>
      </w:pPr>
      <w:r>
        <w:rPr>
          <w:rFonts w:hint="eastAsia" w:ascii="仿宋_GB2312" w:hAnsi="仿宋_GB2312" w:eastAsia="仿宋_GB2312" w:cs="仿宋_GB2312"/>
          <w:bCs/>
          <w:sz w:val="24"/>
        </w:rPr>
        <w:t>乙方必须在明溪县城区设有</w:t>
      </w:r>
      <w:r>
        <w:rPr>
          <w:rFonts w:hint="eastAsia" w:ascii="仿宋_GB2312" w:hAnsi="仿宋_GB2312" w:eastAsia="仿宋_GB2312" w:cs="仿宋_GB2312"/>
          <w:sz w:val="24"/>
        </w:rPr>
        <w:t>存货仓库</w:t>
      </w:r>
      <w:r>
        <w:rPr>
          <w:rFonts w:hint="eastAsia" w:ascii="仿宋_GB2312" w:hAnsi="仿宋_GB2312" w:eastAsia="仿宋_GB2312" w:cs="仿宋_GB2312"/>
          <w:bCs/>
          <w:sz w:val="24"/>
        </w:rPr>
        <w:t>，</w:t>
      </w:r>
      <w:r>
        <w:rPr>
          <w:rFonts w:hint="eastAsia" w:ascii="仿宋_GB2312" w:hAnsi="仿宋_GB2312" w:eastAsia="仿宋_GB2312" w:cs="仿宋_GB2312"/>
          <w:sz w:val="24"/>
        </w:rPr>
        <w:t>签订合同后乙方必须立即按合同约定将肥料储备至</w:t>
      </w:r>
      <w:r>
        <w:rPr>
          <w:rFonts w:hint="eastAsia" w:ascii="仿宋_GB2312" w:hAnsi="仿宋_GB2312" w:eastAsia="仿宋_GB2312" w:cs="仿宋_GB2312"/>
          <w:bCs/>
          <w:sz w:val="24"/>
        </w:rPr>
        <w:t>明溪县城区</w:t>
      </w:r>
      <w:r>
        <w:rPr>
          <w:rFonts w:hint="eastAsia" w:ascii="仿宋_GB2312" w:hAnsi="仿宋_GB2312" w:eastAsia="仿宋_GB2312" w:cs="仿宋_GB2312"/>
          <w:sz w:val="24"/>
        </w:rPr>
        <w:t>存货仓库，以</w:t>
      </w:r>
      <w:r>
        <w:rPr>
          <w:rFonts w:hint="eastAsia" w:ascii="仿宋_GB2312" w:hAnsi="仿宋_GB2312" w:eastAsia="仿宋_GB2312" w:cs="仿宋_GB2312"/>
          <w:bCs/>
          <w:sz w:val="24"/>
        </w:rPr>
        <w:t>便甲方在通知时间内可以</w:t>
      </w:r>
      <w:r>
        <w:rPr>
          <w:rFonts w:hint="eastAsia" w:ascii="仿宋_GB2312" w:hAnsi="仿宋_GB2312" w:eastAsia="仿宋_GB2312" w:cs="仿宋_GB2312"/>
          <w:sz w:val="24"/>
        </w:rPr>
        <w:t>随时</w:t>
      </w:r>
      <w:r>
        <w:rPr>
          <w:rFonts w:hint="eastAsia" w:ascii="仿宋_GB2312" w:hAnsi="仿宋_GB2312" w:eastAsia="仿宋_GB2312" w:cs="仿宋_GB2312"/>
          <w:sz w:val="24"/>
          <w:lang w:val="en-US" w:eastAsia="zh-CN"/>
        </w:rPr>
        <w:t>足量</w:t>
      </w:r>
      <w:r>
        <w:rPr>
          <w:rFonts w:hint="eastAsia" w:ascii="仿宋_GB2312" w:hAnsi="仿宋_GB2312" w:eastAsia="仿宋_GB2312" w:cs="仿宋_GB2312"/>
          <w:sz w:val="24"/>
        </w:rPr>
        <w:t>提货</w:t>
      </w:r>
      <w:r>
        <w:rPr>
          <w:rFonts w:hint="eastAsia" w:ascii="仿宋_GB2312" w:hAnsi="仿宋_GB2312" w:eastAsia="仿宋_GB2312" w:cs="仿宋_GB2312"/>
          <w:bCs/>
          <w:sz w:val="24"/>
        </w:rPr>
        <w:t>。</w:t>
      </w:r>
    </w:p>
    <w:p w14:paraId="06A93E79">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四、复合肥质量要求和技术标准：</w:t>
      </w:r>
    </w:p>
    <w:p w14:paraId="6E0F3B2F">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1、肥料技术要求、包装运输和贮存必须符合复合肥国家标准（GB/T 15063-2020)。</w:t>
      </w:r>
    </w:p>
    <w:p w14:paraId="71AC1B4F">
      <w:pPr>
        <w:tabs>
          <w:tab w:val="center" w:pos="900"/>
          <w:tab w:val="center" w:pos="1080"/>
        </w:tabs>
        <w:spacing w:line="38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2、复合肥中的氮、磷、钾的总养分含量</w:t>
      </w:r>
      <w:r>
        <w:rPr>
          <w:rFonts w:hint="eastAsia" w:ascii="宋体" w:hAnsi="宋体" w:eastAsia="宋体" w:cs="宋体"/>
          <w:sz w:val="24"/>
          <w:lang w:val="en-US" w:eastAsia="zh-CN"/>
        </w:rPr>
        <w:t>≧</w:t>
      </w:r>
      <w:r>
        <w:rPr>
          <w:rFonts w:hint="eastAsia" w:ascii="仿宋_GB2312" w:hAnsi="仿宋_GB2312" w:eastAsia="仿宋_GB2312" w:cs="仿宋_GB2312"/>
          <w:sz w:val="24"/>
        </w:rPr>
        <w:t xml:space="preserve">51% </w:t>
      </w:r>
      <w:r>
        <w:rPr>
          <w:rFonts w:hint="eastAsia" w:ascii="仿宋_GB2312" w:hAnsi="仿宋_GB2312" w:eastAsia="仿宋_GB2312" w:cs="仿宋_GB2312"/>
          <w:sz w:val="24"/>
          <w:lang w:eastAsia="zh-CN"/>
        </w:rPr>
        <w:t>（</w:t>
      </w:r>
      <w:r>
        <w:rPr>
          <w:rFonts w:hint="eastAsia" w:ascii="宋体" w:hAnsi="宋体" w:eastAsia="宋体" w:cs="宋体"/>
          <w:i w:val="0"/>
          <w:iCs w:val="0"/>
          <w:caps w:val="0"/>
          <w:color w:val="000000"/>
          <w:spacing w:val="0"/>
          <w:sz w:val="24"/>
          <w:szCs w:val="24"/>
          <w:shd w:val="clear" w:color="auto" w:fill="FFFFFF"/>
        </w:rPr>
        <w:t>N</w:t>
      </w:r>
      <w:r>
        <w:rPr>
          <w:rFonts w:hint="eastAsia" w:ascii="宋体" w:hAnsi="宋体" w:eastAsia="宋体" w:cs="宋体"/>
          <w:sz w:val="24"/>
          <w:lang w:val="en-US" w:eastAsia="zh-CN"/>
        </w:rPr>
        <w:t>≧</w:t>
      </w:r>
      <w:r>
        <w:rPr>
          <w:rFonts w:hint="eastAsia" w:ascii="仿宋_GB2312" w:hAnsi="仿宋_GB2312" w:eastAsia="仿宋_GB2312" w:cs="仿宋_GB2312"/>
          <w:sz w:val="24"/>
          <w:lang w:val="en-US" w:eastAsia="zh-CN"/>
        </w:rPr>
        <w:t>25%:</w:t>
      </w:r>
      <w:r>
        <w:rPr>
          <w:rFonts w:hint="eastAsia" w:ascii="宋体" w:hAnsi="宋体" w:eastAsia="宋体" w:cs="宋体"/>
          <w:i w:val="0"/>
          <w:iCs w:val="0"/>
          <w:caps w:val="0"/>
          <w:color w:val="000000"/>
          <w:spacing w:val="0"/>
          <w:sz w:val="24"/>
          <w:szCs w:val="24"/>
          <w:shd w:val="clear" w:color="auto" w:fill="FFFFFF"/>
        </w:rPr>
        <w:t>P</w:t>
      </w:r>
      <w:r>
        <w:rPr>
          <w:rFonts w:hint="eastAsia" w:ascii="宋体" w:hAnsi="宋体" w:eastAsia="宋体" w:cs="宋体"/>
          <w:i w:val="0"/>
          <w:iCs w:val="0"/>
          <w:caps w:val="0"/>
          <w:color w:val="000000"/>
          <w:spacing w:val="0"/>
          <w:sz w:val="24"/>
          <w:szCs w:val="24"/>
          <w:shd w:val="clear" w:color="auto" w:fill="FFFFFF"/>
          <w:vertAlign w:val="subscript"/>
        </w:rPr>
        <w:t>2</w:t>
      </w:r>
      <w:r>
        <w:rPr>
          <w:rFonts w:hint="eastAsia" w:ascii="宋体" w:hAnsi="宋体" w:eastAsia="宋体" w:cs="宋体"/>
          <w:i w:val="0"/>
          <w:iCs w:val="0"/>
          <w:caps w:val="0"/>
          <w:color w:val="000000"/>
          <w:spacing w:val="0"/>
          <w:sz w:val="24"/>
          <w:szCs w:val="24"/>
          <w:shd w:val="clear" w:color="auto" w:fill="FFFFFF"/>
        </w:rPr>
        <w:t>O</w:t>
      </w:r>
      <w:r>
        <w:rPr>
          <w:rFonts w:hint="eastAsia" w:ascii="宋体" w:hAnsi="宋体" w:eastAsia="宋体" w:cs="宋体"/>
          <w:i w:val="0"/>
          <w:iCs w:val="0"/>
          <w:caps w:val="0"/>
          <w:color w:val="000000"/>
          <w:spacing w:val="0"/>
          <w:sz w:val="24"/>
          <w:szCs w:val="24"/>
          <w:shd w:val="clear" w:color="auto" w:fill="FFFFFF"/>
          <w:vertAlign w:val="subscript"/>
        </w:rPr>
        <w:t>5</w:t>
      </w:r>
      <w:r>
        <w:rPr>
          <w:rFonts w:hint="eastAsia" w:ascii="宋体" w:hAnsi="宋体" w:eastAsia="宋体" w:cs="宋体"/>
          <w:sz w:val="24"/>
          <w:lang w:val="en-US" w:eastAsia="zh-CN"/>
        </w:rPr>
        <w:t>≧</w:t>
      </w:r>
      <w:r>
        <w:rPr>
          <w:rFonts w:hint="eastAsia" w:ascii="仿宋_GB2312" w:hAnsi="仿宋_GB2312" w:eastAsia="仿宋_GB2312" w:cs="仿宋_GB2312"/>
          <w:sz w:val="24"/>
          <w:lang w:val="en-US" w:eastAsia="zh-CN"/>
        </w:rPr>
        <w:t>10%:</w:t>
      </w:r>
      <w:r>
        <w:rPr>
          <w:rFonts w:hint="eastAsia" w:ascii="宋体" w:hAnsi="宋体" w:eastAsia="宋体" w:cs="宋体"/>
          <w:i w:val="0"/>
          <w:iCs w:val="0"/>
          <w:caps w:val="0"/>
          <w:color w:val="000000"/>
          <w:spacing w:val="0"/>
          <w:sz w:val="24"/>
          <w:szCs w:val="24"/>
          <w:shd w:val="clear" w:color="auto" w:fill="FFFFFF"/>
        </w:rPr>
        <w:t>K</w:t>
      </w:r>
      <w:r>
        <w:rPr>
          <w:rFonts w:hint="eastAsia" w:ascii="宋体" w:hAnsi="宋体" w:eastAsia="宋体" w:cs="宋体"/>
          <w:i w:val="0"/>
          <w:iCs w:val="0"/>
          <w:caps w:val="0"/>
          <w:color w:val="000000"/>
          <w:spacing w:val="0"/>
          <w:sz w:val="24"/>
          <w:szCs w:val="24"/>
          <w:shd w:val="clear" w:color="auto" w:fill="FFFFFF"/>
          <w:vertAlign w:val="subscript"/>
        </w:rPr>
        <w:t>2</w:t>
      </w:r>
      <w:r>
        <w:rPr>
          <w:rFonts w:hint="eastAsia" w:ascii="宋体" w:hAnsi="宋体" w:eastAsia="宋体" w:cs="宋体"/>
          <w:i w:val="0"/>
          <w:iCs w:val="0"/>
          <w:caps w:val="0"/>
          <w:color w:val="000000"/>
          <w:spacing w:val="0"/>
          <w:sz w:val="24"/>
          <w:szCs w:val="24"/>
          <w:shd w:val="clear" w:color="auto" w:fill="FFFFFF"/>
        </w:rPr>
        <w:t>O</w:t>
      </w:r>
      <w:r>
        <w:rPr>
          <w:rFonts w:hint="eastAsia" w:ascii="宋体" w:hAnsi="宋体" w:eastAsia="宋体" w:cs="宋体"/>
          <w:sz w:val="24"/>
          <w:lang w:val="en-US" w:eastAsia="zh-CN"/>
        </w:rPr>
        <w:t>≧</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lang w:eastAsia="zh-CN"/>
        </w:rPr>
        <w:t>）。</w:t>
      </w:r>
    </w:p>
    <w:p w14:paraId="1039DE21">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每袋净重为25Kg+0.5Kg，每批均每袋含量不得低于25.0kg，编织双层包装（外编织袋，衬聚乙烯内袋），包装袋上应清楚注明：生产厂商名称、厂址、生产日期或生产批号、商标、级别、生产许可证编号、产品名称、商标、产品净重、等级及国家标准编号等必要项目内容，有二维码等防伪标志。</w:t>
      </w:r>
    </w:p>
    <w:p w14:paraId="5C0C2EF5">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4、复合肥生产公司需是上市公司</w:t>
      </w:r>
    </w:p>
    <w:p w14:paraId="4844A61D">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5、要求采用高塔造粒或氨化造粒工艺生产。</w:t>
      </w:r>
    </w:p>
    <w:p w14:paraId="76DB2B9E">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6、产品</w:t>
      </w:r>
      <w:r>
        <w:rPr>
          <w:rFonts w:hint="eastAsia" w:ascii="仿宋_GB2312" w:hAnsi="仿宋_GB2312" w:eastAsia="仿宋_GB2312" w:cs="仿宋_GB2312"/>
          <w:sz w:val="24"/>
          <w:lang w:val="en-US" w:eastAsia="zh-CN"/>
        </w:rPr>
        <w:t>外观呈白色颗粒，无机械杂质，</w:t>
      </w:r>
      <w:r>
        <w:rPr>
          <w:rFonts w:hint="eastAsia" w:ascii="仿宋_GB2312" w:hAnsi="仿宋_GB2312" w:eastAsia="仿宋_GB2312" w:cs="仿宋_GB2312"/>
          <w:sz w:val="24"/>
        </w:rPr>
        <w:t>不潮湿、不结块、外肥料袋无泄露，并确保为近一年内生产的有效产品。</w:t>
      </w:r>
    </w:p>
    <w:p w14:paraId="305A0538">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五、验收：</w:t>
      </w:r>
    </w:p>
    <w:p w14:paraId="6126DECA">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1、验收标准：</w:t>
      </w:r>
    </w:p>
    <w:p w14:paraId="16969EFA">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须按照中华人民共和国有关行业标准及项目公告中规定的技术指标、规格要求进行验收。产品质量应达到设计要求，各项指标和技术参数的安装调试应符合验收标准要求。</w:t>
      </w:r>
    </w:p>
    <w:p w14:paraId="451C4235">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2、验收方法：</w:t>
      </w:r>
    </w:p>
    <w:p w14:paraId="3E2A6AE9">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应由生产厂家的质量检验部门进行检验，质量标准及指标要求符合《复混肥料（复合肥料）》国家标准（GB/T15063-2020）要求指标等级为合格品，且满足甲方使用要求，送货同时必须提供产品出厂检验合格证等相关资料。</w:t>
      </w:r>
    </w:p>
    <w:p w14:paraId="55F9AE56">
      <w:pPr>
        <w:spacing w:line="380" w:lineRule="exact"/>
        <w:ind w:firstLine="480" w:firstLineChars="200"/>
        <w:rPr>
          <w:rFonts w:hint="eastAsia" w:ascii="仿宋_GB2312" w:hAnsi="仿宋_GB2312" w:eastAsia="仿宋_GB2312" w:cs="仿宋_GB2312"/>
          <w:color w:val="FF0000"/>
          <w:sz w:val="24"/>
        </w:rPr>
      </w:pPr>
      <w:r>
        <w:rPr>
          <w:rFonts w:hint="eastAsia" w:ascii="仿宋_GB2312" w:hAnsi="仿宋_GB2312" w:eastAsia="仿宋_GB2312" w:cs="仿宋_GB2312"/>
          <w:sz w:val="24"/>
        </w:rPr>
        <w:t>（2）取货时甲方严格按照质量标准及指标要求进行验收，以甲方检验部门化验结果为准，送检费用由乙承担。如果检验结果中有一项指标不符合本标准要求时，应重新自两倍数量的袋中采取样品进行复验。复验的结果，只要有一项指标不符合本标准要求，则整批货物为不合格品。甲方有权终止购销合同。</w:t>
      </w:r>
    </w:p>
    <w:p w14:paraId="1897BC2D">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（3）在使用过程中出现质量问题，乙方则无条件给予免费更换，并承担因此给甲方造成的一切经济损失。</w:t>
      </w:r>
    </w:p>
    <w:p w14:paraId="2A2E7829">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（4）验收合格后，经双方授权代表在验收单上签字认定验收合格。验收清单一式二份，甲乙双方各执一份。</w:t>
      </w:r>
    </w:p>
    <w:p w14:paraId="56C24E4C">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六、质量保证：</w:t>
      </w:r>
    </w:p>
    <w:p w14:paraId="11720BA7">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1、按国家有关规定或厂家承诺实行“三包”（两者不同时，以条件优的为准），产品质量保质期不得少于壹年，质保期自双方代表在验收报告上签字之日起计算。</w:t>
      </w:r>
    </w:p>
    <w:p w14:paraId="7E4E5ED7">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2、乙方须提供肥料使用说明书、出产合格证、并确保为近一年内生产的有效产品。</w:t>
      </w:r>
    </w:p>
    <w:p w14:paraId="60C9A065">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需无偿提供肥料使用、存贮等技术指导，在质保期内，提供技术服务热线（24小时），负责解答用户在货物使用中遇到的问题，并及时提出解决问题的建议和操作方法。如有需要，乙方必须在24小时内到达现场并解决问题（节假日照常服务）。</w:t>
      </w:r>
    </w:p>
    <w:p w14:paraId="0996710E">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七、付款方式：</w:t>
      </w:r>
    </w:p>
    <w:p w14:paraId="27B4731F">
      <w:pPr>
        <w:spacing w:line="38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甲方提货结束后，乙方应提供甲方实际验收合格数量金额相等的正式发票，甲方再进行相应的付款结账。</w:t>
      </w:r>
    </w:p>
    <w:p w14:paraId="1D244469">
      <w:pPr>
        <w:tabs>
          <w:tab w:val="center" w:pos="900"/>
          <w:tab w:val="center" w:pos="1080"/>
        </w:tabs>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八、其他要求：</w:t>
      </w:r>
    </w:p>
    <w:p w14:paraId="2A2EA64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rPr>
        <w:t>1、</w:t>
      </w:r>
      <w:r>
        <w:rPr>
          <w:rFonts w:hint="eastAsia" w:ascii="仿宋_GB2312" w:hAnsi="仿宋_GB2312" w:eastAsia="仿宋_GB2312" w:cs="仿宋_GB2312"/>
          <w:kern w:val="0"/>
          <w:sz w:val="24"/>
          <w:szCs w:val="24"/>
        </w:rPr>
        <w:t>乙方按招标文件要求缴纳履约保证金</w:t>
      </w:r>
      <w:r>
        <w:rPr>
          <w:rFonts w:hint="eastAsia" w:ascii="仿宋_GB2312" w:hAnsi="仿宋_GB2312" w:eastAsia="仿宋_GB2312" w:cs="仿宋_GB2312"/>
          <w:kern w:val="0"/>
          <w:sz w:val="24"/>
          <w:szCs w:val="24"/>
          <w:u w:val="single"/>
          <w:lang w:val="en-US" w:eastAsia="zh-CN"/>
        </w:rPr>
        <w:t>壹拾万</w:t>
      </w:r>
      <w:r>
        <w:rPr>
          <w:rFonts w:hint="eastAsia" w:ascii="仿宋_GB2312" w:hAnsi="仿宋_GB2312" w:eastAsia="仿宋_GB2312" w:cs="仿宋_GB2312"/>
          <w:kern w:val="0"/>
          <w:sz w:val="24"/>
          <w:szCs w:val="24"/>
        </w:rPr>
        <w:t>元整，履约保证金视乙方履约情况，待乙方履行合同完毕后无息退回。</w:t>
      </w:r>
    </w:p>
    <w:p w14:paraId="690C36A1">
      <w:pPr>
        <w:spacing w:line="380" w:lineRule="exact"/>
        <w:ind w:firstLine="480"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乙方</w:t>
      </w:r>
      <w:r>
        <w:rPr>
          <w:rFonts w:hint="eastAsia" w:ascii="仿宋_GB2312" w:hAnsi="仿宋_GB2312" w:eastAsia="仿宋_GB2312" w:cs="仿宋_GB2312"/>
          <w:bCs/>
          <w:sz w:val="24"/>
        </w:rPr>
        <w:t>逾期供货，</w:t>
      </w:r>
      <w:r>
        <w:rPr>
          <w:rFonts w:hint="eastAsia" w:ascii="仿宋_GB2312" w:hAnsi="仿宋_GB2312" w:eastAsia="仿宋_GB2312" w:cs="仿宋_GB2312"/>
          <w:bCs/>
          <w:sz w:val="24"/>
          <w:lang w:val="en-US" w:eastAsia="zh-CN"/>
        </w:rPr>
        <w:t>每日</w:t>
      </w:r>
      <w:r>
        <w:rPr>
          <w:rFonts w:hint="eastAsia" w:ascii="仿宋_GB2312" w:hAnsi="仿宋_GB2312" w:eastAsia="仿宋_GB2312" w:cs="仿宋_GB2312"/>
          <w:bCs/>
          <w:sz w:val="24"/>
        </w:rPr>
        <w:t>按照</w:t>
      </w:r>
      <w:r>
        <w:rPr>
          <w:rFonts w:hint="eastAsia" w:ascii="仿宋_GB2312" w:hAnsi="仿宋_GB2312" w:eastAsia="仿宋_GB2312" w:cs="仿宋_GB2312"/>
          <w:bCs/>
          <w:sz w:val="24"/>
          <w:u w:val="single"/>
          <w:lang w:val="en-US" w:eastAsia="zh-CN"/>
        </w:rPr>
        <w:t>合同总价的</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支付逾期供货违约金。</w:t>
      </w:r>
      <w:r>
        <w:rPr>
          <w:rFonts w:hint="eastAsia" w:ascii="仿宋_GB2312" w:hAnsi="仿宋_GB2312" w:eastAsia="仿宋_GB2312" w:cs="仿宋_GB2312"/>
          <w:bCs/>
          <w:sz w:val="24"/>
        </w:rPr>
        <w:t>逾期供货1</w:t>
      </w:r>
      <w:r>
        <w:rPr>
          <w:rFonts w:hint="eastAsia" w:ascii="仿宋_GB2312" w:hAnsi="仿宋_GB2312" w:eastAsia="仿宋_GB2312" w:cs="仿宋_GB2312"/>
          <w:bCs/>
          <w:sz w:val="24"/>
          <w:lang w:val="en-US" w:eastAsia="zh-CN"/>
        </w:rPr>
        <w:t>0</w:t>
      </w:r>
      <w:r>
        <w:rPr>
          <w:rFonts w:hint="eastAsia" w:ascii="仿宋_GB2312" w:hAnsi="仿宋_GB2312" w:eastAsia="仿宋_GB2312" w:cs="仿宋_GB2312"/>
          <w:bCs/>
          <w:sz w:val="24"/>
        </w:rPr>
        <w:t>天以上，甲</w:t>
      </w:r>
      <w:r>
        <w:rPr>
          <w:rFonts w:hint="eastAsia" w:ascii="仿宋_GB2312" w:hAnsi="仿宋_GB2312" w:eastAsia="仿宋_GB2312" w:cs="仿宋_GB2312"/>
          <w:bCs/>
          <w:sz w:val="24"/>
          <w:lang w:val="en-US" w:eastAsia="zh-CN"/>
        </w:rPr>
        <w:t>方</w:t>
      </w:r>
      <w:r>
        <w:rPr>
          <w:rFonts w:hint="eastAsia" w:ascii="仿宋_GB2312" w:hAnsi="仿宋_GB2312" w:eastAsia="仿宋_GB2312" w:cs="仿宋_GB2312"/>
          <w:bCs/>
          <w:sz w:val="24"/>
        </w:rPr>
        <w:t>还有权单方解除本合同</w:t>
      </w:r>
      <w:r>
        <w:rPr>
          <w:rFonts w:hint="eastAsia" w:ascii="仿宋_GB2312" w:hAnsi="仿宋_GB2312" w:eastAsia="仿宋_GB2312" w:cs="仿宋_GB2312"/>
          <w:bCs/>
          <w:sz w:val="24"/>
          <w:lang w:val="en-US" w:eastAsia="zh-CN"/>
        </w:rPr>
        <w:t>并</w:t>
      </w:r>
      <w:r>
        <w:rPr>
          <w:rFonts w:hint="eastAsia" w:ascii="仿宋_GB2312" w:hAnsi="仿宋_GB2312" w:eastAsia="仿宋_GB2312" w:cs="仿宋_GB2312"/>
          <w:bCs/>
          <w:sz w:val="24"/>
          <w:lang w:val="en-US" w:eastAsia="zh-CN"/>
        </w:rPr>
        <w:t>没收</w:t>
      </w:r>
      <w:r>
        <w:rPr>
          <w:rFonts w:hint="eastAsia" w:ascii="仿宋_GB2312" w:hAnsi="仿宋_GB2312" w:eastAsia="仿宋_GB2312" w:cs="仿宋_GB2312"/>
          <w:bCs/>
          <w:sz w:val="24"/>
        </w:rPr>
        <w:t>乙方</w:t>
      </w:r>
      <w:r>
        <w:rPr>
          <w:rFonts w:hint="eastAsia" w:ascii="仿宋_GB2312" w:hAnsi="仿宋_GB2312" w:eastAsia="仿宋_GB2312" w:cs="仿宋_GB2312"/>
          <w:bCs/>
          <w:sz w:val="24"/>
          <w:lang w:val="en-US" w:eastAsia="zh-CN"/>
        </w:rPr>
        <w:t>的</w:t>
      </w:r>
      <w:r>
        <w:rPr>
          <w:rFonts w:hint="eastAsia" w:ascii="仿宋_GB2312" w:hAnsi="仿宋_GB2312" w:eastAsia="仿宋_GB2312" w:cs="仿宋_GB2312"/>
          <w:kern w:val="0"/>
          <w:sz w:val="24"/>
          <w:szCs w:val="24"/>
        </w:rPr>
        <w:t>履约保证金</w:t>
      </w:r>
      <w:r>
        <w:rPr>
          <w:rFonts w:hint="eastAsia" w:ascii="仿宋_GB2312" w:hAnsi="仿宋_GB2312" w:eastAsia="仿宋_GB2312" w:cs="仿宋_GB2312"/>
          <w:kern w:val="0"/>
          <w:sz w:val="24"/>
          <w:szCs w:val="24"/>
          <w:lang w:val="en-US" w:eastAsia="zh-CN"/>
        </w:rPr>
        <w:t>作为</w:t>
      </w:r>
      <w:r>
        <w:rPr>
          <w:rFonts w:hint="eastAsia" w:ascii="仿宋_GB2312" w:hAnsi="仿宋_GB2312" w:eastAsia="仿宋_GB2312" w:cs="仿宋_GB2312"/>
          <w:bCs/>
          <w:sz w:val="24"/>
        </w:rPr>
        <w:t>经济</w:t>
      </w:r>
      <w:r>
        <w:rPr>
          <w:rFonts w:hint="eastAsia" w:ascii="仿宋_GB2312" w:hAnsi="仿宋_GB2312" w:eastAsia="仿宋_GB2312" w:cs="仿宋_GB2312"/>
          <w:bCs/>
          <w:sz w:val="24"/>
        </w:rPr>
        <w:t>赔偿</w:t>
      </w:r>
      <w:r>
        <w:rPr>
          <w:rFonts w:hint="eastAsia" w:ascii="仿宋_GB2312" w:hAnsi="仿宋_GB2312" w:eastAsia="仿宋_GB2312" w:cs="仿宋_GB2312"/>
          <w:bCs/>
          <w:sz w:val="24"/>
          <w:lang w:eastAsia="zh-CN"/>
        </w:rPr>
        <w:t>。</w:t>
      </w:r>
    </w:p>
    <w:p w14:paraId="285D4963">
      <w:pPr>
        <w:spacing w:line="38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w:t>
      </w:r>
      <w:r>
        <w:rPr>
          <w:rFonts w:hint="eastAsia" w:ascii="仿宋_GB2312" w:hAnsi="仿宋_GB2312" w:eastAsia="仿宋_GB2312" w:cs="仿宋_GB2312"/>
          <w:bCs/>
          <w:sz w:val="24"/>
        </w:rPr>
        <w:t>乙方供应的肥料若检验不合格或不符合采购合同约定的，甲方有权拒收，造成甲方经济损失的，乙方应承担赔偿责任。</w:t>
      </w:r>
    </w:p>
    <w:p w14:paraId="0BB864F3">
      <w:pPr>
        <w:spacing w:line="38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4</w:t>
      </w:r>
      <w:r>
        <w:rPr>
          <w:rFonts w:hint="eastAsia" w:ascii="仿宋_GB2312" w:hAnsi="仿宋_GB2312" w:eastAsia="仿宋_GB2312" w:cs="仿宋_GB2312"/>
          <w:bCs/>
          <w:sz w:val="24"/>
        </w:rPr>
        <w:t>、乙方需做好肥料的库存。</w:t>
      </w:r>
    </w:p>
    <w:p w14:paraId="176F0A67">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、乙方负责其产品所涉及的有关项目的所有费用，包括生产、运输（从生产点到存货点）、保险、检验、售后服务以及其他相关费用。</w:t>
      </w:r>
    </w:p>
    <w:p w14:paraId="4AFDC2AA">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、解决合同纠纷的处理方式：本合同在履行中若发生争议或纠纷，由甲乙双方友好协商解决，协商不成提交甲方所在地人民法院诉讼解决。</w:t>
      </w:r>
    </w:p>
    <w:p w14:paraId="40300337">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九、不可抗力：</w:t>
      </w:r>
    </w:p>
    <w:p w14:paraId="63F940B5">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23021EBE">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5069DF71">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十、合同纠纷的处理方式：</w:t>
      </w:r>
    </w:p>
    <w:p w14:paraId="2361CAD6">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因本合同或与本合同有关的一切事项发生争议，由双方友好协商解决。</w:t>
      </w:r>
    </w:p>
    <w:p w14:paraId="21C0D100">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十一、其他约定</w:t>
      </w:r>
    </w:p>
    <w:p w14:paraId="5B75D6B6">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1、本合同未尽事宜，双方另行补充。</w:t>
      </w:r>
    </w:p>
    <w:p w14:paraId="12DEA3B2">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w:t>
      </w:r>
      <w:r>
        <w:rPr>
          <w:rFonts w:hint="eastAsia" w:ascii="仿宋_GB2312" w:hAnsi="仿宋_GB2312" w:eastAsia="仿宋_GB2312" w:cs="仿宋_GB2312"/>
          <w:color w:val="000000"/>
          <w:sz w:val="24"/>
        </w:rPr>
        <w:t>本合同一式肆份，甲方执叁份，乙方执壹份。</w:t>
      </w:r>
      <w:r>
        <w:rPr>
          <w:rFonts w:hint="eastAsia" w:ascii="仿宋_GB2312" w:hAnsi="仿宋_GB2312" w:eastAsia="仿宋_GB2312" w:cs="仿宋_GB2312"/>
          <w:sz w:val="24"/>
        </w:rPr>
        <w:t>经双方授权代表签字并盖章后生效。</w:t>
      </w:r>
    </w:p>
    <w:p w14:paraId="17CCC8EE">
      <w:pPr>
        <w:spacing w:line="380" w:lineRule="exact"/>
        <w:rPr>
          <w:rFonts w:hint="eastAsia" w:ascii="仿宋_GB2312" w:hAnsi="仿宋_GB2312" w:eastAsia="仿宋_GB2312" w:cs="仿宋_GB2312"/>
          <w:sz w:val="24"/>
        </w:rPr>
      </w:pPr>
    </w:p>
    <w:p w14:paraId="1AB8E294">
      <w:pPr>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甲方:福建省明溪国有林场                       乙方：</w:t>
      </w:r>
    </w:p>
    <w:p w14:paraId="67CE59CD">
      <w:pPr>
        <w:spacing w:line="380" w:lineRule="exact"/>
        <w:ind w:firstLine="240" w:firstLineChars="100"/>
        <w:rPr>
          <w:rFonts w:hint="eastAsia" w:ascii="仿宋_GB2312" w:hAnsi="仿宋_GB2312" w:eastAsia="仿宋_GB2312" w:cs="仿宋_GB2312"/>
          <w:sz w:val="24"/>
        </w:rPr>
      </w:pPr>
    </w:p>
    <w:p w14:paraId="1769AB4B">
      <w:pPr>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法定代表人：                                  法定代表人：</w:t>
      </w:r>
    </w:p>
    <w:p w14:paraId="3ADC4F25">
      <w:pPr>
        <w:spacing w:line="380" w:lineRule="exact"/>
        <w:ind w:firstLine="240" w:firstLineChars="100"/>
        <w:rPr>
          <w:rFonts w:hint="eastAsia" w:ascii="仿宋_GB2312" w:hAnsi="仿宋_GB2312" w:eastAsia="仿宋_GB2312" w:cs="仿宋_GB2312"/>
          <w:sz w:val="24"/>
        </w:rPr>
      </w:pPr>
    </w:p>
    <w:p w14:paraId="13981B9D">
      <w:pPr>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分管领导：</w:t>
      </w:r>
    </w:p>
    <w:p w14:paraId="025A7593">
      <w:pPr>
        <w:spacing w:line="380" w:lineRule="exact"/>
        <w:ind w:firstLine="240" w:firstLineChars="100"/>
        <w:rPr>
          <w:rFonts w:hint="eastAsia" w:ascii="仿宋_GB2312" w:hAnsi="仿宋_GB2312" w:eastAsia="仿宋_GB2312" w:cs="仿宋_GB2312"/>
          <w:sz w:val="24"/>
        </w:rPr>
      </w:pPr>
    </w:p>
    <w:p w14:paraId="45FF78C6">
      <w:pPr>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营林科：</w:t>
      </w:r>
    </w:p>
    <w:p w14:paraId="0B945AEC">
      <w:pPr>
        <w:spacing w:line="380" w:lineRule="exact"/>
        <w:ind w:firstLine="240" w:firstLineChars="100"/>
        <w:rPr>
          <w:rFonts w:hint="eastAsia" w:ascii="仿宋_GB2312" w:hAnsi="仿宋_GB2312" w:eastAsia="仿宋_GB2312" w:cs="仿宋_GB2312"/>
          <w:sz w:val="24"/>
        </w:rPr>
      </w:pPr>
    </w:p>
    <w:p w14:paraId="41AECEEA">
      <w:pPr>
        <w:spacing w:line="380" w:lineRule="exact"/>
        <w:ind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 月  日</w:t>
      </w:r>
    </w:p>
    <w:p w14:paraId="31AEF2CE"/>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8C43">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YTcyODA2NTY2ODc2ZjgyZTJjMmZjMzUyMTgxNTIifQ=="/>
  </w:docVars>
  <w:rsids>
    <w:rsidRoot w:val="00E51FE2"/>
    <w:rsid w:val="000237F0"/>
    <w:rsid w:val="0004001E"/>
    <w:rsid w:val="00046E6C"/>
    <w:rsid w:val="0005087F"/>
    <w:rsid w:val="000C2A36"/>
    <w:rsid w:val="000E44DA"/>
    <w:rsid w:val="0012358F"/>
    <w:rsid w:val="00132D9E"/>
    <w:rsid w:val="00140627"/>
    <w:rsid w:val="0015241E"/>
    <w:rsid w:val="00153313"/>
    <w:rsid w:val="001806BE"/>
    <w:rsid w:val="0019354C"/>
    <w:rsid w:val="001B1102"/>
    <w:rsid w:val="001F2BFB"/>
    <w:rsid w:val="00201DA1"/>
    <w:rsid w:val="00204B8D"/>
    <w:rsid w:val="00222132"/>
    <w:rsid w:val="00236975"/>
    <w:rsid w:val="00262619"/>
    <w:rsid w:val="00282370"/>
    <w:rsid w:val="002A4761"/>
    <w:rsid w:val="002C6497"/>
    <w:rsid w:val="0031625F"/>
    <w:rsid w:val="00333F67"/>
    <w:rsid w:val="0039456F"/>
    <w:rsid w:val="003A372E"/>
    <w:rsid w:val="003B43A0"/>
    <w:rsid w:val="003C52F4"/>
    <w:rsid w:val="003D0573"/>
    <w:rsid w:val="003D08F3"/>
    <w:rsid w:val="003D2DA7"/>
    <w:rsid w:val="00400448"/>
    <w:rsid w:val="00413241"/>
    <w:rsid w:val="004200BF"/>
    <w:rsid w:val="00460326"/>
    <w:rsid w:val="004612BC"/>
    <w:rsid w:val="00462E4D"/>
    <w:rsid w:val="00477332"/>
    <w:rsid w:val="0049789B"/>
    <w:rsid w:val="004D3EBA"/>
    <w:rsid w:val="004E28EF"/>
    <w:rsid w:val="004F61F3"/>
    <w:rsid w:val="00500412"/>
    <w:rsid w:val="00527F43"/>
    <w:rsid w:val="00565856"/>
    <w:rsid w:val="005A0499"/>
    <w:rsid w:val="005C3142"/>
    <w:rsid w:val="00665BFA"/>
    <w:rsid w:val="006A2E49"/>
    <w:rsid w:val="006B70CB"/>
    <w:rsid w:val="006D45AC"/>
    <w:rsid w:val="006E1D29"/>
    <w:rsid w:val="006E575D"/>
    <w:rsid w:val="00704247"/>
    <w:rsid w:val="00730DF6"/>
    <w:rsid w:val="00806601"/>
    <w:rsid w:val="0083287D"/>
    <w:rsid w:val="00845373"/>
    <w:rsid w:val="00884122"/>
    <w:rsid w:val="008A608F"/>
    <w:rsid w:val="008C2541"/>
    <w:rsid w:val="008C474A"/>
    <w:rsid w:val="008D3B6B"/>
    <w:rsid w:val="00932FF2"/>
    <w:rsid w:val="0095440E"/>
    <w:rsid w:val="009641F2"/>
    <w:rsid w:val="0098240B"/>
    <w:rsid w:val="009D3B29"/>
    <w:rsid w:val="009F2020"/>
    <w:rsid w:val="009F71BE"/>
    <w:rsid w:val="00A21679"/>
    <w:rsid w:val="00AA3073"/>
    <w:rsid w:val="00AD7FCA"/>
    <w:rsid w:val="00AF18EA"/>
    <w:rsid w:val="00AF4ACD"/>
    <w:rsid w:val="00B10CC0"/>
    <w:rsid w:val="00B3566F"/>
    <w:rsid w:val="00B812A5"/>
    <w:rsid w:val="00BA5F44"/>
    <w:rsid w:val="00BB024C"/>
    <w:rsid w:val="00BD1C4A"/>
    <w:rsid w:val="00C40723"/>
    <w:rsid w:val="00C41C1E"/>
    <w:rsid w:val="00C749E1"/>
    <w:rsid w:val="00C872C3"/>
    <w:rsid w:val="00CB10D7"/>
    <w:rsid w:val="00CC2827"/>
    <w:rsid w:val="00CF2FE9"/>
    <w:rsid w:val="00DC42EA"/>
    <w:rsid w:val="00DF5B50"/>
    <w:rsid w:val="00E001EF"/>
    <w:rsid w:val="00E34166"/>
    <w:rsid w:val="00E45B34"/>
    <w:rsid w:val="00E51FE2"/>
    <w:rsid w:val="00E55403"/>
    <w:rsid w:val="00E67432"/>
    <w:rsid w:val="00ED25EC"/>
    <w:rsid w:val="00F07639"/>
    <w:rsid w:val="00F23086"/>
    <w:rsid w:val="00F4632B"/>
    <w:rsid w:val="00F86744"/>
    <w:rsid w:val="00FF212E"/>
    <w:rsid w:val="036B6D74"/>
    <w:rsid w:val="03B3065C"/>
    <w:rsid w:val="082C4FE6"/>
    <w:rsid w:val="093C74AB"/>
    <w:rsid w:val="0960344D"/>
    <w:rsid w:val="09A82D92"/>
    <w:rsid w:val="0A50640C"/>
    <w:rsid w:val="0B204BAA"/>
    <w:rsid w:val="0C1F456F"/>
    <w:rsid w:val="0CA830A9"/>
    <w:rsid w:val="0CA91D04"/>
    <w:rsid w:val="0FE10DAC"/>
    <w:rsid w:val="11A14C33"/>
    <w:rsid w:val="12A617E0"/>
    <w:rsid w:val="12AE3E48"/>
    <w:rsid w:val="12D1335A"/>
    <w:rsid w:val="1542409B"/>
    <w:rsid w:val="15B36D47"/>
    <w:rsid w:val="15C87C62"/>
    <w:rsid w:val="167E1DB3"/>
    <w:rsid w:val="180C088C"/>
    <w:rsid w:val="1A750C8A"/>
    <w:rsid w:val="1A7F5449"/>
    <w:rsid w:val="1AB33345"/>
    <w:rsid w:val="1BEA49C3"/>
    <w:rsid w:val="1C252021"/>
    <w:rsid w:val="1C26681F"/>
    <w:rsid w:val="1DFB0D51"/>
    <w:rsid w:val="21136485"/>
    <w:rsid w:val="24CC73FB"/>
    <w:rsid w:val="25143681"/>
    <w:rsid w:val="27357005"/>
    <w:rsid w:val="276E630D"/>
    <w:rsid w:val="27896596"/>
    <w:rsid w:val="27C052F3"/>
    <w:rsid w:val="2A3A138D"/>
    <w:rsid w:val="2AA60533"/>
    <w:rsid w:val="2B165956"/>
    <w:rsid w:val="2CBC077F"/>
    <w:rsid w:val="2DD42263"/>
    <w:rsid w:val="2F2909A6"/>
    <w:rsid w:val="303714C9"/>
    <w:rsid w:val="31566EC3"/>
    <w:rsid w:val="327D3F6B"/>
    <w:rsid w:val="32D65148"/>
    <w:rsid w:val="336A6DED"/>
    <w:rsid w:val="339C1209"/>
    <w:rsid w:val="344E43B3"/>
    <w:rsid w:val="394E6F64"/>
    <w:rsid w:val="39A72397"/>
    <w:rsid w:val="3A225DD9"/>
    <w:rsid w:val="41276A31"/>
    <w:rsid w:val="43A55671"/>
    <w:rsid w:val="44476A81"/>
    <w:rsid w:val="46B75758"/>
    <w:rsid w:val="473B0C2D"/>
    <w:rsid w:val="478D6B48"/>
    <w:rsid w:val="4B8A22D5"/>
    <w:rsid w:val="4C2A0E0A"/>
    <w:rsid w:val="4D534390"/>
    <w:rsid w:val="4FCC2EEA"/>
    <w:rsid w:val="50211978"/>
    <w:rsid w:val="509833B5"/>
    <w:rsid w:val="51055EAE"/>
    <w:rsid w:val="516275B8"/>
    <w:rsid w:val="57D165DD"/>
    <w:rsid w:val="5BAA7871"/>
    <w:rsid w:val="5C7A6649"/>
    <w:rsid w:val="5DBE1E15"/>
    <w:rsid w:val="628C136C"/>
    <w:rsid w:val="65734BE0"/>
    <w:rsid w:val="6574106F"/>
    <w:rsid w:val="65E120E1"/>
    <w:rsid w:val="668C33E1"/>
    <w:rsid w:val="68371C9A"/>
    <w:rsid w:val="68DD0A22"/>
    <w:rsid w:val="6D605FE2"/>
    <w:rsid w:val="6D976AA2"/>
    <w:rsid w:val="70A5281D"/>
    <w:rsid w:val="74381A66"/>
    <w:rsid w:val="775117BD"/>
    <w:rsid w:val="7991610E"/>
    <w:rsid w:val="79E44F5E"/>
    <w:rsid w:val="7A9D6AC7"/>
    <w:rsid w:val="7BA446D0"/>
    <w:rsid w:val="7BFF730D"/>
    <w:rsid w:val="7C217F91"/>
    <w:rsid w:val="7D4D5E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qFormat/>
    <w:uiPriority w:val="99"/>
    <w:pPr>
      <w:ind w:firstLine="420"/>
    </w:pPr>
    <w:rPr>
      <w:kern w:val="2"/>
      <w:sz w:val="21"/>
      <w:szCs w:val="21"/>
    </w:rPr>
  </w:style>
  <w:style w:type="paragraph" w:styleId="3">
    <w:name w:val="Plain Text"/>
    <w:basedOn w:val="1"/>
    <w:link w:val="11"/>
    <w:uiPriority w:val="0"/>
    <w:rPr>
      <w:rFonts w:ascii="宋体" w:hAnsi="Courier New"/>
      <w:szCs w:val="20"/>
    </w:rPr>
  </w:style>
  <w:style w:type="paragraph" w:styleId="4">
    <w:name w:val="Balloon Text"/>
    <w:basedOn w:val="1"/>
    <w:link w:val="12"/>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uiPriority w:val="0"/>
  </w:style>
  <w:style w:type="character" w:customStyle="1" w:styleId="11">
    <w:name w:val="纯文本 Char"/>
    <w:link w:val="3"/>
    <w:uiPriority w:val="0"/>
    <w:rPr>
      <w:rFonts w:ascii="宋体" w:hAnsi="Courier New" w:eastAsia="宋体"/>
      <w:kern w:val="2"/>
      <w:sz w:val="21"/>
      <w:lang w:val="en-US" w:eastAsia="zh-CN" w:bidi="ar-SA"/>
    </w:rPr>
  </w:style>
  <w:style w:type="character" w:customStyle="1" w:styleId="12">
    <w:name w:val="批注框文本 Char"/>
    <w:basedOn w:val="9"/>
    <w:link w:val="4"/>
    <w:uiPriority w:val="0"/>
    <w:rPr>
      <w:kern w:val="2"/>
      <w:sz w:val="18"/>
      <w:szCs w:val="18"/>
    </w:rPr>
  </w:style>
  <w:style w:type="paragraph" w:customStyle="1" w:styleId="13">
    <w:name w:val="p0"/>
    <w:basedOn w:val="1"/>
    <w:uiPriority w:val="0"/>
    <w:pPr>
      <w:widowControl/>
    </w:pPr>
    <w:rPr>
      <w:kern w:val="0"/>
      <w:szCs w:val="21"/>
    </w:rPr>
  </w:style>
  <w:style w:type="paragraph" w:customStyle="1" w:styleId="14">
    <w:name w:val=" Char"/>
    <w:basedOn w:val="1"/>
    <w:uiPriority w:val="0"/>
    <w:rPr>
      <w:rFonts w:ascii="Tahoma" w:hAnsi="Tahoma"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2108</Words>
  <Characters>2218</Characters>
  <Lines>17</Lines>
  <Paragraphs>4</Paragraphs>
  <TotalTime>1</TotalTime>
  <ScaleCrop>false</ScaleCrop>
  <LinksUpToDate>false</LinksUpToDate>
  <CharactersWithSpaces>2388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2020-10-16T01:04:00Z</dcterms:created>
  <dc:creator>admin</dc:creator>
  <cp:lastModifiedBy>永恒国度</cp:lastModifiedBy>
  <cp:lastPrinted>2022-01-18T08:22:00Z</cp:lastPrinted>
  <dcterms:modified xsi:type="dcterms:W3CDTF">2025-05-27T09:06:26Z</dcterms:modified>
  <dc:title>53%高塔复合肥采购合同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8623D69F3695417AA6691C6A835EABF1_13</vt:lpwstr>
  </property>
  <property fmtid="{D5CDD505-2E9C-101B-9397-08002B2CF9AE}" pid="4" name="KSOTemplateDocerSaveRecord">
    <vt:lpwstr>eyJoZGlkIjoiODYyMjlmMTEyNmRkYzFkYmM0ZDBlYTU3NGU2NDAzNDQiLCJ1c2VySWQiOiI4NTI0MTkwMjcifQ==</vt:lpwstr>
  </property>
</Properties>
</file>