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8A" w:rsidRPr="0091128A" w:rsidRDefault="0091128A" w:rsidP="0091128A">
      <w:pPr>
        <w:ind w:firstLine="405"/>
        <w:jc w:val="center"/>
        <w:rPr>
          <w:rFonts w:ascii="Times New Roman" w:eastAsia="Times New Roman" w:hAnsi="宋体" w:cs="宋体"/>
          <w:color w:val="0000FF"/>
          <w:sz w:val="44"/>
          <w:szCs w:val="44"/>
        </w:rPr>
      </w:pPr>
      <w:r w:rsidRPr="0091128A">
        <w:rPr>
          <w:rFonts w:ascii="宋体" w:hAnsi="宋体" w:cs="宋体" w:hint="eastAsia"/>
          <w:color w:val="0000FF"/>
          <w:sz w:val="44"/>
          <w:szCs w:val="44"/>
        </w:rPr>
        <w:t>招标文件的其他资料</w:t>
      </w:r>
    </w:p>
    <w:p w:rsidR="0091128A" w:rsidRPr="0091128A" w:rsidRDefault="0091128A" w:rsidP="0091128A">
      <w:pPr>
        <w:ind w:firstLine="405"/>
        <w:jc w:val="left"/>
        <w:rPr>
          <w:rFonts w:ascii="宋体" w:hAnsi="宋体" w:cs="宋体"/>
          <w:sz w:val="30"/>
          <w:szCs w:val="30"/>
        </w:rPr>
      </w:pPr>
      <w:proofErr w:type="spellStart"/>
      <w:r w:rsidRPr="0091128A">
        <w:rPr>
          <w:rFonts w:ascii="宋体" w:eastAsia="Times New Roman" w:hAnsi="宋体" w:cs="宋体" w:hint="eastAsia"/>
          <w:color w:val="0000FF"/>
          <w:sz w:val="30"/>
          <w:szCs w:val="30"/>
        </w:rPr>
        <w:t>附件一</w:t>
      </w:r>
      <w:proofErr w:type="spellEnd"/>
      <w:r w:rsidRPr="0091128A">
        <w:rPr>
          <w:rFonts w:ascii="宋体" w:hAnsi="宋体" w:cs="宋体" w:hint="eastAsia"/>
          <w:color w:val="0000FF"/>
          <w:sz w:val="30"/>
          <w:szCs w:val="30"/>
        </w:rPr>
        <w:t xml:space="preserve">             </w:t>
      </w:r>
      <w:proofErr w:type="spellStart"/>
      <w:r w:rsidRPr="0091128A">
        <w:rPr>
          <w:rFonts w:ascii="宋体" w:eastAsia="Times New Roman" w:hAnsi="宋体" w:cs="宋体" w:hint="eastAsia"/>
          <w:b/>
          <w:bCs/>
          <w:color w:val="0000FF"/>
          <w:sz w:val="32"/>
          <w:szCs w:val="32"/>
        </w:rPr>
        <w:t>定标因素</w:t>
      </w:r>
      <w:proofErr w:type="spellEnd"/>
    </w:p>
    <w:tbl>
      <w:tblPr>
        <w:tblW w:w="947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50"/>
        <w:gridCol w:w="7672"/>
        <w:gridCol w:w="755"/>
      </w:tblGrid>
      <w:tr w:rsidR="0091128A" w:rsidRPr="0091128A" w:rsidTr="003E62FB">
        <w:trPr>
          <w:trHeight w:val="461"/>
          <w:jc w:val="center"/>
        </w:trPr>
        <w:tc>
          <w:tcPr>
            <w:tcW w:w="1050" w:type="dxa"/>
            <w:vAlign w:val="center"/>
          </w:tcPr>
          <w:p w:rsidR="0091128A" w:rsidRPr="0091128A" w:rsidRDefault="0091128A" w:rsidP="003E62FB">
            <w:pPr>
              <w:widowControl/>
              <w:kinsoku w:val="0"/>
              <w:autoSpaceDE w:val="0"/>
              <w:autoSpaceDN w:val="0"/>
              <w:snapToGrid w:val="0"/>
              <w:spacing w:line="360" w:lineRule="auto"/>
              <w:jc w:val="center"/>
              <w:rPr>
                <w:rFonts w:ascii="Times New Roman" w:eastAsia="Times New Roman" w:hAnsi="Times New Roman"/>
                <w:color w:val="0000FF"/>
                <w:sz w:val="22"/>
              </w:rPr>
            </w:pPr>
            <w:r w:rsidRPr="0091128A">
              <w:rPr>
                <w:rFonts w:ascii="宋体" w:hAnsi="宋体" w:cs="宋体" w:hint="eastAsia"/>
                <w:color w:val="0000FF"/>
                <w:sz w:val="22"/>
              </w:rPr>
              <w:t>定标规则</w:t>
            </w:r>
          </w:p>
        </w:tc>
        <w:tc>
          <w:tcPr>
            <w:tcW w:w="7672" w:type="dxa"/>
            <w:vAlign w:val="center"/>
          </w:tcPr>
          <w:p w:rsidR="0091128A" w:rsidRPr="0091128A" w:rsidRDefault="0091128A" w:rsidP="003E62FB">
            <w:pPr>
              <w:widowControl/>
              <w:kinsoku w:val="0"/>
              <w:autoSpaceDE w:val="0"/>
              <w:autoSpaceDN w:val="0"/>
              <w:snapToGrid w:val="0"/>
              <w:jc w:val="center"/>
              <w:rPr>
                <w:rFonts w:ascii="Times New Roman" w:eastAsia="Times New Roman" w:hAnsi="Times New Roman"/>
                <w:color w:val="0000FF"/>
                <w:sz w:val="22"/>
              </w:rPr>
            </w:pPr>
            <w:r w:rsidRPr="0091128A">
              <w:rPr>
                <w:rFonts w:ascii="宋体" w:hAnsi="宋体" w:cs="宋体" w:hint="eastAsia"/>
                <w:color w:val="0000FF"/>
                <w:spacing w:val="3"/>
                <w:sz w:val="22"/>
              </w:rPr>
              <w:t>详细标准</w:t>
            </w:r>
          </w:p>
        </w:tc>
        <w:tc>
          <w:tcPr>
            <w:tcW w:w="755" w:type="dxa"/>
            <w:vAlign w:val="center"/>
          </w:tcPr>
          <w:p w:rsidR="0091128A" w:rsidRPr="0091128A" w:rsidRDefault="0091128A" w:rsidP="003E62FB">
            <w:pPr>
              <w:widowControl/>
              <w:kinsoku w:val="0"/>
              <w:autoSpaceDE w:val="0"/>
              <w:autoSpaceDN w:val="0"/>
              <w:snapToGrid w:val="0"/>
              <w:spacing w:line="360" w:lineRule="auto"/>
              <w:jc w:val="center"/>
              <w:rPr>
                <w:rFonts w:ascii="Times New Roman" w:eastAsia="Times New Roman" w:hAnsi="Times New Roman"/>
                <w:color w:val="0000FF"/>
                <w:sz w:val="22"/>
              </w:rPr>
            </w:pPr>
            <w:r w:rsidRPr="0091128A">
              <w:rPr>
                <w:rFonts w:ascii="宋体" w:hAnsi="宋体" w:cs="宋体" w:hint="eastAsia"/>
                <w:color w:val="0000FF"/>
                <w:spacing w:val="5"/>
                <w:sz w:val="22"/>
              </w:rPr>
              <w:t>分值</w:t>
            </w:r>
          </w:p>
        </w:tc>
      </w:tr>
      <w:tr w:rsidR="0091128A" w:rsidRPr="0091128A" w:rsidTr="003E62FB">
        <w:trPr>
          <w:trHeight w:val="90"/>
          <w:jc w:val="center"/>
        </w:trPr>
        <w:tc>
          <w:tcPr>
            <w:tcW w:w="1050" w:type="dxa"/>
            <w:tcBorders>
              <w:bottom w:val="nil"/>
            </w:tcBorders>
            <w:vAlign w:val="center"/>
          </w:tcPr>
          <w:p w:rsidR="0091128A" w:rsidRPr="0091128A" w:rsidRDefault="0091128A" w:rsidP="003E62FB">
            <w:pPr>
              <w:widowControl/>
              <w:jc w:val="center"/>
              <w:textAlignment w:val="center"/>
              <w:rPr>
                <w:rFonts w:ascii="Times New Roman" w:eastAsia="Times New Roman" w:hAnsi="Times New Roman"/>
                <w:color w:val="0000FF"/>
                <w:sz w:val="22"/>
              </w:rPr>
            </w:pPr>
            <w:r w:rsidRPr="0091128A">
              <w:rPr>
                <w:rFonts w:ascii="宋体" w:hAnsi="宋体" w:cs="宋体" w:hint="eastAsia"/>
                <w:color w:val="0000FF"/>
                <w:sz w:val="22"/>
              </w:rPr>
              <w:t>价格因素</w:t>
            </w:r>
          </w:p>
        </w:tc>
        <w:tc>
          <w:tcPr>
            <w:tcW w:w="7672" w:type="dxa"/>
            <w:vAlign w:val="center"/>
          </w:tcPr>
          <w:p w:rsidR="0091128A" w:rsidRPr="0091128A" w:rsidRDefault="0091128A" w:rsidP="0091128A">
            <w:pPr>
              <w:widowControl/>
              <w:snapToGrid w:val="0"/>
              <w:jc w:val="left"/>
              <w:textAlignment w:val="center"/>
              <w:rPr>
                <w:rFonts w:ascii="宋体" w:hAnsi="宋体" w:cs="宋体" w:hint="eastAsia"/>
                <w:color w:val="0000FF"/>
                <w:sz w:val="22"/>
              </w:rPr>
            </w:pPr>
            <w:bookmarkStart w:id="0" w:name="_GoBack"/>
            <w:r w:rsidRPr="0091128A">
              <w:rPr>
                <w:rFonts w:ascii="宋体" w:hAnsi="宋体" w:cs="宋体" w:hint="eastAsia"/>
                <w:color w:val="0000FF"/>
                <w:sz w:val="22"/>
              </w:rPr>
              <w:t>根据定标候选人投标报价由低到高排序情况进行横向评议（若任一名出现多家并列的，视为同一名，下同）：</w:t>
            </w:r>
          </w:p>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1.第一名至第二名得5.0分；</w:t>
            </w:r>
            <w:r w:rsidRPr="0091128A">
              <w:rPr>
                <w:rFonts w:ascii="宋体" w:hAnsi="宋体" w:cs="宋体" w:hint="eastAsia"/>
                <w:color w:val="0000FF"/>
                <w:sz w:val="22"/>
              </w:rPr>
              <w:br/>
              <w:t>2.第三名至第四名得4.0分；</w:t>
            </w:r>
            <w:r w:rsidRPr="0091128A">
              <w:rPr>
                <w:rFonts w:ascii="宋体" w:hAnsi="宋体" w:cs="宋体" w:hint="eastAsia"/>
                <w:color w:val="0000FF"/>
                <w:sz w:val="22"/>
              </w:rPr>
              <w:br/>
              <w:t>3.第五名至第十名得3.0分。</w:t>
            </w:r>
          </w:p>
          <w:p w:rsidR="0091128A" w:rsidRPr="0091128A" w:rsidRDefault="0091128A" w:rsidP="0091128A">
            <w:pPr>
              <w:widowControl/>
              <w:snapToGrid w:val="0"/>
              <w:jc w:val="left"/>
              <w:textAlignment w:val="center"/>
              <w:rPr>
                <w:rFonts w:ascii="Times New Roman" w:eastAsia="Times New Roman" w:hAnsi="Times New Roman"/>
                <w:color w:val="0000FF"/>
                <w:sz w:val="22"/>
              </w:rPr>
            </w:pPr>
            <w:r w:rsidRPr="0091128A">
              <w:rPr>
                <w:rFonts w:ascii="宋体" w:hAnsi="宋体" w:cs="宋体" w:hint="eastAsia"/>
                <w:color w:val="0000FF"/>
                <w:sz w:val="22"/>
              </w:rPr>
              <w:t>本项满分5.0分。</w:t>
            </w:r>
            <w:bookmarkEnd w:id="0"/>
          </w:p>
        </w:tc>
        <w:tc>
          <w:tcPr>
            <w:tcW w:w="755" w:type="dxa"/>
            <w:vAlign w:val="center"/>
          </w:tcPr>
          <w:p w:rsidR="0091128A" w:rsidRPr="0091128A" w:rsidRDefault="0091128A" w:rsidP="003E62FB">
            <w:pPr>
              <w:widowControl/>
              <w:kinsoku w:val="0"/>
              <w:autoSpaceDE w:val="0"/>
              <w:autoSpaceDN w:val="0"/>
              <w:snapToGrid w:val="0"/>
              <w:spacing w:line="360" w:lineRule="auto"/>
              <w:jc w:val="center"/>
              <w:rPr>
                <w:rFonts w:ascii="Times New Roman" w:eastAsia="Times New Roman" w:hAnsi="Times New Roman"/>
                <w:color w:val="0000FF"/>
                <w:sz w:val="22"/>
              </w:rPr>
            </w:pPr>
            <w:r w:rsidRPr="0091128A">
              <w:rPr>
                <w:rFonts w:ascii="宋体" w:hAnsi="宋体" w:cs="宋体" w:hint="eastAsia"/>
                <w:color w:val="0000FF"/>
                <w:sz w:val="22"/>
              </w:rPr>
              <w:t>5分</w:t>
            </w:r>
          </w:p>
        </w:tc>
      </w:tr>
      <w:tr w:rsidR="0091128A" w:rsidRPr="0091128A" w:rsidTr="003E62FB">
        <w:trPr>
          <w:trHeight w:val="3165"/>
          <w:jc w:val="center"/>
        </w:trPr>
        <w:tc>
          <w:tcPr>
            <w:tcW w:w="1050" w:type="dxa"/>
            <w:tcBorders>
              <w:bottom w:val="single" w:sz="4" w:space="0" w:color="auto"/>
            </w:tcBorders>
            <w:vAlign w:val="center"/>
          </w:tcPr>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方案因素</w:t>
            </w:r>
          </w:p>
        </w:tc>
        <w:tc>
          <w:tcPr>
            <w:tcW w:w="7672" w:type="dxa"/>
            <w:tcBorders>
              <w:bottom w:val="single" w:sz="4" w:space="0" w:color="auto"/>
            </w:tcBorders>
            <w:vAlign w:val="center"/>
          </w:tcPr>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1、设计方案：在满足限额设计以及安全、绿色、节能、环保要求的前提下设计方案重点对功能、技术、经济和美观等进行评审。满足基本设计要求的得基本分10分，设计方案对功能、技术、经济和美观等进行优化的加0～5分。本项满分15分。</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2、施工方案：</w:t>
            </w:r>
            <w:r w:rsidRPr="0091128A">
              <w:rPr>
                <w:rFonts w:ascii="宋体" w:hAnsi="宋体" w:cs="宋体" w:hint="eastAsia"/>
                <w:color w:val="0000FF"/>
                <w:sz w:val="22"/>
              </w:rPr>
              <w:fldChar w:fldCharType="begin"/>
            </w:r>
            <w:r w:rsidRPr="0091128A">
              <w:rPr>
                <w:rFonts w:ascii="宋体" w:hAnsi="宋体" w:cs="宋体" w:hint="eastAsia"/>
                <w:color w:val="0000FF"/>
                <w:sz w:val="22"/>
              </w:rPr>
              <w:instrText xml:space="preserve"> = 1 \* GB3 \* MERGEFORMAT </w:instrText>
            </w:r>
            <w:r w:rsidRPr="0091128A">
              <w:rPr>
                <w:rFonts w:ascii="宋体" w:hAnsi="宋体" w:cs="宋体" w:hint="eastAsia"/>
                <w:color w:val="0000FF"/>
                <w:sz w:val="22"/>
              </w:rPr>
              <w:fldChar w:fldCharType="separate"/>
            </w:r>
            <w:r w:rsidRPr="0091128A">
              <w:rPr>
                <w:rFonts w:ascii="宋体" w:hAnsi="宋体" w:cs="宋体" w:hint="eastAsia"/>
                <w:color w:val="0000FF"/>
                <w:sz w:val="22"/>
              </w:rPr>
              <w:t>①</w:t>
            </w:r>
            <w:r w:rsidRPr="0091128A">
              <w:rPr>
                <w:rFonts w:ascii="宋体" w:hAnsi="宋体" w:cs="宋体" w:hint="eastAsia"/>
                <w:color w:val="0000FF"/>
                <w:sz w:val="22"/>
              </w:rPr>
              <w:fldChar w:fldCharType="end"/>
            </w:r>
            <w:r w:rsidRPr="0091128A">
              <w:rPr>
                <w:rFonts w:ascii="宋体" w:hAnsi="宋体" w:cs="宋体" w:hint="eastAsia"/>
                <w:color w:val="0000FF"/>
                <w:sz w:val="22"/>
              </w:rPr>
              <w:t>有提供本项目施工程序、方法。②有提供本项目施工质量、安全、文明、</w:t>
            </w:r>
            <w:proofErr w:type="gramStart"/>
            <w:r w:rsidRPr="0091128A">
              <w:rPr>
                <w:rFonts w:ascii="宋体" w:hAnsi="宋体" w:cs="宋体" w:hint="eastAsia"/>
                <w:color w:val="0000FF"/>
                <w:sz w:val="22"/>
              </w:rPr>
              <w:t>环保保障</w:t>
            </w:r>
            <w:proofErr w:type="gramEnd"/>
            <w:r w:rsidRPr="0091128A">
              <w:rPr>
                <w:rFonts w:ascii="宋体" w:hAnsi="宋体" w:cs="宋体" w:hint="eastAsia"/>
                <w:color w:val="0000FF"/>
                <w:sz w:val="22"/>
              </w:rPr>
              <w:t>措施。③有提供本项目施工进度计划及保障措施。④有提供本项目施工工作重点、难点和对策。⑤有提供本项目合理化建议。满足基本设计要求的得基本分10分，由定标委员会进行横向比较，在0-5分酌情加分，本项满分15分。</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说明：定标委员会</w:t>
            </w:r>
            <w:proofErr w:type="gramStart"/>
            <w:r w:rsidRPr="0091128A">
              <w:rPr>
                <w:rFonts w:ascii="宋体" w:hAnsi="宋体" w:cs="宋体" w:hint="eastAsia"/>
                <w:color w:val="0000FF"/>
                <w:sz w:val="22"/>
              </w:rPr>
              <w:t>对某子项目</w:t>
            </w:r>
            <w:proofErr w:type="gramEnd"/>
            <w:r w:rsidRPr="0091128A">
              <w:rPr>
                <w:rFonts w:ascii="宋体" w:hAnsi="宋体" w:cs="宋体" w:hint="eastAsia"/>
                <w:color w:val="0000FF"/>
                <w:sz w:val="22"/>
              </w:rPr>
              <w:t>要点评分低于该子项目满分70%或高于90%的，应详细阐述具体理由（字数不少于50字）。</w:t>
            </w:r>
          </w:p>
        </w:tc>
        <w:tc>
          <w:tcPr>
            <w:tcW w:w="755" w:type="dxa"/>
            <w:tcBorders>
              <w:bottom w:val="single" w:sz="4" w:space="0" w:color="auto"/>
            </w:tcBorders>
            <w:vAlign w:val="center"/>
          </w:tcPr>
          <w:p w:rsidR="0091128A" w:rsidRPr="0091128A" w:rsidRDefault="0091128A" w:rsidP="003E62FB">
            <w:pPr>
              <w:widowControl/>
              <w:snapToGrid w:val="0"/>
              <w:jc w:val="center"/>
              <w:textAlignment w:val="center"/>
              <w:rPr>
                <w:rFonts w:ascii="宋体" w:hAnsi="宋体" w:cs="宋体"/>
                <w:color w:val="0000FF"/>
                <w:sz w:val="22"/>
              </w:rPr>
            </w:pPr>
            <w:r w:rsidRPr="0091128A">
              <w:rPr>
                <w:rFonts w:ascii="宋体" w:hAnsi="宋体" w:cs="宋体" w:hint="eastAsia"/>
                <w:color w:val="0000FF"/>
                <w:sz w:val="22"/>
              </w:rPr>
              <w:t>30分</w:t>
            </w:r>
          </w:p>
        </w:tc>
      </w:tr>
      <w:tr w:rsidR="0091128A" w:rsidRPr="0091128A" w:rsidTr="003E62FB">
        <w:trPr>
          <w:trHeight w:val="1078"/>
          <w:jc w:val="center"/>
        </w:trPr>
        <w:tc>
          <w:tcPr>
            <w:tcW w:w="1050" w:type="dxa"/>
            <w:vMerge w:val="restart"/>
            <w:tcBorders>
              <w:top w:val="single" w:sz="4" w:space="0" w:color="auto"/>
              <w:right w:val="single" w:sz="4" w:space="0" w:color="auto"/>
            </w:tcBorders>
            <w:vAlign w:val="center"/>
          </w:tcPr>
          <w:p w:rsidR="0091128A" w:rsidRPr="0091128A" w:rsidRDefault="0091128A" w:rsidP="003E62FB">
            <w:pPr>
              <w:widowControl/>
              <w:snapToGrid w:val="0"/>
              <w:jc w:val="center"/>
              <w:textAlignment w:val="center"/>
              <w:rPr>
                <w:rFonts w:ascii="宋体" w:hAnsi="宋体" w:cs="宋体"/>
                <w:color w:val="0000FF"/>
                <w:sz w:val="22"/>
              </w:rPr>
            </w:pPr>
            <w:r w:rsidRPr="0091128A">
              <w:rPr>
                <w:rFonts w:ascii="宋体" w:hAnsi="宋体" w:cs="宋体" w:hint="eastAsia"/>
                <w:color w:val="0000FF"/>
                <w:sz w:val="22"/>
              </w:rPr>
              <w:t>资信因素</w:t>
            </w:r>
          </w:p>
        </w:tc>
        <w:tc>
          <w:tcPr>
            <w:tcW w:w="7672" w:type="dxa"/>
            <w:tcBorders>
              <w:top w:val="single" w:sz="4" w:space="0" w:color="auto"/>
              <w:left w:val="single" w:sz="4" w:space="0" w:color="auto"/>
              <w:bottom w:val="single" w:sz="4" w:space="0" w:color="auto"/>
              <w:right w:val="single" w:sz="4" w:space="0" w:color="auto"/>
            </w:tcBorders>
            <w:vAlign w:val="center"/>
          </w:tcPr>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独立投标人（或承担主体工程设计单位）具有工程设计综合</w:t>
            </w:r>
            <w:proofErr w:type="gramStart"/>
            <w:r w:rsidRPr="0091128A">
              <w:rPr>
                <w:rFonts w:ascii="宋体" w:hAnsi="宋体" w:cs="宋体" w:hint="eastAsia"/>
                <w:color w:val="0000FF"/>
                <w:sz w:val="22"/>
              </w:rPr>
              <w:t>资质甲级</w:t>
            </w:r>
            <w:proofErr w:type="gramEnd"/>
            <w:r w:rsidRPr="0091128A">
              <w:rPr>
                <w:rFonts w:ascii="宋体" w:hAnsi="宋体" w:cs="宋体" w:hint="eastAsia"/>
                <w:color w:val="0000FF"/>
                <w:sz w:val="22"/>
              </w:rPr>
              <w:t>的，得5.0分，最多得5.0分。本项满分5.0分。</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注：投标人应提供资质证书扫描件。</w:t>
            </w:r>
          </w:p>
        </w:tc>
        <w:tc>
          <w:tcPr>
            <w:tcW w:w="755" w:type="dxa"/>
            <w:vMerge w:val="restart"/>
            <w:tcBorders>
              <w:top w:val="single" w:sz="4" w:space="0" w:color="auto"/>
              <w:left w:val="single" w:sz="4" w:space="0" w:color="auto"/>
            </w:tcBorders>
            <w:vAlign w:val="center"/>
          </w:tcPr>
          <w:p w:rsidR="0091128A" w:rsidRPr="0091128A" w:rsidRDefault="0091128A" w:rsidP="003E62FB">
            <w:pPr>
              <w:widowControl/>
              <w:snapToGrid w:val="0"/>
              <w:jc w:val="center"/>
              <w:textAlignment w:val="center"/>
              <w:rPr>
                <w:rFonts w:ascii="宋体" w:hAnsi="宋体" w:cs="宋体"/>
                <w:color w:val="0000FF"/>
                <w:sz w:val="22"/>
              </w:rPr>
            </w:pPr>
            <w:r w:rsidRPr="0091128A">
              <w:rPr>
                <w:rFonts w:ascii="宋体" w:hAnsi="宋体" w:cs="宋体" w:hint="eastAsia"/>
                <w:color w:val="0000FF"/>
                <w:sz w:val="22"/>
              </w:rPr>
              <w:t>25分</w:t>
            </w:r>
          </w:p>
        </w:tc>
      </w:tr>
      <w:tr w:rsidR="0091128A" w:rsidRPr="0091128A" w:rsidTr="003E62FB">
        <w:trPr>
          <w:trHeight w:val="5391"/>
          <w:jc w:val="center"/>
        </w:trPr>
        <w:tc>
          <w:tcPr>
            <w:tcW w:w="1050" w:type="dxa"/>
            <w:vMerge/>
            <w:tcBorders>
              <w:bottom w:val="single" w:sz="4" w:space="0" w:color="auto"/>
              <w:right w:val="single" w:sz="4" w:space="0" w:color="auto"/>
            </w:tcBorders>
            <w:vAlign w:val="center"/>
          </w:tcPr>
          <w:p w:rsidR="0091128A" w:rsidRPr="0091128A" w:rsidRDefault="0091128A" w:rsidP="003E62FB">
            <w:pPr>
              <w:widowControl/>
              <w:snapToGrid w:val="0"/>
              <w:jc w:val="left"/>
              <w:textAlignment w:val="center"/>
            </w:pPr>
          </w:p>
        </w:tc>
        <w:tc>
          <w:tcPr>
            <w:tcW w:w="7672" w:type="dxa"/>
            <w:tcBorders>
              <w:top w:val="single" w:sz="4" w:space="0" w:color="auto"/>
              <w:left w:val="single" w:sz="4" w:space="0" w:color="auto"/>
              <w:bottom w:val="single" w:sz="4" w:space="0" w:color="auto"/>
              <w:right w:val="single" w:sz="4" w:space="0" w:color="auto"/>
            </w:tcBorders>
            <w:vAlign w:val="center"/>
          </w:tcPr>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1、独立投标人（或承担主体工程设计单位）自本招标项目在法定媒介发布招标公告之日（或投标邀请书发出之日，下同）的前五年内（含在法定媒介发布招标公告之日）（时间以获奖证书的落款日期为准）获得过中国建设工程鲁班奖得5.0分，最多得5.0分。</w:t>
            </w:r>
          </w:p>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2、独立投标人（或承担主体工程设计单位）自本招标项目在法定媒介发布招标公告之日（或投标邀请书发出之日，下同）的前五年内（含在法定媒介发布招标公告之日）（时间以获奖证书的落款日期为准）获得过建筑绿色节能技术类国家科学技术进步奖得5.0分，最多得5.0分。</w:t>
            </w:r>
          </w:p>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3、独立投标人（或承担主体工程设计单位）自本招标项目在法定媒介发布招标公告之日（或投标邀请书发出之日，下同）的前五年内（含在法定媒介发布招标公告之日）（时间以获奖证书的落款日期为准）获得过詹天佑奖的，每个得5.0分，最多得10.0分。</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本项满分20.0分。</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注：</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（1）投标人应</w:t>
            </w:r>
            <w:proofErr w:type="gramStart"/>
            <w:r w:rsidRPr="0091128A">
              <w:rPr>
                <w:rFonts w:ascii="宋体" w:hAnsi="宋体" w:cs="宋体" w:hint="eastAsia"/>
                <w:color w:val="0000FF"/>
                <w:sz w:val="22"/>
              </w:rPr>
              <w:t>提供官网查询</w:t>
            </w:r>
            <w:proofErr w:type="gramEnd"/>
            <w:r w:rsidRPr="0091128A">
              <w:rPr>
                <w:rFonts w:ascii="宋体" w:hAnsi="宋体" w:cs="宋体" w:hint="eastAsia"/>
                <w:color w:val="0000FF"/>
                <w:sz w:val="22"/>
              </w:rPr>
              <w:t>获奖名单截图和获奖证书（或文件）扫描件，否则，其业绩不计。</w:t>
            </w:r>
          </w:p>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（2）</w:t>
            </w:r>
            <w:proofErr w:type="gramStart"/>
            <w:r w:rsidRPr="0091128A">
              <w:rPr>
                <w:rFonts w:ascii="宋体" w:hAnsi="宋体" w:cs="宋体" w:hint="eastAsia"/>
                <w:color w:val="0000FF"/>
                <w:sz w:val="22"/>
              </w:rPr>
              <w:t>官网查询</w:t>
            </w:r>
            <w:proofErr w:type="gramEnd"/>
            <w:r w:rsidRPr="0091128A">
              <w:rPr>
                <w:rFonts w:ascii="宋体" w:hAnsi="宋体" w:cs="宋体" w:hint="eastAsia"/>
                <w:color w:val="0000FF"/>
                <w:sz w:val="22"/>
              </w:rPr>
              <w:t>获奖名单截图和获奖证书（或文件）上应能体现投标人名称，否则，其业绩不计。</w:t>
            </w:r>
          </w:p>
        </w:tc>
        <w:tc>
          <w:tcPr>
            <w:tcW w:w="755" w:type="dxa"/>
            <w:vMerge/>
            <w:tcBorders>
              <w:left w:val="single" w:sz="4" w:space="0" w:color="auto"/>
              <w:bottom w:val="single" w:sz="4" w:space="0" w:color="auto"/>
            </w:tcBorders>
            <w:vAlign w:val="center"/>
          </w:tcPr>
          <w:p w:rsidR="0091128A" w:rsidRPr="0091128A" w:rsidRDefault="0091128A" w:rsidP="003E62FB">
            <w:pPr>
              <w:widowControl/>
              <w:snapToGrid w:val="0"/>
              <w:jc w:val="left"/>
              <w:textAlignment w:val="center"/>
              <w:rPr>
                <w:rFonts w:ascii="宋体" w:hAnsi="宋体" w:cs="宋体" w:hint="eastAsia"/>
                <w:color w:val="0000FF"/>
                <w:sz w:val="22"/>
              </w:rPr>
            </w:pPr>
          </w:p>
        </w:tc>
      </w:tr>
      <w:tr w:rsidR="0091128A" w:rsidRPr="0091128A" w:rsidTr="003E62FB">
        <w:trPr>
          <w:trHeight w:val="2096"/>
          <w:jc w:val="center"/>
        </w:trPr>
        <w:tc>
          <w:tcPr>
            <w:tcW w:w="1050" w:type="dxa"/>
            <w:tcBorders>
              <w:top w:val="single" w:sz="4" w:space="0" w:color="auto"/>
              <w:bottom w:val="single" w:sz="4" w:space="0" w:color="auto"/>
            </w:tcBorders>
            <w:vAlign w:val="center"/>
          </w:tcPr>
          <w:p w:rsidR="0091128A" w:rsidRPr="0091128A" w:rsidRDefault="0091128A" w:rsidP="003E62FB">
            <w:pPr>
              <w:widowControl/>
              <w:snapToGrid w:val="0"/>
              <w:jc w:val="center"/>
              <w:textAlignment w:val="center"/>
              <w:rPr>
                <w:rFonts w:ascii="宋体" w:hAnsi="宋体" w:cs="宋体"/>
                <w:color w:val="0000FF"/>
                <w:sz w:val="22"/>
              </w:rPr>
            </w:pPr>
            <w:r w:rsidRPr="0091128A">
              <w:rPr>
                <w:rFonts w:ascii="宋体" w:hAnsi="宋体" w:cs="宋体" w:hint="eastAsia"/>
                <w:color w:val="0000FF"/>
                <w:sz w:val="22"/>
              </w:rPr>
              <w:lastRenderedPageBreak/>
              <w:t>团队因素</w:t>
            </w:r>
          </w:p>
        </w:tc>
        <w:tc>
          <w:tcPr>
            <w:tcW w:w="7672" w:type="dxa"/>
            <w:tcBorders>
              <w:top w:val="single" w:sz="4" w:space="0" w:color="auto"/>
              <w:bottom w:val="single" w:sz="4" w:space="0" w:color="auto"/>
            </w:tcBorders>
            <w:vAlign w:val="center"/>
          </w:tcPr>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1、独立投标人（或承担主体工程设计单位）拟派设计团队中单一人员同时具有结构相关专业教授级（或正高级或正高职）高级工程师及以上职称和全国勘察设计大师称号的，得5.0分，最多得5.0分。</w:t>
            </w:r>
          </w:p>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2、独立投标人（或承担主体工程设计单位）拟派设计团队中单一人员同时具有电气相关专业教授级（或正高级或正高职）高级工程师及以上职称和全国勘察设计大师称号的，得5.0分，最多得5.0分。</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本项满分10.0分。</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注：</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（1）若单一人员同时满足以上两项条件（条件1和条件2），则只</w:t>
            </w:r>
            <w:proofErr w:type="gramStart"/>
            <w:r w:rsidRPr="0091128A">
              <w:rPr>
                <w:rFonts w:ascii="宋体" w:hAnsi="宋体" w:cs="宋体" w:hint="eastAsia"/>
                <w:color w:val="0000FF"/>
                <w:sz w:val="22"/>
              </w:rPr>
              <w:t>计其中</w:t>
            </w:r>
            <w:proofErr w:type="gramEnd"/>
            <w:r w:rsidRPr="0091128A">
              <w:rPr>
                <w:rFonts w:ascii="宋体" w:hAnsi="宋体" w:cs="宋体" w:hint="eastAsia"/>
                <w:color w:val="0000FF"/>
                <w:sz w:val="22"/>
              </w:rPr>
              <w:t>一项得分。</w:t>
            </w:r>
          </w:p>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（2）需提供人员职称证书和荣誉证书（或文件）扫描件。</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（3）以上人员由独立投标人（或承担主体工程设计单位）提供，以社保管理部门出具的自本招标项目投标截止之日的上二个月为始点并往前追溯连续缴费累计六个月及</w:t>
            </w:r>
            <w:proofErr w:type="gramStart"/>
            <w:r w:rsidRPr="0091128A">
              <w:rPr>
                <w:rFonts w:ascii="宋体" w:hAnsi="宋体" w:cs="宋体" w:hint="eastAsia"/>
                <w:color w:val="0000FF"/>
                <w:sz w:val="22"/>
              </w:rPr>
              <w:t>以上社保证明</w:t>
            </w:r>
            <w:proofErr w:type="gramEnd"/>
            <w:r w:rsidRPr="0091128A">
              <w:rPr>
                <w:rFonts w:ascii="宋体" w:hAnsi="宋体" w:cs="宋体" w:hint="eastAsia"/>
                <w:color w:val="0000FF"/>
                <w:sz w:val="22"/>
              </w:rPr>
              <w:t>扫描件所署单位为准。</w:t>
            </w:r>
          </w:p>
        </w:tc>
        <w:tc>
          <w:tcPr>
            <w:tcW w:w="755" w:type="dxa"/>
            <w:tcBorders>
              <w:top w:val="single" w:sz="4" w:space="0" w:color="auto"/>
            </w:tcBorders>
            <w:vAlign w:val="center"/>
          </w:tcPr>
          <w:p w:rsidR="0091128A" w:rsidRPr="0091128A" w:rsidRDefault="0091128A" w:rsidP="003E62FB">
            <w:pPr>
              <w:widowControl/>
              <w:snapToGrid w:val="0"/>
              <w:jc w:val="center"/>
              <w:textAlignment w:val="center"/>
              <w:rPr>
                <w:rFonts w:ascii="宋体" w:hAnsi="宋体" w:cs="宋体"/>
                <w:color w:val="0000FF"/>
                <w:sz w:val="22"/>
              </w:rPr>
            </w:pPr>
            <w:r w:rsidRPr="0091128A">
              <w:rPr>
                <w:rFonts w:ascii="宋体" w:hAnsi="宋体" w:cs="宋体" w:hint="eastAsia"/>
                <w:color w:val="0000FF"/>
                <w:sz w:val="22"/>
              </w:rPr>
              <w:t>10分</w:t>
            </w:r>
          </w:p>
        </w:tc>
      </w:tr>
      <w:tr w:rsidR="0091128A" w:rsidRPr="0091128A" w:rsidTr="003E62FB">
        <w:trPr>
          <w:trHeight w:val="3292"/>
          <w:jc w:val="center"/>
        </w:trPr>
        <w:tc>
          <w:tcPr>
            <w:tcW w:w="1050" w:type="dxa"/>
            <w:tcBorders>
              <w:bottom w:val="single" w:sz="4" w:space="0" w:color="auto"/>
            </w:tcBorders>
            <w:vAlign w:val="center"/>
          </w:tcPr>
          <w:p w:rsidR="0091128A" w:rsidRPr="0091128A" w:rsidRDefault="0091128A" w:rsidP="003E62FB">
            <w:pPr>
              <w:widowControl/>
              <w:snapToGrid w:val="0"/>
              <w:jc w:val="center"/>
              <w:textAlignment w:val="center"/>
              <w:rPr>
                <w:rFonts w:ascii="宋体" w:hAnsi="宋体" w:cs="宋体"/>
                <w:color w:val="0000FF"/>
                <w:sz w:val="22"/>
              </w:rPr>
            </w:pPr>
            <w:r w:rsidRPr="0091128A">
              <w:rPr>
                <w:rFonts w:ascii="宋体" w:hAnsi="宋体" w:cs="宋体" w:hint="eastAsia"/>
                <w:color w:val="0000FF"/>
                <w:sz w:val="22"/>
              </w:rPr>
              <w:t>服务因素</w:t>
            </w:r>
          </w:p>
        </w:tc>
        <w:tc>
          <w:tcPr>
            <w:tcW w:w="7672" w:type="dxa"/>
            <w:tcBorders>
              <w:bottom w:val="single" w:sz="4" w:space="0" w:color="auto"/>
            </w:tcBorders>
            <w:vAlign w:val="center"/>
          </w:tcPr>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独立投标人（或承担主体工程设计单位）自本招标项目在法定媒介发布招标公告之日（或投标邀请书发出之日，下同）的前五年内（含在法定媒介发布招标公告之日）承接过总投资不小于2.5亿元的污水治理或未达标水体整治类EPC+O（或BOT、特许经营、ROT等含运营任务的）项目业绩，每提供一项得5.0分，本项满分10.0分。</w:t>
            </w:r>
          </w:p>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注：</w:t>
            </w:r>
          </w:p>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①投标人须同时提供项目业绩的中标通知书和项目合同（或协议）；</w:t>
            </w:r>
          </w:p>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②业绩承接的时间以合同（或协议）签订的时间最晚的为准；</w:t>
            </w:r>
          </w:p>
          <w:p w:rsidR="0091128A" w:rsidRPr="0091128A" w:rsidRDefault="0091128A" w:rsidP="003E62FB">
            <w:pPr>
              <w:widowControl/>
              <w:snapToGrid w:val="0"/>
              <w:jc w:val="left"/>
              <w:textAlignment w:val="center"/>
              <w:rPr>
                <w:rFonts w:ascii="宋体" w:hAnsi="宋体" w:cs="宋体" w:hint="eastAsia"/>
                <w:color w:val="0000FF"/>
                <w:sz w:val="22"/>
              </w:rPr>
            </w:pPr>
            <w:r w:rsidRPr="0091128A">
              <w:rPr>
                <w:rFonts w:ascii="宋体" w:hAnsi="宋体" w:cs="宋体" w:hint="eastAsia"/>
                <w:color w:val="0000FF"/>
                <w:sz w:val="22"/>
              </w:rPr>
              <w:t>③若中标通知书或项目合同中均未标明招标文件中设置的业绩指标，应补充提交能恰当说明上述特征的证明材料，否则其业绩不计；</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④投标人作为联合体承接的业绩予以认定。</w:t>
            </w:r>
          </w:p>
        </w:tc>
        <w:tc>
          <w:tcPr>
            <w:tcW w:w="755" w:type="dxa"/>
            <w:vAlign w:val="center"/>
          </w:tcPr>
          <w:p w:rsidR="0091128A" w:rsidRPr="0091128A" w:rsidRDefault="0091128A" w:rsidP="003E62FB">
            <w:pPr>
              <w:widowControl/>
              <w:snapToGrid w:val="0"/>
              <w:jc w:val="center"/>
              <w:textAlignment w:val="center"/>
              <w:rPr>
                <w:rFonts w:ascii="宋体" w:hAnsi="宋体" w:cs="宋体"/>
                <w:color w:val="0000FF"/>
                <w:sz w:val="22"/>
              </w:rPr>
            </w:pPr>
            <w:r w:rsidRPr="0091128A">
              <w:rPr>
                <w:rFonts w:ascii="宋体" w:hAnsi="宋体" w:cs="宋体" w:hint="eastAsia"/>
                <w:color w:val="0000FF"/>
                <w:sz w:val="22"/>
              </w:rPr>
              <w:t>10分</w:t>
            </w:r>
          </w:p>
        </w:tc>
      </w:tr>
      <w:tr w:rsidR="0091128A" w:rsidTr="003E62FB">
        <w:trPr>
          <w:trHeight w:val="3487"/>
          <w:jc w:val="center"/>
        </w:trPr>
        <w:tc>
          <w:tcPr>
            <w:tcW w:w="1050" w:type="dxa"/>
            <w:vAlign w:val="center"/>
          </w:tcPr>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答辩因素</w:t>
            </w:r>
          </w:p>
        </w:tc>
        <w:tc>
          <w:tcPr>
            <w:tcW w:w="7672" w:type="dxa"/>
            <w:vAlign w:val="center"/>
          </w:tcPr>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拟派项目负责人不能参加答辩，委托项目组成员代替参加答辩得5分;本项目的项目负责人本人亲自参加答辩得10分。</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加分内容为:</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①依据项目负责人对工程总承包项目政策理解、项目总体管控思路，对工程进度计划总体安排及质量、安全保证的举措答辩情况，参加答辩的项目负责人,每人应答3题。定标委员会对合格的定标候选人拟派项目负责人的答辩情况进行评审，考察0-10分进行打分。</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注:项目负责人不得旁听其他人答辩。若拟派项目负责人不能参加答辩，可委托项目组成员代替，未派出人员参加答辩的不得分。</w:t>
            </w:r>
          </w:p>
          <w:p w:rsidR="0091128A" w:rsidRPr="0091128A" w:rsidRDefault="0091128A" w:rsidP="003E62FB">
            <w:pPr>
              <w:widowControl/>
              <w:snapToGrid w:val="0"/>
              <w:jc w:val="left"/>
              <w:textAlignment w:val="center"/>
              <w:rPr>
                <w:rFonts w:ascii="宋体" w:hAnsi="宋体" w:cs="宋体"/>
                <w:color w:val="0000FF"/>
                <w:sz w:val="22"/>
              </w:rPr>
            </w:pPr>
            <w:r w:rsidRPr="0091128A">
              <w:rPr>
                <w:rFonts w:ascii="宋体" w:hAnsi="宋体" w:cs="宋体" w:hint="eastAsia"/>
                <w:color w:val="0000FF"/>
                <w:sz w:val="22"/>
              </w:rPr>
              <w:t>说明：定标委员会</w:t>
            </w:r>
            <w:proofErr w:type="gramStart"/>
            <w:r w:rsidRPr="0091128A">
              <w:rPr>
                <w:rFonts w:ascii="宋体" w:hAnsi="宋体" w:cs="宋体" w:hint="eastAsia"/>
                <w:color w:val="0000FF"/>
                <w:sz w:val="22"/>
              </w:rPr>
              <w:t>对某子项目</w:t>
            </w:r>
            <w:proofErr w:type="gramEnd"/>
            <w:r w:rsidRPr="0091128A">
              <w:rPr>
                <w:rFonts w:ascii="宋体" w:hAnsi="宋体" w:cs="宋体" w:hint="eastAsia"/>
                <w:color w:val="0000FF"/>
                <w:sz w:val="22"/>
              </w:rPr>
              <w:t>答辩人员的得分低于70%或高于90%的，应详细阐述具体理由（字数不少于50字）。</w:t>
            </w:r>
          </w:p>
        </w:tc>
        <w:tc>
          <w:tcPr>
            <w:tcW w:w="755" w:type="dxa"/>
            <w:vAlign w:val="center"/>
          </w:tcPr>
          <w:p w:rsidR="0091128A" w:rsidRDefault="0091128A" w:rsidP="003E62FB">
            <w:pPr>
              <w:widowControl/>
              <w:snapToGrid w:val="0"/>
              <w:jc w:val="center"/>
              <w:textAlignment w:val="center"/>
              <w:rPr>
                <w:rFonts w:ascii="宋体" w:hAnsi="宋体" w:cs="宋体"/>
                <w:color w:val="0000FF"/>
                <w:sz w:val="22"/>
              </w:rPr>
            </w:pPr>
            <w:r w:rsidRPr="0091128A">
              <w:rPr>
                <w:rFonts w:ascii="宋体" w:hAnsi="宋体" w:cs="宋体" w:hint="eastAsia"/>
                <w:color w:val="0000FF"/>
                <w:sz w:val="22"/>
              </w:rPr>
              <w:t>20分</w:t>
            </w:r>
          </w:p>
        </w:tc>
      </w:tr>
    </w:tbl>
    <w:p w:rsidR="006422D9" w:rsidRDefault="006422D9"/>
    <w:sectPr w:rsidR="00642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8A"/>
    <w:rsid w:val="006422D9"/>
    <w:rsid w:val="0091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2025-03-18T05:51:00Z</dcterms:created>
  <dcterms:modified xsi:type="dcterms:W3CDTF">2025-03-18T05:52:00Z</dcterms:modified>
</cp:coreProperties>
</file>