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C350F" w14:textId="77777777" w:rsidR="00C07251" w:rsidRDefault="004E7024">
      <w:pPr>
        <w:ind w:firstLine="405"/>
        <w:jc w:val="center"/>
        <w:rPr>
          <w:rFonts w:ascii="Times New Roman" w:eastAsia="Times New Roman" w:hAnsi="宋体" w:cs="宋体"/>
          <w:sz w:val="44"/>
          <w:szCs w:val="44"/>
        </w:rPr>
      </w:pPr>
      <w:r>
        <w:rPr>
          <w:rFonts w:ascii="宋体" w:hAnsi="宋体" w:cs="宋体" w:hint="eastAsia"/>
          <w:sz w:val="44"/>
          <w:szCs w:val="44"/>
        </w:rPr>
        <w:t>招标文件的其他资料</w:t>
      </w:r>
    </w:p>
    <w:p w14:paraId="747C28CD" w14:textId="77777777" w:rsidR="00C07251" w:rsidRDefault="004E7024">
      <w:pPr>
        <w:ind w:firstLine="405"/>
        <w:jc w:val="left"/>
        <w:rPr>
          <w:rFonts w:ascii="宋体" w:hAnsi="宋体" w:cs="宋体"/>
          <w:sz w:val="30"/>
          <w:szCs w:val="30"/>
        </w:rPr>
      </w:pPr>
      <w:proofErr w:type="spellStart"/>
      <w:r>
        <w:rPr>
          <w:rFonts w:ascii="宋体" w:eastAsia="Times New Roman" w:hAnsi="宋体" w:cs="宋体" w:hint="eastAsia"/>
          <w:sz w:val="30"/>
          <w:szCs w:val="30"/>
        </w:rPr>
        <w:t>附件一</w:t>
      </w:r>
      <w:proofErr w:type="spellEnd"/>
      <w:r>
        <w:rPr>
          <w:rFonts w:ascii="宋体" w:hAnsi="宋体" w:cs="宋体" w:hint="eastAsia"/>
          <w:sz w:val="30"/>
          <w:szCs w:val="30"/>
        </w:rPr>
        <w:t xml:space="preserve">             </w:t>
      </w:r>
      <w:proofErr w:type="spellStart"/>
      <w:r>
        <w:rPr>
          <w:rFonts w:ascii="宋体" w:eastAsia="Times New Roman" w:hAnsi="宋体" w:cs="宋体" w:hint="eastAsia"/>
          <w:b/>
          <w:bCs/>
          <w:sz w:val="32"/>
          <w:szCs w:val="32"/>
        </w:rPr>
        <w:t>定标因素</w:t>
      </w:r>
      <w:proofErr w:type="spellEnd"/>
    </w:p>
    <w:tbl>
      <w:tblPr>
        <w:tblW w:w="937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7672"/>
        <w:gridCol w:w="653"/>
      </w:tblGrid>
      <w:tr w:rsidR="00514DD8" w:rsidRPr="00514DD8" w14:paraId="1218C4D0" w14:textId="77777777" w:rsidTr="009C7588">
        <w:trPr>
          <w:trHeight w:val="461"/>
          <w:jc w:val="center"/>
        </w:trPr>
        <w:tc>
          <w:tcPr>
            <w:tcW w:w="1050" w:type="dxa"/>
            <w:vAlign w:val="center"/>
          </w:tcPr>
          <w:p w14:paraId="67C6A8DD" w14:textId="77777777" w:rsidR="00C07251" w:rsidRPr="00514DD8" w:rsidRDefault="004E7024">
            <w:pPr>
              <w:widowControl/>
              <w:kinsoku w:val="0"/>
              <w:autoSpaceDE w:val="0"/>
              <w:autoSpaceDN w:val="0"/>
              <w:snapToGrid w:val="0"/>
              <w:spacing w:line="360" w:lineRule="auto"/>
              <w:jc w:val="center"/>
              <w:rPr>
                <w:rFonts w:ascii="Times New Roman" w:eastAsia="Times New Roman" w:hAnsi="Times New Roman"/>
                <w:sz w:val="22"/>
              </w:rPr>
            </w:pPr>
            <w:r w:rsidRPr="00514DD8">
              <w:rPr>
                <w:rFonts w:ascii="宋体" w:hAnsi="宋体" w:cs="宋体" w:hint="eastAsia"/>
                <w:sz w:val="22"/>
              </w:rPr>
              <w:t>定标规则</w:t>
            </w:r>
          </w:p>
        </w:tc>
        <w:tc>
          <w:tcPr>
            <w:tcW w:w="7672" w:type="dxa"/>
            <w:vAlign w:val="center"/>
          </w:tcPr>
          <w:p w14:paraId="361F186F" w14:textId="77777777" w:rsidR="00C07251" w:rsidRPr="00514DD8" w:rsidRDefault="004E7024">
            <w:pPr>
              <w:widowControl/>
              <w:kinsoku w:val="0"/>
              <w:autoSpaceDE w:val="0"/>
              <w:autoSpaceDN w:val="0"/>
              <w:snapToGrid w:val="0"/>
              <w:jc w:val="center"/>
              <w:rPr>
                <w:rFonts w:ascii="Times New Roman" w:eastAsia="Times New Roman" w:hAnsi="Times New Roman"/>
                <w:sz w:val="22"/>
              </w:rPr>
            </w:pPr>
            <w:r w:rsidRPr="00514DD8">
              <w:rPr>
                <w:rFonts w:ascii="宋体" w:hAnsi="宋体" w:cs="宋体" w:hint="eastAsia"/>
                <w:spacing w:val="3"/>
                <w:sz w:val="22"/>
              </w:rPr>
              <w:t>详细标准</w:t>
            </w:r>
          </w:p>
        </w:tc>
        <w:tc>
          <w:tcPr>
            <w:tcW w:w="653" w:type="dxa"/>
            <w:vAlign w:val="center"/>
          </w:tcPr>
          <w:p w14:paraId="5601B0D7" w14:textId="77777777" w:rsidR="00C07251" w:rsidRPr="00514DD8" w:rsidRDefault="004E7024">
            <w:pPr>
              <w:widowControl/>
              <w:kinsoku w:val="0"/>
              <w:autoSpaceDE w:val="0"/>
              <w:autoSpaceDN w:val="0"/>
              <w:snapToGrid w:val="0"/>
              <w:spacing w:line="360" w:lineRule="auto"/>
              <w:jc w:val="center"/>
              <w:rPr>
                <w:rFonts w:ascii="Times New Roman" w:eastAsia="Times New Roman" w:hAnsi="Times New Roman"/>
                <w:sz w:val="22"/>
              </w:rPr>
            </w:pPr>
            <w:r w:rsidRPr="00514DD8">
              <w:rPr>
                <w:rFonts w:ascii="宋体" w:hAnsi="宋体" w:cs="宋体" w:hint="eastAsia"/>
                <w:spacing w:val="5"/>
                <w:sz w:val="22"/>
              </w:rPr>
              <w:t>分值</w:t>
            </w:r>
          </w:p>
        </w:tc>
      </w:tr>
      <w:tr w:rsidR="00514DD8" w:rsidRPr="00514DD8" w14:paraId="620E043B" w14:textId="77777777" w:rsidTr="009C7588">
        <w:trPr>
          <w:trHeight w:val="90"/>
          <w:jc w:val="center"/>
        </w:trPr>
        <w:tc>
          <w:tcPr>
            <w:tcW w:w="1050" w:type="dxa"/>
            <w:tcBorders>
              <w:bottom w:val="nil"/>
            </w:tcBorders>
            <w:vAlign w:val="center"/>
          </w:tcPr>
          <w:p w14:paraId="669AC140" w14:textId="77777777" w:rsidR="00C07251" w:rsidRPr="00514DD8" w:rsidRDefault="004E7024">
            <w:pPr>
              <w:widowControl/>
              <w:jc w:val="center"/>
              <w:textAlignment w:val="center"/>
              <w:rPr>
                <w:rFonts w:ascii="Times New Roman" w:eastAsia="Times New Roman" w:hAnsi="Times New Roman"/>
                <w:sz w:val="22"/>
              </w:rPr>
            </w:pPr>
            <w:r w:rsidRPr="00514DD8">
              <w:rPr>
                <w:rFonts w:ascii="宋体" w:hAnsi="宋体" w:cs="宋体" w:hint="eastAsia"/>
                <w:sz w:val="22"/>
              </w:rPr>
              <w:t>价格因素</w:t>
            </w:r>
          </w:p>
        </w:tc>
        <w:tc>
          <w:tcPr>
            <w:tcW w:w="7672" w:type="dxa"/>
            <w:vAlign w:val="center"/>
          </w:tcPr>
          <w:p w14:paraId="6900DE23"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根据定标候选人投标报价由低到高排序情况进行横向评议（若任一名出现多家并列的，视为同一名，下同）：</w:t>
            </w:r>
          </w:p>
          <w:p w14:paraId="1EC75926"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1.第一名至第二名得5.0分；</w:t>
            </w:r>
            <w:r w:rsidRPr="00514DD8">
              <w:rPr>
                <w:rFonts w:ascii="宋体" w:hAnsi="宋体" w:cs="宋体" w:hint="eastAsia"/>
                <w:sz w:val="22"/>
              </w:rPr>
              <w:br/>
              <w:t>2.第三名至第四名得4.0分；</w:t>
            </w:r>
            <w:r w:rsidRPr="00514DD8">
              <w:rPr>
                <w:rFonts w:ascii="宋体" w:hAnsi="宋体" w:cs="宋体" w:hint="eastAsia"/>
                <w:sz w:val="22"/>
              </w:rPr>
              <w:br/>
              <w:t>3.第五名至第十名得3.0分。</w:t>
            </w:r>
          </w:p>
          <w:p w14:paraId="36D098F3" w14:textId="77777777" w:rsidR="00C07251" w:rsidRPr="00514DD8" w:rsidRDefault="004E7024">
            <w:pPr>
              <w:widowControl/>
              <w:snapToGrid w:val="0"/>
              <w:jc w:val="left"/>
              <w:textAlignment w:val="center"/>
              <w:rPr>
                <w:rFonts w:ascii="Times New Roman" w:eastAsia="Times New Roman" w:hAnsi="Times New Roman"/>
                <w:sz w:val="22"/>
              </w:rPr>
            </w:pPr>
            <w:r w:rsidRPr="00514DD8">
              <w:rPr>
                <w:rFonts w:ascii="宋体" w:hAnsi="宋体" w:cs="宋体" w:hint="eastAsia"/>
                <w:sz w:val="22"/>
              </w:rPr>
              <w:t>本项满分5.0分。</w:t>
            </w:r>
          </w:p>
        </w:tc>
        <w:tc>
          <w:tcPr>
            <w:tcW w:w="653" w:type="dxa"/>
            <w:vAlign w:val="center"/>
          </w:tcPr>
          <w:p w14:paraId="53D510DC" w14:textId="77777777" w:rsidR="00C07251" w:rsidRPr="00514DD8" w:rsidRDefault="004E7024">
            <w:pPr>
              <w:widowControl/>
              <w:kinsoku w:val="0"/>
              <w:autoSpaceDE w:val="0"/>
              <w:autoSpaceDN w:val="0"/>
              <w:snapToGrid w:val="0"/>
              <w:spacing w:line="360" w:lineRule="auto"/>
              <w:jc w:val="center"/>
              <w:rPr>
                <w:rFonts w:ascii="Times New Roman" w:eastAsia="Times New Roman" w:hAnsi="Times New Roman"/>
                <w:sz w:val="22"/>
              </w:rPr>
            </w:pPr>
            <w:r w:rsidRPr="00514DD8">
              <w:rPr>
                <w:rFonts w:ascii="宋体" w:hAnsi="宋体" w:cs="宋体" w:hint="eastAsia"/>
                <w:sz w:val="22"/>
              </w:rPr>
              <w:t>5分</w:t>
            </w:r>
          </w:p>
        </w:tc>
      </w:tr>
      <w:tr w:rsidR="00514DD8" w:rsidRPr="00514DD8" w14:paraId="45DF5023" w14:textId="77777777" w:rsidTr="009C7588">
        <w:trPr>
          <w:trHeight w:val="3165"/>
          <w:jc w:val="center"/>
        </w:trPr>
        <w:tc>
          <w:tcPr>
            <w:tcW w:w="1050" w:type="dxa"/>
            <w:tcBorders>
              <w:bottom w:val="single" w:sz="4" w:space="0" w:color="auto"/>
            </w:tcBorders>
            <w:vAlign w:val="center"/>
          </w:tcPr>
          <w:p w14:paraId="1A3036C4"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方案因素</w:t>
            </w:r>
          </w:p>
        </w:tc>
        <w:tc>
          <w:tcPr>
            <w:tcW w:w="7672" w:type="dxa"/>
            <w:tcBorders>
              <w:bottom w:val="single" w:sz="4" w:space="0" w:color="auto"/>
            </w:tcBorders>
            <w:vAlign w:val="center"/>
          </w:tcPr>
          <w:p w14:paraId="17D1935F"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1、设计方案：在满足限额设计以及安全、绿色、节能、环保要求的前提下设计方案重点对功能、技术、经济和美观等进行评审。满足基本设计要求的得基本分10分，设计方案对功能、技术、经济和美观等进行优化的加0～5分。本项满分15分。</w:t>
            </w:r>
          </w:p>
          <w:p w14:paraId="4732FA5F"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2、施工方案：</w:t>
            </w:r>
            <w:r w:rsidRPr="00514DD8">
              <w:rPr>
                <w:rFonts w:ascii="宋体" w:hAnsi="宋体" w:cs="宋体" w:hint="eastAsia"/>
                <w:sz w:val="22"/>
              </w:rPr>
              <w:fldChar w:fldCharType="begin"/>
            </w:r>
            <w:r w:rsidRPr="00514DD8">
              <w:rPr>
                <w:rFonts w:ascii="宋体" w:hAnsi="宋体" w:cs="宋体" w:hint="eastAsia"/>
                <w:sz w:val="22"/>
              </w:rPr>
              <w:instrText xml:space="preserve"> = 1 \* GB3 \* MERGEFORMAT </w:instrText>
            </w:r>
            <w:r w:rsidRPr="00514DD8">
              <w:rPr>
                <w:rFonts w:ascii="宋体" w:hAnsi="宋体" w:cs="宋体" w:hint="eastAsia"/>
                <w:sz w:val="22"/>
              </w:rPr>
              <w:fldChar w:fldCharType="separate"/>
            </w:r>
            <w:r w:rsidRPr="00514DD8">
              <w:rPr>
                <w:rFonts w:ascii="宋体" w:hAnsi="宋体" w:cs="宋体" w:hint="eastAsia"/>
                <w:sz w:val="22"/>
              </w:rPr>
              <w:t>①</w:t>
            </w:r>
            <w:r w:rsidRPr="00514DD8">
              <w:rPr>
                <w:rFonts w:ascii="宋体" w:hAnsi="宋体" w:cs="宋体" w:hint="eastAsia"/>
                <w:sz w:val="22"/>
              </w:rPr>
              <w:fldChar w:fldCharType="end"/>
            </w:r>
            <w:r w:rsidRPr="00514DD8">
              <w:rPr>
                <w:rFonts w:ascii="宋体" w:hAnsi="宋体" w:cs="宋体" w:hint="eastAsia"/>
                <w:sz w:val="22"/>
              </w:rPr>
              <w:t>有提供本项目施工程序、方法。②有提供本项目施工质量、安全、文明、</w:t>
            </w:r>
            <w:proofErr w:type="gramStart"/>
            <w:r w:rsidRPr="00514DD8">
              <w:rPr>
                <w:rFonts w:ascii="宋体" w:hAnsi="宋体" w:cs="宋体" w:hint="eastAsia"/>
                <w:sz w:val="22"/>
              </w:rPr>
              <w:t>环保保障</w:t>
            </w:r>
            <w:proofErr w:type="gramEnd"/>
            <w:r w:rsidRPr="00514DD8">
              <w:rPr>
                <w:rFonts w:ascii="宋体" w:hAnsi="宋体" w:cs="宋体" w:hint="eastAsia"/>
                <w:sz w:val="22"/>
              </w:rPr>
              <w:t>措施。③有提供本项目施工进度计划及保障措施。④有提供本项目施工工作重点、难点和对策。⑤有提供本项目合理化建议。满足基本设计要求的得基本分10分，由定标委员会进行横向比较，在0-5分酌情加分，本项满分15分。</w:t>
            </w:r>
          </w:p>
          <w:p w14:paraId="3837D10A"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说明：定标委员会</w:t>
            </w:r>
            <w:proofErr w:type="gramStart"/>
            <w:r w:rsidRPr="00514DD8">
              <w:rPr>
                <w:rFonts w:ascii="宋体" w:hAnsi="宋体" w:cs="宋体" w:hint="eastAsia"/>
                <w:sz w:val="22"/>
              </w:rPr>
              <w:t>对某子项目</w:t>
            </w:r>
            <w:proofErr w:type="gramEnd"/>
            <w:r w:rsidRPr="00514DD8">
              <w:rPr>
                <w:rFonts w:ascii="宋体" w:hAnsi="宋体" w:cs="宋体" w:hint="eastAsia"/>
                <w:sz w:val="22"/>
              </w:rPr>
              <w:t>要点评分低于该子项目满分70%或高于90%的，应详细阐述具体理由（字数不少于50字）。</w:t>
            </w:r>
          </w:p>
        </w:tc>
        <w:tc>
          <w:tcPr>
            <w:tcW w:w="653" w:type="dxa"/>
            <w:tcBorders>
              <w:bottom w:val="single" w:sz="4" w:space="0" w:color="auto"/>
            </w:tcBorders>
            <w:vAlign w:val="center"/>
          </w:tcPr>
          <w:p w14:paraId="78AA195A"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30分</w:t>
            </w:r>
          </w:p>
        </w:tc>
      </w:tr>
      <w:tr w:rsidR="00514DD8" w:rsidRPr="00514DD8" w14:paraId="0BA0E214" w14:textId="77777777" w:rsidTr="009C7588">
        <w:trPr>
          <w:trHeight w:val="998"/>
          <w:jc w:val="center"/>
        </w:trPr>
        <w:tc>
          <w:tcPr>
            <w:tcW w:w="1050" w:type="dxa"/>
            <w:vMerge w:val="restart"/>
            <w:tcBorders>
              <w:top w:val="single" w:sz="4" w:space="0" w:color="auto"/>
              <w:right w:val="single" w:sz="4" w:space="0" w:color="auto"/>
            </w:tcBorders>
            <w:vAlign w:val="center"/>
          </w:tcPr>
          <w:p w14:paraId="6F0D00F4"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资信因素</w:t>
            </w:r>
          </w:p>
        </w:tc>
        <w:tc>
          <w:tcPr>
            <w:tcW w:w="7672" w:type="dxa"/>
            <w:tcBorders>
              <w:top w:val="single" w:sz="4" w:space="0" w:color="auto"/>
              <w:left w:val="single" w:sz="4" w:space="0" w:color="auto"/>
              <w:bottom w:val="single" w:sz="4" w:space="0" w:color="auto"/>
              <w:right w:val="single" w:sz="4" w:space="0" w:color="auto"/>
            </w:tcBorders>
            <w:vAlign w:val="center"/>
          </w:tcPr>
          <w:p w14:paraId="7914218A" w14:textId="344BC7F0" w:rsidR="00006C07" w:rsidRDefault="00693C00" w:rsidP="00586ABD">
            <w:pPr>
              <w:widowControl/>
              <w:snapToGrid w:val="0"/>
              <w:ind w:firstLineChars="200" w:firstLine="440"/>
              <w:jc w:val="left"/>
              <w:textAlignment w:val="center"/>
              <w:rPr>
                <w:rFonts w:ascii="宋体" w:hAnsi="宋体" w:cs="宋体" w:hint="eastAsia"/>
                <w:sz w:val="22"/>
              </w:rPr>
            </w:pPr>
            <w:r>
              <w:rPr>
                <w:rFonts w:ascii="宋体" w:hAnsi="宋体" w:cs="宋体" w:hint="eastAsia"/>
                <w:sz w:val="22"/>
              </w:rPr>
              <w:t>1、</w:t>
            </w:r>
            <w:r w:rsidR="00586ABD" w:rsidRPr="00586ABD">
              <w:rPr>
                <w:rFonts w:ascii="宋体" w:hAnsi="宋体" w:cs="宋体" w:hint="eastAsia"/>
                <w:sz w:val="22"/>
              </w:rPr>
              <w:t>独立投标人（或联合体设计方）具有建设行政主管部门核发有效的工程设计综合甲级资质的</w:t>
            </w:r>
            <w:r w:rsidR="009C7588" w:rsidRPr="009C7588">
              <w:rPr>
                <w:rFonts w:ascii="宋体" w:hAnsi="宋体" w:cs="宋体" w:hint="eastAsia"/>
                <w:sz w:val="22"/>
              </w:rPr>
              <w:t>，得</w:t>
            </w:r>
            <w:r>
              <w:rPr>
                <w:rFonts w:ascii="宋体" w:hAnsi="宋体" w:cs="宋体" w:hint="eastAsia"/>
                <w:sz w:val="22"/>
              </w:rPr>
              <w:t>2.</w:t>
            </w:r>
            <w:r w:rsidR="009C7588" w:rsidRPr="009C7588">
              <w:rPr>
                <w:rFonts w:ascii="宋体" w:hAnsi="宋体" w:cs="宋体" w:hint="eastAsia"/>
                <w:sz w:val="22"/>
              </w:rPr>
              <w:t>5分。</w:t>
            </w:r>
          </w:p>
          <w:p w14:paraId="0B7BA500" w14:textId="7F0B374E" w:rsidR="00693C00" w:rsidRDefault="00693C00" w:rsidP="00586ABD">
            <w:pPr>
              <w:widowControl/>
              <w:snapToGrid w:val="0"/>
              <w:ind w:firstLineChars="200" w:firstLine="440"/>
              <w:jc w:val="left"/>
              <w:textAlignment w:val="center"/>
              <w:rPr>
                <w:rFonts w:ascii="宋体" w:hAnsi="宋体" w:cs="宋体" w:hint="eastAsia"/>
                <w:sz w:val="22"/>
              </w:rPr>
            </w:pPr>
            <w:r>
              <w:rPr>
                <w:rFonts w:ascii="宋体" w:hAnsi="宋体" w:cs="宋体"/>
                <w:sz w:val="22"/>
              </w:rPr>
              <w:t>2、</w:t>
            </w:r>
            <w:r w:rsidRPr="00586ABD">
              <w:rPr>
                <w:rFonts w:ascii="宋体" w:hAnsi="宋体" w:cs="宋体" w:hint="eastAsia"/>
                <w:sz w:val="22"/>
              </w:rPr>
              <w:t>独立投标人（或联合体设计方）</w:t>
            </w:r>
            <w:r w:rsidRPr="00693C00">
              <w:rPr>
                <w:rFonts w:ascii="宋体" w:hAnsi="宋体" w:cs="宋体" w:hint="eastAsia"/>
                <w:sz w:val="22"/>
              </w:rPr>
              <w:t>具有①建设行政主管部门核发有效的工程勘察综合甲级</w:t>
            </w:r>
            <w:bookmarkStart w:id="0" w:name="OLE_LINK126"/>
            <w:r w:rsidRPr="00693C00">
              <w:rPr>
                <w:rFonts w:ascii="宋体" w:hAnsi="宋体" w:cs="宋体" w:hint="eastAsia"/>
                <w:sz w:val="22"/>
              </w:rPr>
              <w:t>资质</w:t>
            </w:r>
            <w:bookmarkEnd w:id="0"/>
            <w:r w:rsidRPr="00693C00">
              <w:rPr>
                <w:rFonts w:ascii="宋体" w:hAnsi="宋体" w:cs="宋体" w:hint="eastAsia"/>
                <w:sz w:val="22"/>
              </w:rPr>
              <w:t>；或②建设行政主管部门核发有效的工程勘察专业类（岩土工程（勘察）、工程测量）甲级</w:t>
            </w:r>
            <w:r w:rsidR="006042C4" w:rsidRPr="00693C00">
              <w:rPr>
                <w:rFonts w:ascii="宋体" w:hAnsi="宋体" w:cs="宋体" w:hint="eastAsia"/>
                <w:sz w:val="22"/>
              </w:rPr>
              <w:t>资质</w:t>
            </w:r>
            <w:r w:rsidR="006042C4">
              <w:rPr>
                <w:rFonts w:ascii="宋体" w:hAnsi="宋体" w:cs="宋体" w:hint="eastAsia"/>
                <w:sz w:val="22"/>
              </w:rPr>
              <w:t>；</w:t>
            </w:r>
            <w:bookmarkStart w:id="1" w:name="_GoBack"/>
            <w:bookmarkEnd w:id="1"/>
            <w:r>
              <w:rPr>
                <w:rFonts w:ascii="宋体" w:hAnsi="宋体" w:cs="宋体" w:hint="eastAsia"/>
                <w:sz w:val="22"/>
              </w:rPr>
              <w:t>或③</w:t>
            </w:r>
            <w:r w:rsidRPr="00693C00">
              <w:rPr>
                <w:rFonts w:ascii="宋体" w:hAnsi="宋体" w:cs="宋体" w:hint="eastAsia"/>
                <w:sz w:val="22"/>
              </w:rPr>
              <w:t>有效的测绘</w:t>
            </w:r>
            <w:proofErr w:type="gramStart"/>
            <w:r w:rsidRPr="00693C00">
              <w:rPr>
                <w:rFonts w:ascii="宋体" w:hAnsi="宋体" w:cs="宋体" w:hint="eastAsia"/>
                <w:sz w:val="22"/>
              </w:rPr>
              <w:t>资质</w:t>
            </w:r>
            <w:r>
              <w:rPr>
                <w:rFonts w:ascii="宋体" w:hAnsi="宋体" w:cs="宋体" w:hint="eastAsia"/>
                <w:sz w:val="22"/>
              </w:rPr>
              <w:t>甲</w:t>
            </w:r>
            <w:r w:rsidRPr="00693C00">
              <w:rPr>
                <w:rFonts w:ascii="宋体" w:hAnsi="宋体" w:cs="宋体" w:hint="eastAsia"/>
                <w:sz w:val="22"/>
              </w:rPr>
              <w:t>级</w:t>
            </w:r>
            <w:proofErr w:type="gramEnd"/>
            <w:r w:rsidRPr="00693C00">
              <w:rPr>
                <w:rFonts w:ascii="宋体" w:hAnsi="宋体" w:cs="宋体" w:hint="eastAsia"/>
                <w:sz w:val="22"/>
              </w:rPr>
              <w:t>资质</w:t>
            </w:r>
            <w:r>
              <w:rPr>
                <w:rFonts w:ascii="宋体" w:hAnsi="宋体" w:cs="宋体" w:hint="eastAsia"/>
                <w:sz w:val="22"/>
              </w:rPr>
              <w:t>的</w:t>
            </w:r>
            <w:r w:rsidRPr="00693C00">
              <w:rPr>
                <w:rFonts w:ascii="宋体" w:hAnsi="宋体" w:cs="宋体" w:hint="eastAsia"/>
                <w:sz w:val="22"/>
              </w:rPr>
              <w:t>，得2.</w:t>
            </w:r>
            <w:r>
              <w:rPr>
                <w:rFonts w:ascii="宋体" w:hAnsi="宋体" w:cs="宋体" w:hint="eastAsia"/>
                <w:sz w:val="22"/>
              </w:rPr>
              <w:t>5</w:t>
            </w:r>
            <w:r w:rsidRPr="00693C00">
              <w:rPr>
                <w:rFonts w:ascii="宋体" w:hAnsi="宋体" w:cs="宋体" w:hint="eastAsia"/>
                <w:sz w:val="22"/>
              </w:rPr>
              <w:t>分</w:t>
            </w:r>
            <w:r>
              <w:rPr>
                <w:rFonts w:ascii="宋体" w:hAnsi="宋体" w:cs="宋体" w:hint="eastAsia"/>
                <w:sz w:val="22"/>
              </w:rPr>
              <w:t>。</w:t>
            </w:r>
          </w:p>
          <w:p w14:paraId="23038F4F" w14:textId="7409F92E" w:rsidR="00693C00" w:rsidRPr="00693C00" w:rsidRDefault="00693C00" w:rsidP="00586ABD">
            <w:pPr>
              <w:widowControl/>
              <w:snapToGrid w:val="0"/>
              <w:ind w:firstLineChars="200" w:firstLine="440"/>
              <w:jc w:val="left"/>
              <w:textAlignment w:val="center"/>
              <w:rPr>
                <w:rFonts w:ascii="宋体" w:hAnsi="宋体" w:cs="宋体"/>
                <w:sz w:val="22"/>
              </w:rPr>
            </w:pPr>
            <w:r>
              <w:rPr>
                <w:rFonts w:ascii="宋体" w:hAnsi="宋体" w:cs="宋体" w:hint="eastAsia"/>
                <w:sz w:val="22"/>
              </w:rPr>
              <w:t>本项满分5.0分。</w:t>
            </w:r>
          </w:p>
          <w:p w14:paraId="1079B565"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注：投标人应提供资质证书扫描件。</w:t>
            </w:r>
          </w:p>
        </w:tc>
        <w:tc>
          <w:tcPr>
            <w:tcW w:w="653" w:type="dxa"/>
            <w:vMerge w:val="restart"/>
            <w:tcBorders>
              <w:top w:val="single" w:sz="4" w:space="0" w:color="auto"/>
              <w:left w:val="single" w:sz="4" w:space="0" w:color="auto"/>
            </w:tcBorders>
            <w:vAlign w:val="center"/>
          </w:tcPr>
          <w:p w14:paraId="01EB9080" w14:textId="77777777" w:rsidR="00C07251" w:rsidRPr="00514DD8" w:rsidRDefault="004E7024">
            <w:pPr>
              <w:widowControl/>
              <w:snapToGrid w:val="0"/>
              <w:jc w:val="center"/>
              <w:textAlignment w:val="center"/>
              <w:rPr>
                <w:rFonts w:ascii="宋体" w:hAnsi="宋体" w:cs="宋体"/>
                <w:sz w:val="22"/>
                <w:highlight w:val="yellow"/>
              </w:rPr>
            </w:pPr>
            <w:r w:rsidRPr="00514DD8">
              <w:rPr>
                <w:rFonts w:ascii="宋体" w:hAnsi="宋体" w:cs="宋体" w:hint="eastAsia"/>
                <w:sz w:val="22"/>
              </w:rPr>
              <w:t>25分</w:t>
            </w:r>
          </w:p>
        </w:tc>
      </w:tr>
      <w:tr w:rsidR="00514DD8" w:rsidRPr="00514DD8" w14:paraId="38FB294F" w14:textId="77777777" w:rsidTr="009C7588">
        <w:trPr>
          <w:trHeight w:val="3625"/>
          <w:jc w:val="center"/>
        </w:trPr>
        <w:tc>
          <w:tcPr>
            <w:tcW w:w="1050" w:type="dxa"/>
            <w:vMerge/>
            <w:tcBorders>
              <w:bottom w:val="single" w:sz="4" w:space="0" w:color="auto"/>
              <w:right w:val="single" w:sz="4" w:space="0" w:color="auto"/>
            </w:tcBorders>
            <w:vAlign w:val="center"/>
          </w:tcPr>
          <w:p w14:paraId="10845BDC" w14:textId="77777777" w:rsidR="00C07251" w:rsidRPr="00514DD8" w:rsidRDefault="00C07251">
            <w:pPr>
              <w:widowControl/>
              <w:snapToGrid w:val="0"/>
              <w:jc w:val="left"/>
              <w:textAlignment w:val="center"/>
            </w:pPr>
          </w:p>
        </w:tc>
        <w:tc>
          <w:tcPr>
            <w:tcW w:w="7672" w:type="dxa"/>
            <w:tcBorders>
              <w:top w:val="single" w:sz="4" w:space="0" w:color="auto"/>
              <w:left w:val="single" w:sz="4" w:space="0" w:color="auto"/>
              <w:bottom w:val="single" w:sz="4" w:space="0" w:color="auto"/>
              <w:right w:val="single" w:sz="4" w:space="0" w:color="auto"/>
            </w:tcBorders>
            <w:vAlign w:val="center"/>
          </w:tcPr>
          <w:p w14:paraId="0F5E1779"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独立投标人（或承担主体工程设计单位）自本招标项目在法定媒介发布招标公告之日（或投标邀请书发出之日，下同）的前五年内（含在法定媒介发布招标公告之日）（时间以获奖证书的落款日期为准）获得过市政工程类或风景园林类的省级优秀勘察设计奖的，每提供一项得5.0分，获得过市政工程类或风景园林类的国家级优秀勘察设计奖的，每提供一项得10.0分，最多得20.0分。</w:t>
            </w:r>
          </w:p>
          <w:p w14:paraId="5A07768E" w14:textId="77777777" w:rsidR="00C07251" w:rsidRPr="00514DD8" w:rsidRDefault="004E7024">
            <w:pPr>
              <w:widowControl/>
              <w:snapToGrid w:val="0"/>
              <w:jc w:val="left"/>
              <w:textAlignment w:val="center"/>
              <w:rPr>
                <w:rFonts w:ascii="宋体" w:hAnsi="宋体" w:cs="宋体"/>
                <w:sz w:val="22"/>
              </w:rPr>
            </w:pPr>
            <w:bookmarkStart w:id="2" w:name="OLE_LINK44"/>
            <w:r w:rsidRPr="00514DD8">
              <w:rPr>
                <w:rFonts w:ascii="宋体" w:hAnsi="宋体" w:cs="宋体" w:hint="eastAsia"/>
                <w:sz w:val="22"/>
              </w:rPr>
              <w:t>本项满分20.0分。</w:t>
            </w:r>
          </w:p>
          <w:bookmarkEnd w:id="2"/>
          <w:p w14:paraId="30912FCA"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注：</w:t>
            </w:r>
          </w:p>
          <w:p w14:paraId="7AD58441"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（1）投标人应提供获奖证书（或文件）</w:t>
            </w:r>
            <w:proofErr w:type="gramStart"/>
            <w:r w:rsidRPr="00514DD8">
              <w:rPr>
                <w:rFonts w:ascii="宋体" w:hAnsi="宋体" w:cs="宋体" w:hint="eastAsia"/>
                <w:sz w:val="22"/>
              </w:rPr>
              <w:t>扫描件且能</w:t>
            </w:r>
            <w:proofErr w:type="gramEnd"/>
            <w:r w:rsidRPr="00514DD8">
              <w:rPr>
                <w:rFonts w:ascii="宋体" w:hAnsi="宋体" w:cs="宋体" w:hint="eastAsia"/>
                <w:sz w:val="22"/>
              </w:rPr>
              <w:t>体现投标人名称，否则，其获奖不计。</w:t>
            </w:r>
          </w:p>
          <w:p w14:paraId="1FD995E6"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2）省级优秀工程勘察设计奖是指：省级（直辖市）住房城乡建设主管部门、省级（直辖市）勘察设计行业协会颁发的优秀工程勘察设计奖。国家级优秀工程勘察设计奖是指：中国勘察设计协会颁发的优秀工程勘察设计奖。</w:t>
            </w:r>
          </w:p>
        </w:tc>
        <w:tc>
          <w:tcPr>
            <w:tcW w:w="653" w:type="dxa"/>
            <w:vMerge/>
            <w:tcBorders>
              <w:left w:val="single" w:sz="4" w:space="0" w:color="auto"/>
              <w:bottom w:val="single" w:sz="4" w:space="0" w:color="auto"/>
            </w:tcBorders>
            <w:vAlign w:val="center"/>
          </w:tcPr>
          <w:p w14:paraId="3272562E" w14:textId="77777777" w:rsidR="00C07251" w:rsidRPr="00514DD8" w:rsidRDefault="00C07251">
            <w:pPr>
              <w:widowControl/>
              <w:snapToGrid w:val="0"/>
              <w:jc w:val="left"/>
              <w:textAlignment w:val="center"/>
              <w:rPr>
                <w:rFonts w:ascii="宋体" w:hAnsi="宋体" w:cs="宋体"/>
                <w:sz w:val="22"/>
                <w:highlight w:val="yellow"/>
              </w:rPr>
            </w:pPr>
          </w:p>
        </w:tc>
      </w:tr>
      <w:tr w:rsidR="00514DD8" w:rsidRPr="00514DD8" w14:paraId="6369F6CC" w14:textId="77777777" w:rsidTr="009C7588">
        <w:trPr>
          <w:trHeight w:val="2550"/>
          <w:jc w:val="center"/>
        </w:trPr>
        <w:tc>
          <w:tcPr>
            <w:tcW w:w="1050" w:type="dxa"/>
            <w:tcBorders>
              <w:top w:val="single" w:sz="4" w:space="0" w:color="auto"/>
              <w:bottom w:val="single" w:sz="4" w:space="0" w:color="auto"/>
            </w:tcBorders>
            <w:vAlign w:val="center"/>
          </w:tcPr>
          <w:p w14:paraId="7ED15B18"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lastRenderedPageBreak/>
              <w:t>团队因素</w:t>
            </w:r>
          </w:p>
        </w:tc>
        <w:tc>
          <w:tcPr>
            <w:tcW w:w="7672" w:type="dxa"/>
            <w:tcBorders>
              <w:top w:val="single" w:sz="4" w:space="0" w:color="auto"/>
              <w:bottom w:val="single" w:sz="4" w:space="0" w:color="auto"/>
            </w:tcBorders>
            <w:vAlign w:val="center"/>
          </w:tcPr>
          <w:p w14:paraId="2C731DBF"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独立投标人（或承担主体工程设计单位）拟派设计团队中具有全国勘察设计大师称号的，每提供一名得5.0分，最多得10.0分。</w:t>
            </w:r>
          </w:p>
          <w:p w14:paraId="27502D5C"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本项满分10.0分。</w:t>
            </w:r>
          </w:p>
          <w:p w14:paraId="57AA00F2"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注：</w:t>
            </w:r>
          </w:p>
          <w:p w14:paraId="28CD7513"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（1）需提供人员职称证书和荣誉证书（或文件）扫描件。</w:t>
            </w:r>
          </w:p>
          <w:p w14:paraId="1B730176"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（2）以上人员由独立投标人（或承担主体工程设计单位）提供，以社保管理部门出具的自本招标项目投标截止之日的上二个月为始点并往前追溯连续缴费累计六个月及</w:t>
            </w:r>
            <w:proofErr w:type="gramStart"/>
            <w:r w:rsidRPr="00514DD8">
              <w:rPr>
                <w:rFonts w:ascii="宋体" w:hAnsi="宋体" w:cs="宋体" w:hint="eastAsia"/>
                <w:sz w:val="22"/>
              </w:rPr>
              <w:t>以上社保证明</w:t>
            </w:r>
            <w:proofErr w:type="gramEnd"/>
            <w:r w:rsidRPr="00514DD8">
              <w:rPr>
                <w:rFonts w:ascii="宋体" w:hAnsi="宋体" w:cs="宋体" w:hint="eastAsia"/>
                <w:sz w:val="22"/>
              </w:rPr>
              <w:t>扫描件所署单位为准。</w:t>
            </w:r>
          </w:p>
        </w:tc>
        <w:tc>
          <w:tcPr>
            <w:tcW w:w="653" w:type="dxa"/>
            <w:tcBorders>
              <w:top w:val="single" w:sz="4" w:space="0" w:color="auto"/>
            </w:tcBorders>
            <w:vAlign w:val="center"/>
          </w:tcPr>
          <w:p w14:paraId="206B0053"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10分</w:t>
            </w:r>
          </w:p>
        </w:tc>
      </w:tr>
      <w:tr w:rsidR="00514DD8" w:rsidRPr="00514DD8" w14:paraId="4A48F233" w14:textId="77777777" w:rsidTr="009C7588">
        <w:trPr>
          <w:trHeight w:val="3292"/>
          <w:jc w:val="center"/>
        </w:trPr>
        <w:tc>
          <w:tcPr>
            <w:tcW w:w="1050" w:type="dxa"/>
            <w:tcBorders>
              <w:bottom w:val="single" w:sz="4" w:space="0" w:color="auto"/>
            </w:tcBorders>
            <w:vAlign w:val="center"/>
          </w:tcPr>
          <w:p w14:paraId="3B90813D"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服务因素</w:t>
            </w:r>
          </w:p>
        </w:tc>
        <w:tc>
          <w:tcPr>
            <w:tcW w:w="7672" w:type="dxa"/>
            <w:tcBorders>
              <w:bottom w:val="single" w:sz="4" w:space="0" w:color="auto"/>
            </w:tcBorders>
            <w:vAlign w:val="center"/>
          </w:tcPr>
          <w:p w14:paraId="65C7E3BB" w14:textId="32B783BB"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1.独立投标人（或承担主体工程设计单位）自本招标项目在法定媒介发布招标公告之日（或投标邀请书发出之日，下同）的前五年内（含在法定媒介发布招标公告之日）承接过的土地整理（或土地利用综合评估或土地综合整治或土地规划的）项目业绩</w:t>
            </w:r>
            <w:bookmarkStart w:id="3" w:name="OLE_LINK2"/>
            <w:r w:rsidRPr="00514DD8">
              <w:rPr>
                <w:rFonts w:ascii="宋体" w:hAnsi="宋体" w:cs="宋体" w:hint="eastAsia"/>
                <w:sz w:val="22"/>
              </w:rPr>
              <w:t>（面积大于6000亩或400公顷或400万平方米）</w:t>
            </w:r>
            <w:bookmarkEnd w:id="3"/>
            <w:r w:rsidRPr="00514DD8">
              <w:rPr>
                <w:rFonts w:ascii="宋体" w:hAnsi="宋体" w:cs="宋体" w:hint="eastAsia"/>
                <w:sz w:val="22"/>
              </w:rPr>
              <w:t>，每提供一项得5.0分，最多得5.0分。</w:t>
            </w:r>
          </w:p>
          <w:p w14:paraId="40787186" w14:textId="77777777"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本项满分5.0分。</w:t>
            </w:r>
          </w:p>
          <w:p w14:paraId="67A7ED6E" w14:textId="2CDD08A1" w:rsidR="00DA51B9" w:rsidRPr="00514DD8" w:rsidRDefault="00DA51B9" w:rsidP="00DA51B9">
            <w:pPr>
              <w:rPr>
                <w:rFonts w:ascii="宋体" w:hAnsi="宋体" w:cs="宋体"/>
                <w:sz w:val="22"/>
              </w:rPr>
            </w:pPr>
            <w:r w:rsidRPr="00514DD8">
              <w:rPr>
                <w:rFonts w:ascii="宋体" w:hAnsi="宋体" w:cs="宋体" w:hint="eastAsia"/>
                <w:sz w:val="22"/>
              </w:rPr>
              <w:t>2.独立投标人（或承担主体工程设计单位）自本招标项目在法定媒介发布招标公告之日（或投标邀请书发出之日，下同）的前五年内（含在法定媒介发布招标公告之日）承接过的</w:t>
            </w:r>
            <w:proofErr w:type="gramStart"/>
            <w:r w:rsidRPr="00514DD8">
              <w:rPr>
                <w:rFonts w:ascii="宋体" w:hAnsi="宋体" w:cs="宋体" w:hint="eastAsia"/>
                <w:sz w:val="22"/>
              </w:rPr>
              <w:t>的</w:t>
            </w:r>
            <w:proofErr w:type="gramEnd"/>
            <w:r w:rsidRPr="00514DD8">
              <w:rPr>
                <w:rFonts w:ascii="宋体" w:hAnsi="宋体" w:cs="宋体" w:hint="eastAsia"/>
                <w:sz w:val="22"/>
              </w:rPr>
              <w:t>水利工程（或河道生态治理或水环境工程）类设计（或勘察设计或设计采购施工总承包）项目业绩（投资额大于1.5亿元或建安费大于8000万元或设计费超过200万元），每提供一项得5.0分，本项满分5.0分。</w:t>
            </w:r>
          </w:p>
          <w:p w14:paraId="304C874E" w14:textId="77777777"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注：</w:t>
            </w:r>
          </w:p>
          <w:p w14:paraId="02EF75DC" w14:textId="77777777"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①投标人须提供项目合同（或协议）；</w:t>
            </w:r>
          </w:p>
          <w:p w14:paraId="37892714" w14:textId="77777777"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②业绩承接的时间以合同（或协议）签订的时间最晚的为准；</w:t>
            </w:r>
          </w:p>
          <w:p w14:paraId="23ACFFEA" w14:textId="77777777"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③</w:t>
            </w:r>
            <w:proofErr w:type="gramStart"/>
            <w:r w:rsidRPr="00514DD8">
              <w:rPr>
                <w:rFonts w:ascii="宋体" w:hAnsi="宋体" w:cs="宋体" w:hint="eastAsia"/>
                <w:sz w:val="22"/>
              </w:rPr>
              <w:t>若项目</w:t>
            </w:r>
            <w:proofErr w:type="gramEnd"/>
            <w:r w:rsidRPr="00514DD8">
              <w:rPr>
                <w:rFonts w:ascii="宋体" w:hAnsi="宋体" w:cs="宋体" w:hint="eastAsia"/>
                <w:sz w:val="22"/>
              </w:rPr>
              <w:t>合同中未标明招标文件中设置的业绩指标，应补充提交能恰当说明上述特征的证明材料，否则其业绩不计；</w:t>
            </w:r>
          </w:p>
          <w:p w14:paraId="2D20BB88" w14:textId="3EE26FBA" w:rsidR="00C07251"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④投标人作为联合体承接的业绩予以认定。</w:t>
            </w:r>
          </w:p>
        </w:tc>
        <w:tc>
          <w:tcPr>
            <w:tcW w:w="653" w:type="dxa"/>
            <w:vAlign w:val="center"/>
          </w:tcPr>
          <w:p w14:paraId="24229B02"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10分</w:t>
            </w:r>
          </w:p>
        </w:tc>
      </w:tr>
      <w:tr w:rsidR="00514DD8" w:rsidRPr="00514DD8" w14:paraId="4FECF426" w14:textId="77777777" w:rsidTr="009C7588">
        <w:trPr>
          <w:trHeight w:val="3487"/>
          <w:jc w:val="center"/>
        </w:trPr>
        <w:tc>
          <w:tcPr>
            <w:tcW w:w="1050" w:type="dxa"/>
            <w:vAlign w:val="center"/>
          </w:tcPr>
          <w:p w14:paraId="0FFB0451"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答辩因素</w:t>
            </w:r>
          </w:p>
        </w:tc>
        <w:tc>
          <w:tcPr>
            <w:tcW w:w="7672" w:type="dxa"/>
            <w:vAlign w:val="center"/>
          </w:tcPr>
          <w:p w14:paraId="78E943A8" w14:textId="1B36B3A4" w:rsidR="00C07251" w:rsidRPr="00514DD8" w:rsidRDefault="00DA51B9">
            <w:pPr>
              <w:widowControl/>
              <w:snapToGrid w:val="0"/>
              <w:jc w:val="left"/>
              <w:textAlignment w:val="center"/>
              <w:rPr>
                <w:rFonts w:ascii="宋体" w:hAnsi="宋体" w:cs="宋体"/>
                <w:sz w:val="22"/>
              </w:rPr>
            </w:pPr>
            <w:r w:rsidRPr="00514DD8">
              <w:rPr>
                <w:rFonts w:ascii="宋体" w:hAnsi="宋体" w:cs="宋体" w:hint="eastAsia"/>
                <w:sz w:val="22"/>
              </w:rPr>
              <w:t>1.</w:t>
            </w:r>
            <w:r w:rsidR="004E7024" w:rsidRPr="00514DD8">
              <w:rPr>
                <w:rFonts w:ascii="宋体" w:hAnsi="宋体" w:cs="宋体" w:hint="eastAsia"/>
                <w:sz w:val="22"/>
              </w:rPr>
              <w:t>拟派项目负责人不能参加答辩，委托项目组成员代替参加答辩得5分;本项目的项目负责人本人亲自参加答辩得10分。</w:t>
            </w:r>
          </w:p>
          <w:p w14:paraId="5A01CAC8"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加分内容为:</w:t>
            </w:r>
          </w:p>
          <w:p w14:paraId="609D2576" w14:textId="4D851D86" w:rsidR="00C07251" w:rsidRPr="00514DD8" w:rsidRDefault="00DA51B9">
            <w:pPr>
              <w:widowControl/>
              <w:snapToGrid w:val="0"/>
              <w:jc w:val="left"/>
              <w:textAlignment w:val="center"/>
              <w:rPr>
                <w:rFonts w:ascii="宋体" w:hAnsi="宋体" w:cs="宋体"/>
                <w:sz w:val="22"/>
              </w:rPr>
            </w:pPr>
            <w:r w:rsidRPr="00514DD8">
              <w:rPr>
                <w:rFonts w:ascii="宋体" w:hAnsi="宋体" w:cs="宋体" w:hint="eastAsia"/>
                <w:sz w:val="22"/>
              </w:rPr>
              <w:t>2.</w:t>
            </w:r>
            <w:r w:rsidR="004E7024" w:rsidRPr="00514DD8">
              <w:rPr>
                <w:rFonts w:ascii="宋体" w:hAnsi="宋体" w:cs="宋体" w:hint="eastAsia"/>
                <w:sz w:val="22"/>
              </w:rPr>
              <w:t>①依据项目负责人对工程总承包项目政策理解、项目总体管控思路，对工程进度计划总体安排及质量、安全保证的举措答辩情况，参加答辩的项目负责人,每人应答3题。定标委员会对合格的定标候选人拟派项目负责人的答辩情况进行评审，考察0-10分进行打分。</w:t>
            </w:r>
          </w:p>
          <w:p w14:paraId="5731F736"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注:项目负责人不得旁听其他人答辩。若拟派项目负责人不能参加答辩，可委托项目组成员代替，未派出人员参加答辩的不得分。</w:t>
            </w:r>
          </w:p>
          <w:p w14:paraId="5BCFA269"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说明：定标委员会</w:t>
            </w:r>
            <w:proofErr w:type="gramStart"/>
            <w:r w:rsidRPr="00514DD8">
              <w:rPr>
                <w:rFonts w:ascii="宋体" w:hAnsi="宋体" w:cs="宋体" w:hint="eastAsia"/>
                <w:sz w:val="22"/>
              </w:rPr>
              <w:t>对某子项目</w:t>
            </w:r>
            <w:proofErr w:type="gramEnd"/>
            <w:r w:rsidRPr="00514DD8">
              <w:rPr>
                <w:rFonts w:ascii="宋体" w:hAnsi="宋体" w:cs="宋体" w:hint="eastAsia"/>
                <w:sz w:val="22"/>
              </w:rPr>
              <w:t>答辩人员的得分低于70%或高于90%的，应详细阐述具体理由（字数不少于50字）。</w:t>
            </w:r>
          </w:p>
        </w:tc>
        <w:tc>
          <w:tcPr>
            <w:tcW w:w="653" w:type="dxa"/>
            <w:vAlign w:val="center"/>
          </w:tcPr>
          <w:p w14:paraId="3F39E2F1"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20分</w:t>
            </w:r>
          </w:p>
        </w:tc>
      </w:tr>
    </w:tbl>
    <w:p w14:paraId="144F9714" w14:textId="77777777" w:rsidR="00C07251" w:rsidRDefault="00C07251"/>
    <w:sectPr w:rsidR="00C072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A7DFC" w14:textId="77777777" w:rsidR="00E555CA" w:rsidRDefault="00E555CA" w:rsidP="0092790D">
      <w:r>
        <w:separator/>
      </w:r>
    </w:p>
  </w:endnote>
  <w:endnote w:type="continuationSeparator" w:id="0">
    <w:p w14:paraId="61952BCF" w14:textId="77777777" w:rsidR="00E555CA" w:rsidRDefault="00E555CA" w:rsidP="0092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E64B9" w14:textId="77777777" w:rsidR="00E555CA" w:rsidRDefault="00E555CA" w:rsidP="0092790D">
      <w:r>
        <w:separator/>
      </w:r>
    </w:p>
  </w:footnote>
  <w:footnote w:type="continuationSeparator" w:id="0">
    <w:p w14:paraId="63827677" w14:textId="77777777" w:rsidR="00E555CA" w:rsidRDefault="00E555CA" w:rsidP="00927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78F60"/>
    <w:multiLevelType w:val="singleLevel"/>
    <w:tmpl w:val="7F278F6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8A"/>
    <w:rsid w:val="00006C07"/>
    <w:rsid w:val="00080471"/>
    <w:rsid w:val="0008387C"/>
    <w:rsid w:val="00117B08"/>
    <w:rsid w:val="003F3684"/>
    <w:rsid w:val="004A0726"/>
    <w:rsid w:val="004E7024"/>
    <w:rsid w:val="00514DD8"/>
    <w:rsid w:val="00586ABD"/>
    <w:rsid w:val="005C7E01"/>
    <w:rsid w:val="006042C4"/>
    <w:rsid w:val="006422D9"/>
    <w:rsid w:val="00662990"/>
    <w:rsid w:val="00693C00"/>
    <w:rsid w:val="007307CE"/>
    <w:rsid w:val="0091128A"/>
    <w:rsid w:val="0092790D"/>
    <w:rsid w:val="009C7588"/>
    <w:rsid w:val="009D1169"/>
    <w:rsid w:val="00AC1DE6"/>
    <w:rsid w:val="00B40B3A"/>
    <w:rsid w:val="00C07251"/>
    <w:rsid w:val="00DA51B9"/>
    <w:rsid w:val="00E03D92"/>
    <w:rsid w:val="00E555CA"/>
    <w:rsid w:val="0DFA082C"/>
    <w:rsid w:val="6140301E"/>
    <w:rsid w:val="7338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90D"/>
    <w:rPr>
      <w:rFonts w:ascii="Calibri" w:eastAsia="宋体" w:hAnsi="Calibri" w:cs="Times New Roman"/>
      <w:kern w:val="2"/>
      <w:sz w:val="18"/>
      <w:szCs w:val="18"/>
    </w:rPr>
  </w:style>
  <w:style w:type="paragraph" w:styleId="a4">
    <w:name w:val="footer"/>
    <w:basedOn w:val="a"/>
    <w:link w:val="Char0"/>
    <w:uiPriority w:val="99"/>
    <w:unhideWhenUsed/>
    <w:rsid w:val="0092790D"/>
    <w:pPr>
      <w:tabs>
        <w:tab w:val="center" w:pos="4153"/>
        <w:tab w:val="right" w:pos="8306"/>
      </w:tabs>
      <w:snapToGrid w:val="0"/>
      <w:jc w:val="left"/>
    </w:pPr>
    <w:rPr>
      <w:sz w:val="18"/>
      <w:szCs w:val="18"/>
    </w:rPr>
  </w:style>
  <w:style w:type="character" w:customStyle="1" w:styleId="Char0">
    <w:name w:val="页脚 Char"/>
    <w:basedOn w:val="a0"/>
    <w:link w:val="a4"/>
    <w:uiPriority w:val="99"/>
    <w:rsid w:val="0092790D"/>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90D"/>
    <w:rPr>
      <w:rFonts w:ascii="Calibri" w:eastAsia="宋体" w:hAnsi="Calibri" w:cs="Times New Roman"/>
      <w:kern w:val="2"/>
      <w:sz w:val="18"/>
      <w:szCs w:val="18"/>
    </w:rPr>
  </w:style>
  <w:style w:type="paragraph" w:styleId="a4">
    <w:name w:val="footer"/>
    <w:basedOn w:val="a"/>
    <w:link w:val="Char0"/>
    <w:uiPriority w:val="99"/>
    <w:unhideWhenUsed/>
    <w:rsid w:val="0092790D"/>
    <w:pPr>
      <w:tabs>
        <w:tab w:val="center" w:pos="4153"/>
        <w:tab w:val="right" w:pos="8306"/>
      </w:tabs>
      <w:snapToGrid w:val="0"/>
      <w:jc w:val="left"/>
    </w:pPr>
    <w:rPr>
      <w:sz w:val="18"/>
      <w:szCs w:val="18"/>
    </w:rPr>
  </w:style>
  <w:style w:type="character" w:customStyle="1" w:styleId="Char0">
    <w:name w:val="页脚 Char"/>
    <w:basedOn w:val="a0"/>
    <w:link w:val="a4"/>
    <w:uiPriority w:val="99"/>
    <w:rsid w:val="0092790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8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叶晴辉</cp:lastModifiedBy>
  <cp:revision>14</cp:revision>
  <dcterms:created xsi:type="dcterms:W3CDTF">2025-03-18T05:51:00Z</dcterms:created>
  <dcterms:modified xsi:type="dcterms:W3CDTF">2025-05-06T13:05:00Z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eyJoZGlkIjoiMWU2MzA1MDIxOTlhY2E3MWZlYzZhNmRjOGU0ZjdkZTciLCJ1c2VySWQiOiIyMTczMjY0ODAifQ==</vt:lpwstr>
  </property>
  <property fmtid="{D5CDD505-2E9C-101B-9397-08002B2CF9AE}" pid="3" name="KSOProductBuildVer">
    <vt:lpwstr>2052-12.1.0.20784</vt:lpwstr>
  </property>
  <property fmtid="{D5CDD505-2E9C-101B-9397-08002B2CF9AE}" pid="4" name="ICV">
    <vt:lpwstr>D0924089FC864169A6A86848620079E8_12</vt:lpwstr>
  </property>
</Properties>
</file>