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DC3AA">
      <w:pPr>
        <w:jc w:val="center"/>
        <w:rPr>
          <w:rFonts w:hint="eastAsia"/>
          <w:sz w:val="52"/>
          <w:szCs w:val="52"/>
          <w:lang w:val="en-US" w:eastAsia="zh-CN"/>
        </w:rPr>
      </w:pPr>
      <w:bookmarkStart w:id="0" w:name="_GoBack"/>
      <w:r>
        <w:rPr>
          <w:rFonts w:hint="eastAsia"/>
          <w:sz w:val="52"/>
          <w:szCs w:val="52"/>
          <w:lang w:val="en-US" w:eastAsia="zh-CN"/>
        </w:rPr>
        <w:t>定标邀请函投标单位操作手册</w:t>
      </w:r>
    </w:p>
    <w:bookmarkEnd w:id="0"/>
    <w:p w14:paraId="68F00652"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进入三明市公共资源交易网首页：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"https://smggzy.sm.gov.cn/smwz/"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https://smggzy.sm.gov.cn/smwz/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 xml:space="preserve">  ，工程交易网员登录。</w:t>
      </w:r>
    </w:p>
    <w:p w14:paraId="0BCCB9D3">
      <w:pPr>
        <w:numPr>
          <w:numId w:val="0"/>
        </w:numPr>
        <w:jc w:val="both"/>
      </w:pPr>
      <w:r>
        <w:drawing>
          <wp:inline distT="0" distB="0" distL="114300" distR="114300">
            <wp:extent cx="5045075" cy="291846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B090"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投标单位查看定标邀请函方式：</w:t>
      </w:r>
    </w:p>
    <w:p w14:paraId="50310FC5">
      <w:pPr>
        <w:numPr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（1）进入系统——首页——最新消息——点击项目查看，如下图所示：</w:t>
      </w:r>
    </w:p>
    <w:p w14:paraId="16F655E3">
      <w:pPr>
        <w:numPr>
          <w:numId w:val="0"/>
        </w:numPr>
        <w:jc w:val="both"/>
      </w:pPr>
      <w:r>
        <w:drawing>
          <wp:inline distT="0" distB="0" distL="114300" distR="114300">
            <wp:extent cx="5043805" cy="27914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1D0D0">
      <w:pPr>
        <w:numPr>
          <w:numId w:val="0"/>
        </w:numPr>
        <w:jc w:val="both"/>
      </w:pPr>
      <w:r>
        <w:drawing>
          <wp:inline distT="0" distB="0" distL="114300" distR="114300">
            <wp:extent cx="5090160" cy="247777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DF38A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（2）点击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95300" cy="457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，出现弹窗，找到最新消息中的项目，点击进入查看，如下图所示：</w:t>
      </w:r>
    </w:p>
    <w:p w14:paraId="59149764"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108575" cy="2494280"/>
            <wp:effectExtent l="0" t="0" r="952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4290" cy="247777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454B"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业务管理——定标邀请——查看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28625" cy="361950"/>
            <wp:effectExtent l="0" t="0" r="3175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，如下图所示：</w:t>
      </w:r>
    </w:p>
    <w:p w14:paraId="37AB0BC1">
      <w:pPr>
        <w:numPr>
          <w:numId w:val="0"/>
        </w:numPr>
        <w:jc w:val="both"/>
      </w:pPr>
      <w:r>
        <w:drawing>
          <wp:inline distT="0" distB="0" distL="114300" distR="114300">
            <wp:extent cx="5339080" cy="2727325"/>
            <wp:effectExtent l="0" t="0" r="7620" b="317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A6CA4">
      <w:pPr>
        <w:numPr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384165" cy="2477770"/>
            <wp:effectExtent l="0" t="0" r="63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3737"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85C95A"/>
    <w:multiLevelType w:val="singleLevel"/>
    <w:tmpl w:val="2B85C9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EB36005"/>
    <w:multiLevelType w:val="singleLevel"/>
    <w:tmpl w:val="2EB36005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3C4FE0"/>
    <w:rsid w:val="5C3C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2026-03-02T07:16:00Z</dcterms:created>
  <dc:creator>NTKO</dc:creator>
  <cp:lastModifiedBy>NTKO</cp:lastModifiedBy>
  <dcterms:modified xsi:type="dcterms:W3CDTF">2026-03-02T09:07:31Z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2114A257564D4D338605E4D6C54EA254_11</vt:lpwstr>
  </property>
  <property fmtid="{D5CDD505-2E9C-101B-9397-08002B2CF9AE}" pid="4" name="KSOTemplateDocerSaveRecord">
    <vt:lpwstr>eyJoZGlkIjoiNDhkMTM3Y2EzNTc0N2ViNTE2ZGVmMDI4NjhjODIwMjkiLCJ1c2VySWQiOiIyOTg0MjM4MDEifQ==</vt:lpwstr>
  </property>
</Properties>
</file>