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b/>
          <w:bCs/>
          <w:color w:val="12151C"/>
          <w:kern w:val="0"/>
          <w:sz w:val="36"/>
          <w:szCs w:val="36"/>
        </w:rPr>
      </w:pPr>
      <w:bookmarkStart w:id="0" w:name="_GoBack"/>
      <w:bookmarkEnd w:id="0"/>
      <w:r>
        <w:rPr>
          <w:rFonts w:hint="eastAsia" w:ascii="微软雅黑" w:hAnsi="微软雅黑" w:eastAsia="微软雅黑" w:cs="宋体"/>
          <w:b/>
          <w:bCs/>
          <w:color w:val="12151C"/>
          <w:kern w:val="0"/>
          <w:sz w:val="36"/>
          <w:szCs w:val="36"/>
        </w:rPr>
        <w:t>福建省发展和改革委员会关于规范建设工程交易服务收费有关问题的通告</w:t>
      </w:r>
    </w:p>
    <w:p>
      <w:pPr>
        <w:widowControl/>
        <w:shd w:val="clear" w:color="auto" w:fill="FFFFFF"/>
        <w:spacing w:line="600" w:lineRule="atLeast"/>
        <w:jc w:val="center"/>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闽发改服价〔2021〕250号</w:t>
      </w:r>
    </w:p>
    <w:p>
      <w:pPr>
        <w:widowControl/>
        <w:shd w:val="clear" w:color="auto" w:fill="FFFFFF"/>
        <w:spacing w:line="60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为进一步规范我省建设工程交易服务收费，切实减轻企业和社会负担，根据《福建省定价目录》《公共资源交易平台管理暂行办法》（国家发展改革委令第39号）等有关法规政策规定，结合我省实际，现就规范我省建设工程交易服务收费有关问题通告如下：</w:t>
      </w:r>
    </w:p>
    <w:p>
      <w:pPr>
        <w:widowControl/>
        <w:shd w:val="clear" w:color="auto" w:fill="FFFFFF"/>
        <w:spacing w:line="60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一、建设工程交易服务收费由依法设立并按有关规定开展建设工程交易经营服务的机构，在提供交易服务、办理交易手续等相关服务时收取。</w:t>
      </w:r>
    </w:p>
    <w:p>
      <w:pPr>
        <w:widowControl/>
        <w:shd w:val="clear" w:color="auto" w:fill="FFFFFF"/>
        <w:spacing w:line="60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二、建设工程交易服务收费属重要专业服务收费，实行政府指导价管理，有关交易服务机构收取建设工程交易服务费，应当遵循诚实守信和公开、公平、公正的原则，具体收费标准详见附件。</w:t>
      </w:r>
      <w:r>
        <w:rPr>
          <w:rFonts w:hint="eastAsia" w:ascii="宋体" w:hAnsi="宋体" w:eastAsia="宋体" w:cs="宋体"/>
          <w:b w:val="0"/>
          <w:bCs w:val="0"/>
          <w:color w:val="000000" w:themeColor="text1"/>
          <w:kern w:val="0"/>
          <w:sz w:val="28"/>
          <w:szCs w:val="28"/>
          <w14:textFill>
            <w14:solidFill>
              <w14:schemeClr w14:val="tx1"/>
            </w14:solidFill>
          </w14:textFill>
        </w:rPr>
        <w:t>本规定收费标准为建设工程交易服务费最高收费标准，收费单位可视实际情况适当下浮。</w:t>
      </w:r>
      <w:r>
        <w:rPr>
          <w:rFonts w:hint="eastAsia" w:ascii="宋体" w:hAnsi="宋体" w:eastAsia="宋体" w:cs="宋体"/>
          <w:color w:val="333333"/>
          <w:kern w:val="0"/>
          <w:sz w:val="28"/>
          <w:szCs w:val="28"/>
        </w:rPr>
        <w:t>建设工程交易服务机构除收取交易服务费外，不得另行收取其他任何费用，也不得通过绑定工具软件收费。</w:t>
      </w:r>
    </w:p>
    <w:p>
      <w:pPr>
        <w:widowControl/>
        <w:shd w:val="clear" w:color="auto" w:fill="FFFFFF"/>
        <w:spacing w:line="60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建设工程交易服务机构单位性质属于参公或公益一类事业单位的，应根据《国务院办公厅关于印发分类推进事业单位改革配套文件的通知》（国办发〔2011〕37号）关于“公益一类事业单位不得开展经营服务活动”的规定，不得收取经营服务性收费。</w:t>
      </w:r>
    </w:p>
    <w:p>
      <w:pPr>
        <w:widowControl/>
        <w:shd w:val="clear" w:color="auto" w:fill="FFFFFF"/>
        <w:spacing w:line="60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四、本通告自2021年 5月1日起执行，有效期3年。本通告执行之日起，原《福建省物价局关于规范建设工程交易服务收费有关问题的通告》（闽价通告〔2018〕9号）同时废止，以往制发的有关规定与本通告不一致的，按本通告执行。</w:t>
      </w:r>
    </w:p>
    <w:p>
      <w:pPr>
        <w:widowControl/>
        <w:shd w:val="clear" w:color="auto" w:fill="FFFFFF"/>
        <w:spacing w:line="60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附件：福建省建设工程交易服务收费标准</w:t>
      </w:r>
    </w:p>
    <w:p>
      <w:pPr>
        <w:widowControl/>
        <w:shd w:val="clear" w:color="auto" w:fill="FFFFFF"/>
        <w:spacing w:line="600" w:lineRule="atLeast"/>
        <w:ind w:firstLine="480"/>
        <w:jc w:val="right"/>
        <w:rPr>
          <w:rFonts w:hint="eastAsia" w:ascii="宋体" w:hAnsi="宋体" w:eastAsia="宋体" w:cs="宋体"/>
          <w:color w:val="333333"/>
          <w:kern w:val="0"/>
          <w:sz w:val="28"/>
          <w:szCs w:val="28"/>
        </w:rPr>
      </w:pPr>
    </w:p>
    <w:p>
      <w:pPr>
        <w:widowControl/>
        <w:shd w:val="clear" w:color="auto" w:fill="FFFFFF"/>
        <w:spacing w:line="600" w:lineRule="atLeast"/>
        <w:ind w:firstLine="480"/>
        <w:jc w:val="right"/>
        <w:rPr>
          <w:rFonts w:hint="eastAsia" w:ascii="宋体" w:hAnsi="宋体" w:eastAsia="宋体" w:cs="宋体"/>
          <w:color w:val="333333"/>
          <w:kern w:val="0"/>
          <w:sz w:val="28"/>
          <w:szCs w:val="28"/>
        </w:rPr>
      </w:pPr>
    </w:p>
    <w:p>
      <w:pPr>
        <w:widowControl/>
        <w:shd w:val="clear" w:color="auto" w:fill="FFFFFF"/>
        <w:spacing w:line="600" w:lineRule="atLeast"/>
        <w:ind w:firstLine="480"/>
        <w:jc w:val="righ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福建省发展和改革委员会</w:t>
      </w:r>
    </w:p>
    <w:p>
      <w:pPr>
        <w:widowControl/>
        <w:shd w:val="clear" w:color="auto" w:fill="FFFFFF"/>
        <w:spacing w:line="600" w:lineRule="atLeast"/>
        <w:ind w:right="540" w:firstLine="480"/>
        <w:jc w:val="righ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2021年4月26日</w:t>
      </w: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宋体" w:hAnsi="宋体" w:eastAsia="宋体" w:cs="宋体"/>
          <w:color w:val="333333"/>
          <w:kern w:val="0"/>
          <w:sz w:val="28"/>
          <w:szCs w:val="28"/>
        </w:rPr>
      </w:pPr>
    </w:p>
    <w:p>
      <w:pPr>
        <w:widowControl/>
        <w:shd w:val="clear" w:color="auto" w:fill="FFFFFF"/>
        <w:spacing w:line="600" w:lineRule="atLeast"/>
        <w:ind w:right="1080"/>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附件</w:t>
      </w:r>
    </w:p>
    <w:p>
      <w:pPr>
        <w:widowControl/>
        <w:shd w:val="clear" w:color="auto" w:fill="FFFFFF"/>
        <w:spacing w:line="600" w:lineRule="atLeast"/>
        <w:ind w:firstLine="480"/>
        <w:jc w:val="center"/>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福建省建设工程交易服务收费标准</w:t>
      </w:r>
    </w:p>
    <w:p>
      <w:pPr>
        <w:widowControl/>
        <w:shd w:val="clear" w:color="auto" w:fill="FFFFFF"/>
        <w:spacing w:line="600" w:lineRule="atLeast"/>
        <w:ind w:firstLine="480"/>
        <w:jc w:val="center"/>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收费单位： 元/宗</w:t>
      </w:r>
    </w:p>
    <w:tbl>
      <w:tblPr>
        <w:tblStyle w:val="4"/>
        <w:tblW w:w="9255" w:type="dxa"/>
        <w:jc w:val="center"/>
        <w:tblLayout w:type="autofit"/>
        <w:tblCellMar>
          <w:top w:w="15" w:type="dxa"/>
          <w:left w:w="15" w:type="dxa"/>
          <w:bottom w:w="15" w:type="dxa"/>
          <w:right w:w="15" w:type="dxa"/>
        </w:tblCellMar>
      </w:tblPr>
      <w:tblGrid>
        <w:gridCol w:w="2245"/>
        <w:gridCol w:w="2531"/>
        <w:gridCol w:w="2336"/>
        <w:gridCol w:w="2143"/>
      </w:tblGrid>
      <w:tr>
        <w:tblPrEx>
          <w:tblCellMar>
            <w:top w:w="15" w:type="dxa"/>
            <w:left w:w="15" w:type="dxa"/>
            <w:bottom w:w="15" w:type="dxa"/>
            <w:right w:w="15" w:type="dxa"/>
          </w:tblCellMar>
        </w:tblPrEx>
        <w:trPr>
          <w:trHeight w:val="523" w:hRule="atLeast"/>
          <w:jc w:val="center"/>
        </w:trPr>
        <w:tc>
          <w:tcPr>
            <w:tcW w:w="2247" w:type="dxa"/>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收费项目</w:t>
            </w:r>
          </w:p>
        </w:tc>
        <w:tc>
          <w:tcPr>
            <w:tcW w:w="2533" w:type="dxa"/>
            <w:tcBorders>
              <w:top w:val="single" w:color="auto" w:sz="8" w:space="0"/>
              <w:left w:val="nil"/>
              <w:bottom w:val="nil"/>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中标额（万元）</w:t>
            </w:r>
          </w:p>
        </w:tc>
        <w:tc>
          <w:tcPr>
            <w:tcW w:w="2338" w:type="dxa"/>
            <w:tcBorders>
              <w:top w:val="single" w:color="auto" w:sz="8" w:space="0"/>
              <w:left w:val="nil"/>
              <w:bottom w:val="nil"/>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收费标准</w:t>
            </w:r>
          </w:p>
        </w:tc>
        <w:tc>
          <w:tcPr>
            <w:tcW w:w="2144" w:type="dxa"/>
            <w:tcBorders>
              <w:top w:val="single" w:color="auto" w:sz="8" w:space="0"/>
              <w:left w:val="nil"/>
              <w:bottom w:val="nil"/>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  注</w:t>
            </w:r>
          </w:p>
        </w:tc>
      </w:tr>
      <w:tr>
        <w:tblPrEx>
          <w:tblCellMar>
            <w:top w:w="15" w:type="dxa"/>
            <w:left w:w="15" w:type="dxa"/>
            <w:bottom w:w="15" w:type="dxa"/>
            <w:right w:w="15" w:type="dxa"/>
          </w:tblCellMar>
        </w:tblPrEx>
        <w:trPr>
          <w:trHeight w:val="404" w:hRule="atLeast"/>
          <w:jc w:val="center"/>
        </w:trPr>
        <w:tc>
          <w:tcPr>
            <w:tcW w:w="224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建设工程施工、专项材料设备、EPC总承包和PPP等项目招标投标的</w:t>
            </w:r>
          </w:p>
        </w:tc>
        <w:tc>
          <w:tcPr>
            <w:tcW w:w="2533" w:type="dxa"/>
            <w:tcBorders>
              <w:top w:val="single" w:color="auto" w:sz="8" w:space="0"/>
              <w:left w:val="nil"/>
              <w:bottom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200（含）以下</w:t>
            </w:r>
          </w:p>
        </w:tc>
        <w:tc>
          <w:tcPr>
            <w:tcW w:w="2338" w:type="dxa"/>
            <w:tcBorders>
              <w:top w:val="single" w:color="auto" w:sz="8" w:space="0"/>
              <w:left w:val="nil"/>
              <w:bottom w:val="nil"/>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2000</w:t>
            </w:r>
          </w:p>
        </w:tc>
        <w:tc>
          <w:tcPr>
            <w:tcW w:w="2144" w:type="dxa"/>
            <w:vMerge w:val="restart"/>
            <w:tcBorders>
              <w:top w:val="single" w:color="auto" w:sz="8" w:space="0"/>
              <w:left w:val="nil"/>
              <w:bottom w:val="nil"/>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由招标单位支付40%、中标单位支付60%</w:t>
            </w:r>
          </w:p>
        </w:tc>
      </w:tr>
      <w:tr>
        <w:tblPrEx>
          <w:tblCellMar>
            <w:top w:w="15" w:type="dxa"/>
            <w:left w:w="15" w:type="dxa"/>
            <w:bottom w:w="15" w:type="dxa"/>
            <w:right w:w="15" w:type="dxa"/>
          </w:tblCellMar>
        </w:tblPrEx>
        <w:trPr>
          <w:trHeight w:val="452"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200-500（含）</w:t>
            </w:r>
          </w:p>
        </w:tc>
        <w:tc>
          <w:tcPr>
            <w:tcW w:w="23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5000</w:t>
            </w:r>
          </w:p>
        </w:tc>
        <w:tc>
          <w:tcPr>
            <w:tcW w:w="0" w:type="auto"/>
            <w:vMerge w:val="continue"/>
            <w:tcBorders>
              <w:top w:val="single" w:color="auto" w:sz="8" w:space="0"/>
              <w:left w:val="nil"/>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472"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500-1000（含）</w:t>
            </w:r>
          </w:p>
        </w:tc>
        <w:tc>
          <w:tcPr>
            <w:tcW w:w="2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8000</w:t>
            </w:r>
          </w:p>
        </w:tc>
        <w:tc>
          <w:tcPr>
            <w:tcW w:w="0" w:type="auto"/>
            <w:vMerge w:val="continue"/>
            <w:tcBorders>
              <w:top w:val="single" w:color="auto" w:sz="8" w:space="0"/>
              <w:left w:val="nil"/>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449"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1000-5000（含）</w:t>
            </w:r>
          </w:p>
        </w:tc>
        <w:tc>
          <w:tcPr>
            <w:tcW w:w="2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13500</w:t>
            </w:r>
          </w:p>
        </w:tc>
        <w:tc>
          <w:tcPr>
            <w:tcW w:w="0" w:type="auto"/>
            <w:vMerge w:val="continue"/>
            <w:tcBorders>
              <w:top w:val="single" w:color="auto" w:sz="8" w:space="0"/>
              <w:left w:val="nil"/>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462"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5000-10000（含）</w:t>
            </w:r>
          </w:p>
        </w:tc>
        <w:tc>
          <w:tcPr>
            <w:tcW w:w="2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19000</w:t>
            </w:r>
          </w:p>
        </w:tc>
        <w:tc>
          <w:tcPr>
            <w:tcW w:w="0" w:type="auto"/>
            <w:vMerge w:val="continue"/>
            <w:tcBorders>
              <w:top w:val="single" w:color="auto" w:sz="8" w:space="0"/>
              <w:left w:val="nil"/>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46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10000以上</w:t>
            </w:r>
          </w:p>
        </w:tc>
        <w:tc>
          <w:tcPr>
            <w:tcW w:w="2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25000</w:t>
            </w:r>
          </w:p>
        </w:tc>
        <w:tc>
          <w:tcPr>
            <w:tcW w:w="0" w:type="auto"/>
            <w:vMerge w:val="continue"/>
            <w:tcBorders>
              <w:top w:val="single" w:color="auto" w:sz="8" w:space="0"/>
              <w:left w:val="nil"/>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01" w:hRule="atLeast"/>
          <w:jc w:val="center"/>
        </w:trPr>
        <w:tc>
          <w:tcPr>
            <w:tcW w:w="22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勘察设计、监理、咨询、检测及其他工程服务类招标投标的</w:t>
            </w:r>
          </w:p>
        </w:tc>
        <w:tc>
          <w:tcPr>
            <w:tcW w:w="2533" w:type="dxa"/>
            <w:tcBorders>
              <w:top w:val="nil"/>
              <w:left w:val="nil"/>
              <w:bottom w:val="single" w:color="auto" w:sz="8" w:space="0"/>
              <w:right w:val="single" w:color="auto" w:sz="8" w:space="0"/>
            </w:tcBorders>
            <w:tcMar>
              <w:top w:w="0" w:type="dxa"/>
              <w:left w:w="108" w:type="dxa"/>
              <w:bottom w:w="0" w:type="dxa"/>
              <w:right w:w="108"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20（含）以下</w:t>
            </w:r>
          </w:p>
        </w:tc>
        <w:tc>
          <w:tcPr>
            <w:tcW w:w="2338"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kern w:val="0"/>
                <w:sz w:val="24"/>
                <w:szCs w:val="24"/>
              </w:rPr>
            </w:pPr>
            <w:r>
              <w:rPr>
                <w:rFonts w:ascii="宋体" w:hAnsi="宋体" w:eastAsia="宋体" w:cs="宋体"/>
                <w:kern w:val="0"/>
                <w:sz w:val="24"/>
                <w:szCs w:val="24"/>
              </w:rPr>
              <w:t>2000</w:t>
            </w:r>
          </w:p>
        </w:tc>
        <w:tc>
          <w:tcPr>
            <w:tcW w:w="214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由中标单位支付</w:t>
            </w:r>
          </w:p>
        </w:tc>
      </w:tr>
      <w:tr>
        <w:tblPrEx>
          <w:tblCellMar>
            <w:top w:w="15" w:type="dxa"/>
            <w:left w:w="15" w:type="dxa"/>
            <w:bottom w:w="15" w:type="dxa"/>
            <w:right w:w="15" w:type="dxa"/>
          </w:tblCellMar>
        </w:tblPrEx>
        <w:trPr>
          <w:trHeight w:val="1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144" w:lineRule="atLeast"/>
              <w:jc w:val="left"/>
              <w:rPr>
                <w:rFonts w:ascii="宋体" w:hAnsi="宋体" w:eastAsia="宋体" w:cs="宋体"/>
                <w:kern w:val="0"/>
                <w:sz w:val="24"/>
                <w:szCs w:val="24"/>
              </w:rPr>
            </w:pPr>
            <w:r>
              <w:rPr>
                <w:rFonts w:ascii="宋体" w:hAnsi="宋体" w:eastAsia="宋体" w:cs="宋体"/>
                <w:kern w:val="0"/>
                <w:sz w:val="24"/>
                <w:szCs w:val="24"/>
              </w:rPr>
              <w:t>20-50（含）</w:t>
            </w:r>
          </w:p>
        </w:tc>
        <w:tc>
          <w:tcPr>
            <w:tcW w:w="23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144" w:lineRule="atLeast"/>
              <w:jc w:val="center"/>
              <w:rPr>
                <w:rFonts w:ascii="宋体" w:hAnsi="宋体" w:eastAsia="宋体" w:cs="宋体"/>
                <w:kern w:val="0"/>
                <w:sz w:val="24"/>
                <w:szCs w:val="24"/>
              </w:rPr>
            </w:pPr>
            <w:r>
              <w:rPr>
                <w:rFonts w:ascii="宋体" w:hAnsi="宋体" w:eastAsia="宋体" w:cs="宋体"/>
                <w:kern w:val="0"/>
                <w:sz w:val="24"/>
                <w:szCs w:val="24"/>
              </w:rPr>
              <w:t>3000</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1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144" w:lineRule="atLeast"/>
              <w:jc w:val="left"/>
              <w:rPr>
                <w:rFonts w:ascii="宋体" w:hAnsi="宋体" w:eastAsia="宋体" w:cs="宋体"/>
                <w:kern w:val="0"/>
                <w:sz w:val="24"/>
                <w:szCs w:val="24"/>
              </w:rPr>
            </w:pPr>
            <w:r>
              <w:rPr>
                <w:rFonts w:ascii="宋体" w:hAnsi="宋体" w:eastAsia="宋体" w:cs="宋体"/>
                <w:kern w:val="0"/>
                <w:sz w:val="24"/>
                <w:szCs w:val="24"/>
              </w:rPr>
              <w:t>50-100（含）</w:t>
            </w:r>
          </w:p>
        </w:tc>
        <w:tc>
          <w:tcPr>
            <w:tcW w:w="23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144" w:lineRule="atLeast"/>
              <w:jc w:val="center"/>
              <w:rPr>
                <w:rFonts w:ascii="宋体" w:hAnsi="宋体" w:eastAsia="宋体" w:cs="宋体"/>
                <w:kern w:val="0"/>
                <w:sz w:val="24"/>
                <w:szCs w:val="24"/>
              </w:rPr>
            </w:pPr>
            <w:r>
              <w:rPr>
                <w:rFonts w:ascii="宋体" w:hAnsi="宋体" w:eastAsia="宋体" w:cs="宋体"/>
                <w:kern w:val="0"/>
                <w:sz w:val="24"/>
                <w:szCs w:val="24"/>
              </w:rPr>
              <w:t>5000</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1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144" w:lineRule="atLeast"/>
              <w:jc w:val="left"/>
              <w:rPr>
                <w:rFonts w:ascii="宋体" w:hAnsi="宋体" w:eastAsia="宋体" w:cs="宋体"/>
                <w:kern w:val="0"/>
                <w:sz w:val="24"/>
                <w:szCs w:val="24"/>
              </w:rPr>
            </w:pPr>
            <w:r>
              <w:rPr>
                <w:rFonts w:ascii="宋体" w:hAnsi="宋体" w:eastAsia="宋体" w:cs="宋体"/>
                <w:kern w:val="0"/>
                <w:sz w:val="24"/>
                <w:szCs w:val="24"/>
              </w:rPr>
              <w:t>100-200（含）</w:t>
            </w:r>
          </w:p>
        </w:tc>
        <w:tc>
          <w:tcPr>
            <w:tcW w:w="23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144" w:lineRule="atLeast"/>
              <w:jc w:val="center"/>
              <w:rPr>
                <w:rFonts w:ascii="宋体" w:hAnsi="宋体" w:eastAsia="宋体" w:cs="宋体"/>
                <w:kern w:val="0"/>
                <w:sz w:val="24"/>
                <w:szCs w:val="24"/>
              </w:rPr>
            </w:pPr>
            <w:r>
              <w:rPr>
                <w:rFonts w:ascii="宋体" w:hAnsi="宋体" w:eastAsia="宋体" w:cs="宋体"/>
                <w:kern w:val="0"/>
                <w:sz w:val="24"/>
                <w:szCs w:val="24"/>
              </w:rPr>
              <w:t>7500</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1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3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144" w:lineRule="atLeast"/>
              <w:jc w:val="left"/>
              <w:rPr>
                <w:rFonts w:ascii="宋体" w:hAnsi="宋体" w:eastAsia="宋体" w:cs="宋体"/>
                <w:kern w:val="0"/>
                <w:sz w:val="24"/>
                <w:szCs w:val="24"/>
              </w:rPr>
            </w:pPr>
            <w:r>
              <w:rPr>
                <w:rFonts w:ascii="宋体" w:hAnsi="宋体" w:eastAsia="宋体" w:cs="宋体"/>
                <w:kern w:val="0"/>
                <w:sz w:val="24"/>
                <w:szCs w:val="24"/>
              </w:rPr>
              <w:t>200以上</w:t>
            </w:r>
          </w:p>
        </w:tc>
        <w:tc>
          <w:tcPr>
            <w:tcW w:w="23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144" w:lineRule="atLeast"/>
              <w:jc w:val="center"/>
              <w:rPr>
                <w:rFonts w:ascii="宋体" w:hAnsi="宋体" w:eastAsia="宋体" w:cs="宋体"/>
                <w:kern w:val="0"/>
                <w:sz w:val="24"/>
                <w:szCs w:val="24"/>
              </w:rPr>
            </w:pPr>
            <w:r>
              <w:rPr>
                <w:rFonts w:ascii="宋体" w:hAnsi="宋体" w:eastAsia="宋体" w:cs="宋体"/>
                <w:kern w:val="0"/>
                <w:sz w:val="24"/>
                <w:szCs w:val="24"/>
              </w:rPr>
              <w:t>10000</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bl>
    <w:p>
      <w:pPr>
        <w:widowControl/>
        <w:shd w:val="clear" w:color="auto" w:fill="FFFFFF"/>
        <w:spacing w:line="600" w:lineRule="atLeast"/>
        <w:ind w:firstLine="480"/>
        <w:jc w:val="left"/>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说明：1.建设工程交易服务收费以每宗建设项目中标价为基数分级计费，没有中标价的按投资额计费；投资额有预算的按预算计费，没有预算的按概算或估算计费。</w:t>
      </w:r>
    </w:p>
    <w:p>
      <w:pPr>
        <w:widowControl/>
        <w:shd w:val="clear" w:color="auto" w:fill="FFFFFF"/>
        <w:spacing w:line="600" w:lineRule="atLeast"/>
        <w:ind w:firstLine="480"/>
        <w:jc w:val="left"/>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2.各类建设工程施工、专项材料设备、EPC总承包和PPP等项目招标投标项目服务收费，分别向招标单位收取40%、中标单位收取60%的建设工程交易服务费；勘察设计、监理、咨询、检测及其他工程服务类招标投标项目服务收费，向中标单位收取建设工程交易服务费。</w:t>
      </w:r>
    </w:p>
    <w:p>
      <w:pPr>
        <w:widowControl/>
        <w:shd w:val="clear" w:color="auto" w:fill="FFFFFF"/>
        <w:spacing w:line="600" w:lineRule="atLeast"/>
        <w:ind w:firstLine="480"/>
        <w:jc w:val="left"/>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3. 保障性住房按本规定收费标准的70%收取。</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jI4Yzg4NTZkZGIxMWY5MjA2MjUzZGYwMmFhZGMifQ=="/>
  </w:docVars>
  <w:rsids>
    <w:rsidRoot w:val="0065702F"/>
    <w:rsid w:val="005634A5"/>
    <w:rsid w:val="0065702F"/>
    <w:rsid w:val="007E4A6F"/>
    <w:rsid w:val="00C55BF3"/>
    <w:rsid w:val="00D875AE"/>
    <w:rsid w:val="00F54F9B"/>
    <w:rsid w:val="3E8B3ED5"/>
    <w:rsid w:val="3F5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Balloon Text"/>
    <w:basedOn w:val="1"/>
    <w:link w:val="6"/>
    <w:semiHidden/>
    <w:unhideWhenUsed/>
    <w:uiPriority w:val="99"/>
    <w:rPr>
      <w:sz w:val="18"/>
      <w:szCs w:val="18"/>
    </w:rPr>
  </w:style>
  <w:style w:type="character" w:customStyle="1" w:styleId="6">
    <w:name w:val="批注框文本 Char"/>
    <w:basedOn w:val="5"/>
    <w:link w:val="3"/>
    <w:semiHidden/>
    <w:uiPriority w:val="99"/>
    <w:rPr>
      <w:sz w:val="18"/>
      <w:szCs w:val="18"/>
    </w:rPr>
  </w:style>
  <w:style w:type="character" w:customStyle="1" w:styleId="7">
    <w:name w:val="日期 Char"/>
    <w:basedOn w:val="5"/>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1017</Words>
  <Characters>1149</Characters>
  <Lines>8</Lines>
  <Paragraphs>2</Paragraphs>
  <TotalTime>32</TotalTime>
  <ScaleCrop>false</ScaleCrop>
  <LinksUpToDate>false</LinksUpToDate>
  <CharactersWithSpaces>1160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2022-01-11T00:55:00Z</dcterms:created>
  <dc:creator>crj</dc:creator>
  <cp:lastModifiedBy>crj</cp:lastModifiedBy>
  <dcterms:modified xsi:type="dcterms:W3CDTF">2022-05-27T08:38:01Z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D558EE64193F40FE83A6019F61152196</vt:lpwstr>
  </property>
</Properties>
</file>