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AFB8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center"/>
        <w:rPr>
          <w:rFonts w:hint="eastAsia" w:ascii="仿宋_GB2312" w:hAnsi="宋体" w:eastAsia="仿宋_GB2312" w:cs="仿宋_GB2312"/>
          <w:b/>
          <w:bCs w:val="0"/>
          <w:sz w:val="36"/>
          <w:szCs w:val="24"/>
          <w:lang w:val="en-US"/>
        </w:rPr>
      </w:pPr>
      <w:bookmarkStart w:id="1" w:name="_GoBack"/>
      <w:r>
        <w:rPr>
          <w:rFonts w:hint="eastAsia" w:ascii="仿宋_GB2312" w:hAnsi="宋体" w:eastAsia="仿宋_GB2312" w:cs="仿宋_GB2312"/>
          <w:b/>
          <w:bCs w:val="0"/>
          <w:kern w:val="0"/>
          <w:sz w:val="36"/>
          <w:szCs w:val="24"/>
          <w:lang w:val="en-US" w:eastAsia="zh-CN" w:bidi="ar"/>
        </w:rPr>
        <w:t>工程量清单编制说明</w:t>
      </w:r>
    </w:p>
    <w:bookmarkEnd w:id="1"/>
    <w:p w14:paraId="125788F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center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</w:p>
    <w:p w14:paraId="0D5278C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工程名称（全称）：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三元区陈大镇排水设施能力提升及海绵化改造工程（一期) </w:t>
      </w:r>
    </w:p>
    <w:p w14:paraId="1B589CC0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一、工程概况</w:t>
      </w:r>
    </w:p>
    <w:p w14:paraId="621ECB6E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55"/>
        <w:jc w:val="both"/>
        <w:rPr>
          <w:rFonts w:hint="eastAsia" w:ascii="新宋体" w:hAnsi="新宋体" w:eastAsia="新宋体" w:cs="新宋体"/>
          <w:strike w:val="0"/>
          <w:dstrike/>
          <w:color w:val="FF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1.建设地点：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三明市三元区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4B46E39C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.工程专业：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市政工程专业  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7EB1575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46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3.专业工程主要内容：</w:t>
      </w:r>
    </w:p>
    <w:p w14:paraId="4B63BAF3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1）软基处理的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类型、面积等：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。 </w:t>
      </w:r>
    </w:p>
    <w:p w14:paraId="721CED3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2）道路工程：</w:t>
      </w:r>
    </w:p>
    <w:p w14:paraId="6B5E3CB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道路长度：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>800m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，道路修建宽度：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>14m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，车道数：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2车道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；车行道路面类型：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>混凝土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E2B3E4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3）桥梁工程：</w:t>
      </w:r>
    </w:p>
    <w:p w14:paraId="011BE283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①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桥，最大跨径：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米，总长：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米。</w:t>
      </w:r>
    </w:p>
    <w:p w14:paraId="572A648E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4）涵洞工程：</w:t>
      </w:r>
    </w:p>
    <w:p w14:paraId="240AF61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①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涵洞，是否顶进箱涵：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69CB50BF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5）排水工程：</w:t>
      </w:r>
    </w:p>
    <w:p w14:paraId="47F67D9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管道材质：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HDPE缠绕增强管（B型结构）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5CE283FB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施工方法：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开挖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。 </w:t>
      </w:r>
    </w:p>
    <w:p w14:paraId="24DE1F9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6）隧道工程：</w:t>
      </w:r>
    </w:p>
    <w:p w14:paraId="7F801081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trike w:val="0"/>
          <w:dstrike/>
          <w:color w:val="FF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单线隧道长度：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m，隧道净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空面积：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m2，净宽：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无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m。</w:t>
      </w:r>
    </w:p>
    <w:p w14:paraId="75F2B3E2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7)给水工程：</w:t>
      </w:r>
    </w:p>
    <w:p w14:paraId="054A499D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46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管道材质：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0D4E0F4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46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施工方法：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67780A62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8）路灯工程：</w:t>
      </w:r>
    </w:p>
    <w:p w14:paraId="1A7D4C7E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trike w:val="0"/>
          <w:dstrike/>
          <w:color w:val="FF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路灯类型：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201E3A0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960" w:right="0" w:hanging="412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9)其他工程：</w:t>
      </w:r>
    </w:p>
    <w:p w14:paraId="12CADD8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34" w:right="0" w:firstLine="512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51817CAD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二、编制范围</w:t>
      </w:r>
    </w:p>
    <w:p w14:paraId="73E85C0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70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按照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福建东南设计集团有限公司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设计的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三明市三元区陈大镇排水设施能力提升及海绵化改造工程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图纸，专业范围包括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排水工程、道路工程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，具体如下：</w:t>
      </w:r>
    </w:p>
    <w:p w14:paraId="4AB40041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7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不含三通一平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7F83634A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三、编制依据</w:t>
      </w:r>
    </w:p>
    <w:p w14:paraId="6B259D05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1.图纸：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福建东南设计集团有限公司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设计的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三明市三元区陈大镇排水设施能力提升及海绵化改造工程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图纸及有关设计文件。</w:t>
      </w:r>
    </w:p>
    <w:p w14:paraId="73A68DB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2.招标文件：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审核的招标文件。其中与现行计价规定不一致的内容：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14C253CE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3.地质勘察报告：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无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355AC88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2" w:right="0" w:hanging="283"/>
        <w:jc w:val="left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      4.计价计量规范: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《建设工程工程量清单计价规范》(GB50500-2013)、各专业工程工程量清单计算</w:t>
      </w:r>
      <w:bookmarkStart w:id="0" w:name="_GoBack"/>
      <w:bookmarkEnd w:id="0"/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规范(GB50854-50862-2013)及我省有关规定：《房屋建筑与装饰工程工程量计算规范》(GB50854-2013)福建省实施细则;《市政工程工程量计算规范》（GB50857-2013）福建省实施细则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4786CD5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left"/>
        <w:outlineLvl w:val="1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 xml:space="preserve">   5.预算定额：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《福建省房屋建筑与装饰工程预算定额》（2017版）;《福建省市政工程预算定额》（FJYD-401-2017～ FJYD-409-2017）（截止至2025年3月6日）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223BAF07">
      <w:pPr>
        <w:keepNext w:val="0"/>
        <w:keepLines w:val="0"/>
        <w:widowControl w:val="0"/>
        <w:suppressLineNumbers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6.费用定额：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fldChar w:fldCharType="begin"/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instrText xml:space="preserve"> HYPERLINK "http://www.fjgczj.com/newfile_view.asp?file_id=3&amp;msg_id=2220" \t "G:\\5、君诚招标项目明细\\2025年采购项目明细\\2025年线下采购项目明细\\7、(工程)公开%20JC明招【2024】062号%20三元区陈大镇排水设施能力提升及海绵化改造工程（一期）\\3-招标文件\\三元区陈大镇排水设施能力提升及海绵化改造工程（一期）\\_blank" </w:instrTex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fldChar w:fldCharType="separate"/>
      </w:r>
      <w:r>
        <w:rPr>
          <w:rStyle w:val="5"/>
          <w:rFonts w:hint="eastAsia" w:ascii="新宋体" w:hAnsi="新宋体" w:eastAsia="新宋体" w:cs="新宋体"/>
          <w:color w:val="auto"/>
          <w:sz w:val="28"/>
          <w:szCs w:val="24"/>
          <w:u w:val="single"/>
          <w:lang w:val="en-US"/>
        </w:rPr>
        <w:t>《福建省建筑安装工程费用定额》(2017版)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fldChar w:fldCharType="end"/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（截止至2025年3月6日）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。其中，暂列金额：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395837元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；专业工程暂估价：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 0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；甲供材料费：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0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1F3E7032">
      <w:pPr>
        <w:keepNext w:val="0"/>
        <w:keepLines w:val="0"/>
        <w:widowControl w:val="0"/>
        <w:suppressLineNumbers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600" w:lineRule="exact"/>
        <w:ind w:left="720" w:right="0" w:hanging="72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四、材料设备品牌及甲供材料</w:t>
      </w:r>
    </w:p>
    <w:p w14:paraId="2273631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1.招标人要求的材料设备品牌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372"/>
        <w:gridCol w:w="1842"/>
        <w:gridCol w:w="2270"/>
      </w:tblGrid>
      <w:tr w14:paraId="47F4F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CA45E5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70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231186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9DAAEF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42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4BA4E3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70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1D00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ABD47D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B70837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505A3E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B75FD0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  <w:tr w14:paraId="54EE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8B79F8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9C13CA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6A0B99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AC76E7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1298ABD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/>
        <w:jc w:val="both"/>
        <w:rPr>
          <w:rFonts w:hint="eastAsia" w:ascii="新宋体" w:hAnsi="新宋体" w:eastAsia="新宋体" w:cs="新宋体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2.甲供材料一览表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1823"/>
        <w:gridCol w:w="1154"/>
        <w:gridCol w:w="1842"/>
        <w:gridCol w:w="1702"/>
      </w:tblGrid>
      <w:tr w14:paraId="44A8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17DD57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B5D0E1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14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656994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14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B798FF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280" w:right="0" w:hanging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含税单价（元）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110111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 w:firstLine="28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7537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CC8A02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252C1C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5714D2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10BD46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1BB205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  <w:tr w14:paraId="134F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030B69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4BAAF2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482CC5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3382FE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B3668B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新宋体" w:hAnsi="新宋体" w:eastAsia="新宋体" w:cs="新宋体"/>
                <w:color w:val="FF0000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1FC824B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仿宋_GB2312" w:hAnsi="仿宋" w:eastAsia="仿宋_GB2312" w:cs="仿宋_GB2312"/>
          <w:b/>
          <w:bCs w:val="0"/>
          <w:sz w:val="28"/>
          <w:szCs w:val="24"/>
          <w:lang w:val="en-US"/>
        </w:rPr>
      </w:pPr>
      <w:r>
        <w:rPr>
          <w:rFonts w:hint="eastAsia" w:ascii="仿宋_GB2312" w:hAnsi="仿宋" w:eastAsia="仿宋_GB2312" w:cs="仿宋_GB2312"/>
          <w:b/>
          <w:bCs w:val="0"/>
          <w:kern w:val="0"/>
          <w:sz w:val="28"/>
          <w:szCs w:val="24"/>
          <w:lang w:val="en-US" w:eastAsia="zh-CN" w:bidi="ar"/>
        </w:rPr>
        <w:t>五、报价注意事项</w:t>
      </w:r>
    </w:p>
    <w:p w14:paraId="1A8A18BE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1.土方工程：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机械土方开挖按三类土计算，人工配合比0.05:0.95；余方外运按12km计算；土方场地弃置费未考虑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176DC9D6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20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2.石方工程：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08B92BD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3.脚手架：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2D0A045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4.混凝土模板及支架：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钢木模板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2BAC8619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5.围堰：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4C73E43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6.便道及便桥：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029F4205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7.洞内临时设施：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289D51BA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8.大型机械设备进出场及安拆费：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kern w:val="0"/>
          <w:sz w:val="28"/>
          <w:szCs w:val="28"/>
          <w:u w:val="single"/>
          <w:lang w:val="en-US" w:eastAsia="zh-CN" w:bidi="ar"/>
        </w:rPr>
        <w:t>履带式单斗挖掘机进出场费(1m3以外)1台、履带式推土机进出场费(90kW以内)、压路机(进出场费)2台、沥青摊铺机1台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；大型机械设备基础、轨道：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；大型机械设备检测：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无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346E205C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9.施工排水降水：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3221E929">
      <w:pPr>
        <w:keepNext w:val="0"/>
        <w:keepLines w:val="0"/>
        <w:widowControl w:val="0"/>
        <w:suppressLineNumbers w:val="0"/>
        <w:tabs>
          <w:tab w:val="left" w:pos="840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10.处理、监测、监控：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40FFDFD3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11.材料二次搬运：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220C2A55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12.行人、行车干扰：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2EB09E0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13.地上、地下设施、建筑物的临时保护设施：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2098E05F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14.爆破安全措施：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034E02FD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15.试验爆破措施：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52CA153E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16.爆破现场警戒与实验措施：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236711E7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45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17.水上支架平台：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未考虑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7C52F7F2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50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18.施工围挡：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u w:val="single"/>
          <w:lang w:val="en-US" w:eastAsia="zh-CN" w:bidi="ar"/>
        </w:rPr>
        <w:t xml:space="preserve">   彩钢板围挡按1500m、水马围挡按600m考虑，结算按实调整                      </w:t>
      </w:r>
      <w:r>
        <w:rPr>
          <w:rFonts w:hint="eastAsia" w:ascii="新宋体" w:hAnsi="新宋体" w:eastAsia="新宋体" w:cs="新宋体"/>
          <w:color w:val="000000"/>
          <w:kern w:val="0"/>
          <w:sz w:val="28"/>
          <w:szCs w:val="24"/>
          <w:lang w:val="en-US" w:eastAsia="zh-CN" w:bidi="ar"/>
        </w:rPr>
        <w:t>。</w:t>
      </w:r>
    </w:p>
    <w:p w14:paraId="315EC588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50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19.工程排污费：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        未考虑      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12AB08F8">
      <w:pPr>
        <w:keepNext w:val="0"/>
        <w:keepLines w:val="0"/>
        <w:widowControl w:val="0"/>
        <w:suppressLineNumbers w:val="0"/>
        <w:tabs>
          <w:tab w:val="left" w:pos="986"/>
        </w:tabs>
        <w:autoSpaceDE w:val="0"/>
        <w:autoSpaceDN w:val="0"/>
        <w:adjustRightInd w:val="0"/>
        <w:spacing w:before="0" w:beforeAutospacing="0" w:after="0" w:afterAutospacing="0" w:line="600" w:lineRule="exact"/>
        <w:ind w:left="503" w:right="0"/>
        <w:jc w:val="both"/>
        <w:rPr>
          <w:rFonts w:hint="eastAsia" w:ascii="新宋体" w:hAnsi="新宋体" w:eastAsia="新宋体" w:cs="新宋体"/>
          <w:color w:val="00000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20.其他：</w:t>
      </w: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 xml:space="preserve">                      无                      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。</w:t>
      </w:r>
    </w:p>
    <w:p w14:paraId="2CAE3A8E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 xml:space="preserve">六、本项目补充的工程量清单 </w:t>
      </w:r>
    </w:p>
    <w:tbl>
      <w:tblPr>
        <w:tblStyle w:val="3"/>
        <w:tblW w:w="0" w:type="auto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276"/>
        <w:gridCol w:w="1417"/>
        <w:gridCol w:w="1276"/>
        <w:gridCol w:w="1417"/>
        <w:gridCol w:w="1985"/>
      </w:tblGrid>
      <w:tr w14:paraId="7B760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2FF97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D2C67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  <w:p w14:paraId="5EE2FBF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BA0C5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项目特征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9ED6C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计量</w:t>
            </w:r>
          </w:p>
          <w:p w14:paraId="47359A1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E3633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工程量</w:t>
            </w:r>
          </w:p>
          <w:p w14:paraId="4CC7AA5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计算规则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8AFBA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4"/>
                <w:bdr w:val="none" w:color="auto" w:sz="0" w:space="0"/>
                <w:lang w:val="en-US" w:eastAsia="zh-CN" w:bidi="ar"/>
              </w:rPr>
              <w:t>工程内容</w:t>
            </w:r>
          </w:p>
        </w:tc>
      </w:tr>
      <w:tr w14:paraId="3207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AC6B14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1857DE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E7B029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86C10B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E12E25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55C6E4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  <w:tr w14:paraId="34830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7EC4A3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C2B582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FCE200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9F84FB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EBDA00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AFE9E4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both"/>
              <w:rPr>
                <w:rFonts w:hint="eastAsia" w:ascii="新宋体" w:hAnsi="新宋体" w:eastAsia="新宋体" w:cs="新宋体"/>
                <w:sz w:val="28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186BC052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七、其他需要的说明</w:t>
      </w:r>
    </w:p>
    <w:p w14:paraId="70320630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混凝土采用商品混凝土计取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1E1901E4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机械土方开挖按三类土计取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1CACFC5E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本次预算砂均按机制砂考虑计取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09049DEF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余方外运按12km计取，结算按实调整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11242042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本次预算工程量按主要数量统计表计入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2188CBD7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管道清淤根据其他工程量说明，按30立方米计入，结算按实调整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5B6723DA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拉森钢板桩根据其他工程量说明，按200m管沟考虑，结算按实调整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3942F11D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根据设计回复，雨水口高度按1m计入</w:t>
      </w:r>
      <w:r>
        <w:rPr>
          <w:rFonts w:hint="eastAsia" w:ascii="新宋体" w:hAnsi="新宋体" w:eastAsia="新宋体" w:cs="新宋体"/>
          <w:kern w:val="0"/>
          <w:sz w:val="28"/>
          <w:szCs w:val="24"/>
          <w:lang w:val="en-US" w:eastAsia="zh-CN" w:bidi="ar"/>
        </w:rPr>
        <w:t>；</w:t>
      </w:r>
    </w:p>
    <w:p w14:paraId="0724A24E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根据设计回复，八字形出水口按混凝土做法计入；</w:t>
      </w:r>
    </w:p>
    <w:p w14:paraId="605C5C59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根据设计回复，截水沟盖板按雨水口盖板做法计入；</w:t>
      </w:r>
    </w:p>
    <w:p w14:paraId="696B66B1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sz w:val="28"/>
          <w:szCs w:val="24"/>
          <w:u w:val="single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28"/>
          <w:szCs w:val="24"/>
          <w:u w:val="single"/>
          <w:lang w:val="en-US" w:eastAsia="zh-CN" w:bidi="ar"/>
        </w:rPr>
        <w:t>障碍墩平面图无工程量，工程量暂按4个考虑，结算按实调整；</w:t>
      </w:r>
    </w:p>
    <w:p w14:paraId="5B9C1978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钢板桩单根按6m计入，支撑深度后续根据具体管道埋深确定；</w:t>
      </w:r>
    </w:p>
    <w:p w14:paraId="0FDCF09D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H型钢按管道为D400，管道防护长度为200m，无地下水，H型钢单根长度为1.5m计入；</w:t>
      </w:r>
    </w:p>
    <w:p w14:paraId="24C51563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hint="eastAsia" w:ascii="新宋体" w:hAnsi="新宋体" w:eastAsia="新宋体" w:cs="新宋体"/>
          <w:b/>
          <w:bCs w:val="0"/>
          <w:sz w:val="28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钢板桩及型钢、槽钢使用天数按30天计入；</w:t>
      </w: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b/>
          <w:bCs w:val="0"/>
          <w:kern w:val="0"/>
          <w:sz w:val="28"/>
          <w:szCs w:val="24"/>
          <w:lang w:val="en-US" w:eastAsia="zh-CN" w:bidi="ar"/>
        </w:rPr>
        <w:t>八、工程量清单审核情况（增减、修改情况，审核单位填写）</w:t>
      </w:r>
    </w:p>
    <w:p w14:paraId="72E26B2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仿宋_GB2312" w:hAnsi="仿宋" w:eastAsia="仿宋_GB2312" w:cs="仿宋_GB2312"/>
          <w:sz w:val="28"/>
          <w:szCs w:val="28"/>
          <w:lang w:val="en-US" w:eastAsia="zh-CN"/>
        </w:rPr>
      </w:pPr>
    </w:p>
    <w:p w14:paraId="1653350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600" w:lineRule="exact"/>
        <w:ind w:left="0" w:right="0"/>
        <w:jc w:val="both"/>
        <w:rPr>
          <w:rFonts w:hint="eastAsia" w:ascii="仿宋_GB2312" w:hAnsi="仿宋" w:eastAsia="仿宋_GB2312" w:cs="仿宋_GB2312"/>
          <w:sz w:val="28"/>
          <w:szCs w:val="28"/>
          <w:lang w:val="en-US" w:eastAsia="zh-CN"/>
        </w:rPr>
      </w:pPr>
    </w:p>
    <w:p w14:paraId="1E48F63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sz w:val="28"/>
          <w:szCs w:val="24"/>
          <w:lang w:val="en-US"/>
        </w:rPr>
      </w:pPr>
    </w:p>
    <w:p w14:paraId="0CB5D8BF"/>
    <w:sectPr>
      <w:pgSz w:w="11906" w:h="16838"/>
      <w:pgMar w:top="1246" w:right="1800" w:bottom="1440" w:left="1800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769228"/>
    <w:multiLevelType w:val="multilevel"/>
    <w:tmpl w:val="2B76922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ascii="宋体" w:hAnsi="宋体" w:eastAsia="宋体" w:cs="宋体"/>
        <w:u w:color="000000"/>
      </w:rPr>
    </w:lvl>
    <w:lvl w:ilvl="1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2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3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4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5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6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7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  <w:lvl w:ilvl="8" w:tentative="0">
      <w:start w:val="1"/>
      <w:numFmt w:val="decimal"/>
      <w:lvlText w:val="．"/>
      <w:lvlJc w:val="left"/>
      <w:pPr>
        <w:ind w:left="0" w:firstLine="0"/>
      </w:pPr>
      <w:rPr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F206C"/>
    <w:rsid w:val="0A7F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6">
    <w:name w:val="?3?? Char"/>
    <w:basedOn w:val="4"/>
    <w:link w:val="2"/>
    <w:uiPriority w:val="0"/>
    <w:rPr>
      <w:sz w:val="18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2025-03-28T09:30:00Z</dcterms:created>
  <dc:creator>Administrator</dc:creator>
  <cp:lastModifiedBy>Administrator</cp:lastModifiedBy>
  <dcterms:modified xsi:type="dcterms:W3CDTF">2025-03-28T09:30:52Z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D5B3B7CE075E4724A9F7AF96256C6F3D_11</vt:lpwstr>
  </property>
  <property fmtid="{D5CDD505-2E9C-101B-9397-08002B2CF9AE}" pid="4" name="KSOTemplateDocerSaveRecord">
    <vt:lpwstr>eyJoZGlkIjoiNThjYzBmNDY1YmVmYTI1MzRhYTEwYmM4MGQzZDc0YjkiLCJ1c2VySWQiOiI2NDA2MzUzNzAifQ==</vt:lpwstr>
  </property>
</Properties>
</file>