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新宋体" w:hAnsi="新宋体" w:eastAsia="新宋体"/>
          <w:b/>
          <w:sz w:val="36"/>
          <w:szCs w:val="24"/>
        </w:rPr>
      </w:pPr>
      <w:r>
        <w:rPr>
          <w:rFonts w:hint="eastAsia" w:ascii="新宋体" w:hAnsi="新宋体" w:eastAsia="新宋体"/>
          <w:b/>
          <w:color w:val="auto"/>
          <w:sz w:val="36"/>
          <w:szCs w:val="24"/>
        </w:rPr>
        <w:t>市政工程工程量清单编制说明</w:t>
      </w:r>
    </w:p>
    <w:p>
      <w:pPr>
        <w:spacing w:beforeLines="0" w:afterLines="0"/>
        <w:jc w:val="center"/>
        <w:rPr>
          <w:rFonts w:hint="eastAsia" w:ascii="新宋体" w:hAnsi="新宋体" w:eastAsia="新宋体"/>
          <w:b/>
          <w:sz w:val="28"/>
          <w:szCs w:val="24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sz w:val="28"/>
          <w:szCs w:val="24"/>
          <w:u w:val="single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工程名称（全称）：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泰宁县老汽车站周边基础设施提升改造工程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</w:t>
      </w:r>
    </w:p>
    <w:p>
      <w:pPr>
        <w:tabs>
          <w:tab w:val="left" w:pos="720"/>
        </w:tabs>
        <w:spacing w:beforeLines="0" w:afterLines="0" w:line="600" w:lineRule="exact"/>
        <w:ind w:left="720" w:hanging="720"/>
        <w:rPr>
          <w:rFonts w:hint="eastAsia" w:ascii="新宋体" w:hAnsi="新宋体" w:eastAsia="新宋体"/>
          <w:b/>
          <w:sz w:val="28"/>
          <w:szCs w:val="24"/>
        </w:rPr>
      </w:pPr>
      <w:r>
        <w:rPr>
          <w:rFonts w:hint="eastAsia" w:ascii="新宋体" w:hAnsi="新宋体" w:eastAsia="新宋体"/>
          <w:b/>
          <w:color w:val="auto"/>
          <w:sz w:val="28"/>
          <w:szCs w:val="24"/>
        </w:rPr>
        <w:t>工程概况</w:t>
      </w:r>
    </w:p>
    <w:p>
      <w:pPr>
        <w:spacing w:beforeLines="0" w:afterLines="0" w:line="600" w:lineRule="exact"/>
        <w:ind w:firstLine="555"/>
        <w:rPr>
          <w:rFonts w:hint="eastAsia" w:ascii="新宋体" w:hAnsi="新宋体" w:eastAsia="新宋体"/>
          <w:dstrike/>
          <w:color w:val="FF0000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1.建设地点：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三明地区泰宁县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spacing w:beforeLines="0" w:afterLines="0" w:line="600" w:lineRule="exact"/>
        <w:ind w:left="960" w:hanging="412"/>
        <w:rPr>
          <w:rFonts w:hint="eastAsia" w:ascii="新宋体" w:hAnsi="新宋体" w:eastAsia="新宋体"/>
          <w:color w:val="000000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2</w:t>
      </w:r>
      <w:r>
        <w:rPr>
          <w:rFonts w:hint="eastAsia" w:ascii="新宋体" w:hAnsi="新宋体" w:eastAsia="新宋体"/>
          <w:color w:val="000000"/>
          <w:sz w:val="28"/>
          <w:szCs w:val="24"/>
        </w:rPr>
        <w:t>.工程专业：</w:t>
      </w:r>
      <w:r>
        <w:rPr>
          <w:rFonts w:hint="eastAsia" w:ascii="新宋体" w:hAnsi="新宋体" w:eastAsia="新宋体"/>
          <w:color w:val="000000"/>
          <w:sz w:val="28"/>
          <w:szCs w:val="24"/>
          <w:u w:val="single"/>
        </w:rPr>
        <w:t xml:space="preserve">     市政工程专业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spacing w:beforeLines="0" w:afterLines="0" w:line="600" w:lineRule="exact"/>
        <w:ind w:firstLine="546"/>
        <w:rPr>
          <w:rFonts w:hint="eastAsia" w:ascii="新宋体" w:hAnsi="新宋体" w:eastAsia="新宋体"/>
          <w:color w:val="000000"/>
          <w:sz w:val="28"/>
          <w:szCs w:val="24"/>
        </w:rPr>
      </w:pPr>
      <w:r>
        <w:rPr>
          <w:rFonts w:hint="eastAsia" w:ascii="新宋体" w:hAnsi="新宋体" w:eastAsia="新宋体"/>
          <w:color w:val="000000"/>
          <w:sz w:val="28"/>
          <w:szCs w:val="24"/>
        </w:rPr>
        <w:t>3.专业工程主要内容：</w:t>
      </w:r>
    </w:p>
    <w:p>
      <w:pPr>
        <w:spacing w:beforeLines="0" w:afterLines="0" w:line="600" w:lineRule="exact"/>
        <w:ind w:left="960" w:hanging="412"/>
        <w:rPr>
          <w:rFonts w:hint="eastAsia" w:ascii="新宋体" w:hAnsi="新宋体" w:eastAsia="新宋体"/>
          <w:color w:val="000000"/>
          <w:sz w:val="28"/>
          <w:szCs w:val="24"/>
        </w:rPr>
      </w:pPr>
      <w:r>
        <w:rPr>
          <w:rFonts w:hint="eastAsia" w:ascii="新宋体" w:hAnsi="新宋体" w:eastAsia="新宋体"/>
          <w:color w:val="000000"/>
          <w:sz w:val="28"/>
          <w:szCs w:val="24"/>
        </w:rPr>
        <w:t>1）软基处理的</w:t>
      </w:r>
      <w:r>
        <w:rPr>
          <w:rFonts w:hint="eastAsia" w:ascii="新宋体" w:hAnsi="新宋体" w:eastAsia="新宋体"/>
          <w:color w:val="auto"/>
          <w:sz w:val="28"/>
          <w:szCs w:val="24"/>
        </w:rPr>
        <w:t>类型、面积等：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  <w:lang w:eastAsia="zh-CN"/>
        </w:rPr>
        <w:t>无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 xml:space="preserve">。 </w:t>
      </w:r>
    </w:p>
    <w:p>
      <w:pPr>
        <w:spacing w:beforeLines="0" w:afterLines="0" w:line="600" w:lineRule="exact"/>
        <w:ind w:left="960" w:hanging="412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2）道路工程：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/>
          <w:color w:val="000000"/>
          <w:sz w:val="28"/>
          <w:szCs w:val="24"/>
        </w:rPr>
      </w:pPr>
      <w:r>
        <w:rPr>
          <w:rFonts w:hint="eastAsia" w:ascii="新宋体" w:hAnsi="新宋体" w:eastAsia="新宋体"/>
          <w:color w:val="000000"/>
          <w:sz w:val="28"/>
          <w:szCs w:val="24"/>
        </w:rPr>
        <w:t>道路长度：</w:t>
      </w:r>
      <w:r>
        <w:rPr>
          <w:rFonts w:hint="eastAsia" w:ascii="新宋体" w:hAnsi="新宋体" w:eastAsia="新宋体"/>
          <w:color w:val="000000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/>
          <w:color w:val="000000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A线金水路道路全长108.992m,B线车站路道路全长148.246m，C线华大路全长117.042m,D线饭店后巷路道路全长116.1m,E线金峰东路道路全长145.509m,F线无名巷道路全长63.573m,G线道路全长153.292m,H线道路全长129.365m,J线道路全长93.287m,K线道路全长93.26m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</w:rPr>
        <w:t>，道路修建宽度：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A线金水路道路红线宽度16m，B线车站路道路红线宽度为12m，C线华大路红线宽度为16m，D线饭店后巷路道路红线宽度为10.5m，E线金峰东路道路红线宽度为16m，F线无名巷道路红线宽度为7m，G线道路红线宽度为10～12m，H线道路红线宽度为5.6m，J线道路红线宽度为5.2～8.2m，K线道路红线宽度为5.6m～8m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</w:rPr>
        <w:t>，车道数：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eastAsia="zh-CN"/>
        </w:rPr>
        <w:t>双向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两车道、单向车道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</w:rPr>
        <w:t>；车行道路面类型：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沥青混凝土路面（4cm厚细粒式SBS改性沥青混凝土 AC-13C碎石、6cm厚中粒式SBS改性沥青混凝土、AC-20C、0.8cm厚乳化沥青稀浆封层(ES-3型)、PC-3乳化沥青粘层油、PC-2乳化沥青透层油、15cm厚5%水泥稳定碎石、15cm厚3%水泥稳定碎石、15cm厚级配碎石）、混凝土路面（20cm厚C35混凝土路面、15cm厚5%水泥稳定碎石、15cm厚级配碎石）。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3）桥梁工程：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 xml:space="preserve">① 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无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 xml:space="preserve"> 桥，最大跨径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 xml:space="preserve"> 0 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米，总长：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 xml:space="preserve"> 0 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米。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4）涵洞工程：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 xml:space="preserve">① 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 xml:space="preserve">无 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涵洞，是否顶进箱涵：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 xml:space="preserve"> 否 。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5）排水工程：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 xml:space="preserve">管道材质： 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 xml:space="preserve">无 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；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 xml:space="preserve">施工方法： 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无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 xml:space="preserve"> 。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6）隧道工程：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单线隧道长度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 xml:space="preserve"> 0 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m，隧道净空面积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 xml:space="preserve"> 0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 xml:space="preserve"> m2，净宽：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 xml:space="preserve"> 0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 xml:space="preserve"> m。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7）给水工程：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管道材质：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球墨铸铁（K9）、DN150；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施工方法：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挖沟槽、铺设砂垫层、铺设管道、回填砂或土。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8）路灯工程：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路灯类型：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单臂路灯电杆、挂壁灯。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none"/>
          <w:lang w:val="en-US" w:eastAsia="zh-CN"/>
        </w:rPr>
        <w:t>9）其他工程：</w:t>
      </w:r>
    </w:p>
    <w:p>
      <w:pPr>
        <w:spacing w:line="240" w:lineRule="auto"/>
        <w:ind w:left="34" w:leftChars="16" w:firstLine="512" w:firstLineChars="183"/>
        <w:rPr>
          <w:rFonts w:hint="eastAsia" w:ascii="新宋体" w:hAnsi="新宋体" w:eastAsia="新宋体"/>
          <w:sz w:val="28"/>
          <w:szCs w:val="24"/>
          <w:u w:val="single"/>
        </w:rPr>
      </w:pP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通信排管工程、电力排管工程、交通工程等。</w:t>
      </w:r>
    </w:p>
    <w:p>
      <w:pPr>
        <w:tabs>
          <w:tab w:val="left" w:pos="720"/>
        </w:tabs>
        <w:spacing w:beforeLines="0" w:afterLines="0" w:line="600" w:lineRule="exact"/>
        <w:ind w:left="720" w:hanging="720"/>
        <w:rPr>
          <w:rFonts w:hint="eastAsia" w:ascii="新宋体" w:hAnsi="新宋体" w:eastAsia="新宋体"/>
          <w:b/>
          <w:sz w:val="28"/>
          <w:szCs w:val="24"/>
        </w:rPr>
      </w:pPr>
      <w:r>
        <w:rPr>
          <w:rFonts w:hint="eastAsia" w:ascii="新宋体" w:hAnsi="新宋体" w:eastAsia="新宋体"/>
          <w:b/>
          <w:color w:val="auto"/>
          <w:sz w:val="28"/>
          <w:szCs w:val="24"/>
        </w:rPr>
        <w:t>编制范围</w:t>
      </w:r>
    </w:p>
    <w:p>
      <w:pPr>
        <w:spacing w:beforeLines="0" w:afterLines="0"/>
        <w:ind w:firstLine="700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按照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福建纵横百越工程设计有限公</w:t>
      </w:r>
      <w:r>
        <w:rPr>
          <w:rFonts w:hint="eastAsia" w:ascii="新宋体" w:hAnsi="新宋体" w:eastAsia="新宋体"/>
          <w:color w:val="auto"/>
          <w:sz w:val="28"/>
          <w:szCs w:val="24"/>
        </w:rPr>
        <w:t>设计的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 xml:space="preserve"> 泰宁县老汽车站周边基础设施提升改造工程（2024年10月版） </w:t>
      </w:r>
      <w:r>
        <w:rPr>
          <w:rFonts w:hint="eastAsia" w:ascii="新宋体" w:hAnsi="新宋体" w:eastAsia="新宋体"/>
          <w:color w:val="auto"/>
          <w:sz w:val="28"/>
          <w:szCs w:val="24"/>
        </w:rPr>
        <w:t>图纸，专业范围包括</w:t>
      </w:r>
      <w:r>
        <w:rPr>
          <w:rFonts w:hint="eastAsia" w:ascii="新宋体" w:hAnsi="新宋体" w:eastAsia="新宋体" w:cstheme="minorBidi"/>
          <w:color w:val="000000"/>
          <w:sz w:val="28"/>
          <w:szCs w:val="24"/>
          <w:u w:val="single"/>
          <w:lang w:val="en-US" w:eastAsia="zh-CN"/>
        </w:rPr>
        <w:t>通用工程、道路工程、交通工程、给水工程、电力工程、通信工程、照明工程、绿化种植与养护工程等</w:t>
      </w:r>
      <w:r>
        <w:rPr>
          <w:rFonts w:hint="eastAsia" w:ascii="新宋体" w:hAnsi="新宋体" w:eastAsia="新宋体"/>
          <w:color w:val="auto"/>
          <w:sz w:val="28"/>
          <w:szCs w:val="24"/>
        </w:rPr>
        <w:t>具体如下：</w:t>
      </w:r>
    </w:p>
    <w:p>
      <w:pPr>
        <w:spacing w:beforeLines="0" w:afterLines="0"/>
        <w:ind w:firstLine="700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1.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>不含三通一平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spacing w:beforeLines="0" w:afterLines="0"/>
        <w:ind w:firstLine="700"/>
        <w:rPr>
          <w:rFonts w:hint="eastAsia" w:ascii="新宋体" w:hAnsi="新宋体" w:eastAsia="新宋体"/>
          <w:sz w:val="28"/>
          <w:szCs w:val="24"/>
          <w:u w:val="single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2.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  <w:lang w:eastAsia="zh-CN"/>
        </w:rPr>
        <w:t>无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720"/>
        </w:tabs>
        <w:spacing w:beforeLines="0" w:afterLines="0" w:line="600" w:lineRule="exact"/>
        <w:ind w:left="720" w:hanging="720"/>
        <w:rPr>
          <w:rFonts w:hint="eastAsia" w:ascii="新宋体" w:hAnsi="新宋体" w:eastAsia="新宋体"/>
          <w:b/>
          <w:sz w:val="28"/>
          <w:szCs w:val="24"/>
        </w:rPr>
      </w:pPr>
      <w:r>
        <w:rPr>
          <w:rFonts w:hint="eastAsia" w:ascii="新宋体" w:hAnsi="新宋体" w:eastAsia="新宋体"/>
          <w:b/>
          <w:color w:val="auto"/>
          <w:sz w:val="28"/>
          <w:szCs w:val="24"/>
        </w:rPr>
        <w:t>编制依据</w:t>
      </w:r>
    </w:p>
    <w:p>
      <w:pPr>
        <w:spacing w:line="240" w:lineRule="auto"/>
        <w:ind w:firstLine="560" w:firstLineChars="200"/>
        <w:rPr>
          <w:rFonts w:hint="eastAsia" w:ascii="新宋体" w:hAnsi="新宋体" w:eastAsia="新宋体" w:cstheme="minorBidi"/>
          <w:color w:val="auto"/>
          <w:sz w:val="28"/>
          <w:szCs w:val="24"/>
          <w:u w:val="none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1.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>福建纵横百越工程设计有限公司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none"/>
        </w:rPr>
        <w:t>设计的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>泰宁县老汽车站周边基础设施提升改造工程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>（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>2024年10月版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>）、业主及设计院回复函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none"/>
        </w:rPr>
        <w:t>图纸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none"/>
          <w:lang w:eastAsia="zh-CN"/>
        </w:rPr>
        <w:t>及有关设计文件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none"/>
        </w:rPr>
        <w:t>。</w:t>
      </w:r>
    </w:p>
    <w:p>
      <w:pPr>
        <w:spacing w:beforeLines="0" w:afterLines="0" w:line="360" w:lineRule="auto"/>
        <w:ind w:left="1959" w:hanging="1400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2.招标文件：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u w:val="single"/>
          <w:lang w:eastAsia="zh-CN"/>
        </w:rPr>
        <w:t>无</w:t>
      </w:r>
      <w:r>
        <w:rPr>
          <w:rFonts w:hint="eastAsia" w:ascii="新宋体" w:hAnsi="新宋体" w:eastAsia="新宋体"/>
          <w:color w:val="auto"/>
          <w:sz w:val="28"/>
          <w:szCs w:val="24"/>
        </w:rPr>
        <w:t>编制的招标文件。其中与现行计价规定不一致的内容：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u w:val="single"/>
          <w:lang w:val="en-US" w:eastAsia="zh-CN"/>
        </w:rPr>
        <w:t>无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spacing w:beforeLines="0" w:afterLines="0" w:line="360" w:lineRule="auto"/>
        <w:ind w:firstLine="560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3.地质勘察报告：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u w:val="single"/>
          <w:lang w:eastAsia="zh-CN"/>
        </w:rPr>
        <w:t>无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spacing w:beforeLines="0" w:afterLines="0" w:line="600" w:lineRule="exact"/>
        <w:ind w:left="2" w:hanging="283"/>
        <w:jc w:val="left"/>
        <w:rPr>
          <w:rFonts w:hint="eastAsia" w:ascii="新宋体" w:hAnsi="新宋体" w:eastAsia="新宋体"/>
          <w:sz w:val="28"/>
          <w:szCs w:val="24"/>
          <w:u w:val="single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 xml:space="preserve">      4.计价计量规范: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>《建设工程工程量清单计价规范》(GB50500-2013)、各专业工程工程量清单计算</w:t>
      </w:r>
      <w:bookmarkStart w:id="0" w:name="_GoBack"/>
      <w:bookmarkEnd w:id="0"/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>规范(GB50854-50862-2013)及我省有关规定：《房屋建筑与装饰工程工程量计算规范》(GB50854-2013)福建省实施细则;《构筑物工程工程量计算规范》（GB50860-2013）福建省实施细则;《仿古建筑工程工程量计算规范》（GB50855-2013）福建省实施细则;《通用安装工程工程量计算规范》(GB50856-2013)福建省实施细则;《市政工程工程量计算规范》（GB50857-2013）福建省实施细则;《园林绿化工程工程量计算规范》（GB50858-2013）福建省实施细则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spacing w:beforeLines="0" w:afterLines="0" w:line="600" w:lineRule="exact"/>
        <w:jc w:val="left"/>
        <w:outlineLvl w:val="1"/>
        <w:rPr>
          <w:rFonts w:hint="eastAsia" w:ascii="新宋体" w:hAnsi="新宋体" w:eastAsia="新宋体"/>
          <w:sz w:val="28"/>
          <w:szCs w:val="24"/>
          <w:u w:val="single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 xml:space="preserve">   5.预算定额：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>《福建省房屋建筑与装饰工程预算定额》（2017版）;《福建省构筑物工程预算定额》（FJYD-102-2017）;《福建省装配式建筑工程预算定额》（FJYD-103-2017）;《福建省通用安装工程预算定额》（FJYD-301-2017～ FJYD-311-2017）;《福建省市政工程预算定额》（FJYD-401-2017～ FJYD-409-2017）;《福建省园林绿化工程预算定额》（FJYD-501-2017）;《福建省建设工程混凝土、砂浆等半成品配合比》（2017版）;《福建省古建筑修复保护工程预算定额》（2016版）;《福建省市政维护工程消耗量定额》（FJYD-601-2007）;《福建省混凝土和砂浆等半成品配合比》（2017版）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spacing w:beforeLines="0" w:afterLines="0"/>
        <w:ind w:firstLine="560"/>
        <w:rPr>
          <w:rFonts w:hint="eastAsia" w:ascii="新宋体" w:hAnsi="新宋体" w:eastAsia="新宋体"/>
          <w:color w:val="FF0000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6.费用定额：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>《福建省建筑安装工程费用定额》（2017版）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>、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>《福建省房屋建筑和市政基础设施工程施工机械台班费用定额》（2021版）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>及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>其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>现行补充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>或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>调整文件（截止20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>25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>年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>4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>月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>2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>日）</w:t>
      </w:r>
      <w:r>
        <w:rPr>
          <w:rFonts w:hint="eastAsia" w:ascii="新宋体" w:hAnsi="新宋体" w:eastAsia="新宋体"/>
          <w:color w:val="auto"/>
          <w:sz w:val="28"/>
          <w:szCs w:val="24"/>
        </w:rPr>
        <w:t>。其中，暂列金额：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499434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>(其中：防尘喷雾费：108481元）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</w:t>
      </w:r>
      <w:r>
        <w:rPr>
          <w:rFonts w:hint="eastAsia" w:ascii="新宋体" w:hAnsi="新宋体" w:eastAsia="新宋体"/>
          <w:color w:val="auto"/>
          <w:sz w:val="28"/>
          <w:szCs w:val="24"/>
        </w:rPr>
        <w:t>；专业工程暂估价：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  <w:lang w:eastAsia="zh-CN"/>
        </w:rPr>
        <w:t>无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  <w:szCs w:val="24"/>
        </w:rPr>
        <w:t>；甲供材料费：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  <w:lang w:eastAsia="zh-CN"/>
        </w:rPr>
        <w:t>无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720"/>
        </w:tabs>
        <w:spacing w:beforeLines="0" w:afterLines="0" w:line="600" w:lineRule="exact"/>
        <w:ind w:left="720" w:hanging="720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b/>
          <w:color w:val="auto"/>
          <w:sz w:val="28"/>
          <w:szCs w:val="24"/>
        </w:rPr>
        <w:t>材料设备品牌及甲供材料</w:t>
      </w:r>
    </w:p>
    <w:p>
      <w:pPr>
        <w:spacing w:beforeLines="0" w:afterLines="0" w:line="600" w:lineRule="exact"/>
        <w:ind w:firstLine="560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1.招标人要求的材料设备品牌</w:t>
      </w:r>
    </w:p>
    <w:tbl>
      <w:tblPr>
        <w:tblStyle w:val="4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945"/>
        <w:gridCol w:w="2967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</w:trPr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ind w:firstLine="70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名称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ind w:firstLine="28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规格、型号</w:t>
            </w:r>
          </w:p>
        </w:tc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ind w:firstLine="42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品牌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ind w:firstLine="70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</w:trPr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  <w:bookmarkStart w:id="1" w:name="OLE_LINK23"/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none"/>
                <w:lang w:val="en-US" w:eastAsia="zh-CN"/>
              </w:rPr>
              <w:t>CPVC管</w:t>
            </w:r>
            <w:bookmarkEnd w:id="1"/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  <w:bookmarkStart w:id="2" w:name="OLE_LINK25"/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  <w:t>澳工、起飞、伟星</w:t>
            </w:r>
            <w:bookmarkEnd w:id="2"/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</w:trPr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  <w:bookmarkStart w:id="3" w:name="OLE_LINK26"/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  <w:t>灯具</w:t>
            </w:r>
            <w:bookmarkEnd w:id="3"/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  <w:bookmarkStart w:id="4" w:name="OLE_LINK27"/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  <w:t>利惠、辉盾、永利达</w:t>
            </w:r>
            <w:bookmarkEnd w:id="4"/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</w:tr>
    </w:tbl>
    <w:p>
      <w:pPr>
        <w:spacing w:beforeLines="0" w:afterLines="0" w:line="600" w:lineRule="exact"/>
        <w:ind w:firstLine="560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2.甲供材料一览表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1819"/>
        <w:gridCol w:w="1152"/>
        <w:gridCol w:w="1839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73" w:hRule="atLeast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ind w:firstLine="28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材料名称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ind w:firstLine="14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规格、型号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ind w:firstLine="14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品牌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ind w:left="280" w:hanging="28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含税单价（元）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ind w:firstLine="28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98" w:hRule="atLeast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eastAsia="zh-CN"/>
              </w:rPr>
              <w:t>无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98" w:hRule="atLeast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eastAsia="zh-CN"/>
              </w:rPr>
              <w:t>无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 w:line="600" w:lineRule="exact"/>
              <w:rPr>
                <w:rFonts w:hint="eastAsia" w:ascii="新宋体" w:hAnsi="新宋体" w:eastAsia="新宋体"/>
                <w:color w:val="FF0000"/>
                <w:sz w:val="28"/>
                <w:szCs w:val="24"/>
              </w:rPr>
            </w:pPr>
          </w:p>
        </w:tc>
      </w:tr>
    </w:tbl>
    <w:p>
      <w:pPr>
        <w:tabs>
          <w:tab w:val="left" w:pos="720"/>
        </w:tabs>
        <w:spacing w:beforeLines="0" w:afterLines="0" w:line="600" w:lineRule="exact"/>
        <w:ind w:left="720" w:hanging="720"/>
        <w:rPr>
          <w:rFonts w:hint="eastAsia" w:ascii="新宋体" w:hAnsi="新宋体" w:eastAsia="新宋体"/>
          <w:b/>
          <w:sz w:val="28"/>
          <w:szCs w:val="24"/>
        </w:rPr>
      </w:pPr>
      <w:r>
        <w:rPr>
          <w:rFonts w:hint="eastAsia" w:ascii="新宋体" w:hAnsi="新宋体" w:eastAsia="新宋体"/>
          <w:b/>
          <w:color w:val="auto"/>
          <w:sz w:val="28"/>
          <w:szCs w:val="24"/>
        </w:rPr>
        <w:t>报价注意事项</w:t>
      </w:r>
    </w:p>
    <w:p>
      <w:pPr>
        <w:spacing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1.土方工程：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 xml:space="preserve"> 考虑机械施工，人工配合按5%计算；土方按三类土考虑，回填土按就地取土；土方外运运距暂定10Km，工程结算时根据实际运距据实调整;未考虑土方堆置及土源费用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</w:p>
    <w:p>
      <w:pPr>
        <w:spacing w:beforeLines="0" w:afterLines="0" w:line="600" w:lineRule="exact"/>
        <w:ind w:firstLine="560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2.石方工程：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  无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3.脚手架：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>井字架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4.混凝土模板及支架：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>胶合或钢模板已综合在定额内，钢管支架。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5.围堰：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      无              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6.便道及便桥：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无              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firstLine="560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7.洞内临时设施：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无              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000000"/>
          <w:sz w:val="28"/>
          <w:szCs w:val="24"/>
        </w:rPr>
        <w:t>8.大型机械设备进出场及安拆费：</w:t>
      </w:r>
      <w:r>
        <w:rPr>
          <w:rFonts w:hint="eastAsia" w:ascii="新宋体" w:hAnsi="新宋体" w:eastAsia="新宋体"/>
          <w:color w:val="000000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val="en-US" w:eastAsia="zh-CN"/>
        </w:rPr>
        <w:t xml:space="preserve"> 履带式单斗挖掘机（型号：液压斗容量1.25m3）1台、钢轮内燃压路机（型号：工作质量15t）1台、沥青混凝土摊铺机（型号：8t）1台；</w:t>
      </w:r>
      <w:r>
        <w:rPr>
          <w:rFonts w:hint="eastAsia" w:ascii="新宋体" w:hAnsi="新宋体" w:eastAsia="新宋体"/>
          <w:color w:val="000000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/>
          <w:color w:val="000000"/>
          <w:sz w:val="28"/>
          <w:szCs w:val="24"/>
        </w:rPr>
        <w:t>大型机械设备基础、轨道：</w:t>
      </w:r>
      <w:r>
        <w:rPr>
          <w:rFonts w:hint="eastAsia" w:ascii="新宋体" w:hAnsi="新宋体" w:eastAsia="新宋体"/>
          <w:color w:val="000000"/>
          <w:sz w:val="28"/>
          <w:szCs w:val="24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>无</w:t>
      </w:r>
      <w:r>
        <w:rPr>
          <w:rFonts w:hint="eastAsia" w:ascii="新宋体" w:hAnsi="新宋体" w:eastAsia="新宋体"/>
          <w:color w:val="000000"/>
          <w:sz w:val="28"/>
          <w:szCs w:val="24"/>
          <w:u w:val="single"/>
        </w:rPr>
        <w:t xml:space="preserve">     </w:t>
      </w:r>
      <w:r>
        <w:rPr>
          <w:rFonts w:hint="eastAsia" w:ascii="新宋体" w:hAnsi="新宋体" w:eastAsia="新宋体"/>
          <w:color w:val="000000"/>
          <w:sz w:val="28"/>
          <w:szCs w:val="24"/>
        </w:rPr>
        <w:t>；大型机械设备检测：</w:t>
      </w:r>
      <w:r>
        <w:rPr>
          <w:rFonts w:hint="eastAsia" w:ascii="新宋体" w:hAnsi="新宋体" w:eastAsia="新宋体"/>
          <w:color w:val="000000"/>
          <w:sz w:val="28"/>
          <w:szCs w:val="24"/>
          <w:u w:val="single"/>
        </w:rPr>
        <w:t xml:space="preserve">    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>无</w:t>
      </w:r>
      <w:r>
        <w:rPr>
          <w:rFonts w:hint="eastAsia" w:ascii="新宋体" w:hAnsi="新宋体" w:eastAsia="新宋体"/>
          <w:color w:val="000000"/>
          <w:sz w:val="28"/>
          <w:szCs w:val="24"/>
          <w:u w:val="single"/>
        </w:rPr>
        <w:t xml:space="preserve">    </w:t>
      </w:r>
      <w:r>
        <w:rPr>
          <w:rFonts w:hint="eastAsia" w:ascii="新宋体" w:hAnsi="新宋体" w:eastAsia="新宋体"/>
          <w:color w:val="000000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9.施工排水降水：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无             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10.处理、监测、监控：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无             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11.材料二次搬运：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>未考虑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12.行人、行车干扰：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 xml:space="preserve"> 未考虑  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13.地上、地下设施、建筑物的临时保护设施：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 xml:space="preserve">未考虑 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14.爆破安全措施：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 xml:space="preserve">未考虑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15.试验爆破措施：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 xml:space="preserve">未考虑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16.爆破现场警戒与实验措施：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 xml:space="preserve">未考虑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17.水上支架平台：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 xml:space="preserve">未考虑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18.施工围挡：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>固定式的围挡布置在道路起终点以及与已建交叉口位置，移动式布置在沟槽或基坑周边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</w:rPr>
        <w:t>。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19.工程排污费：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</w:t>
      </w:r>
      <w:r>
        <w:rPr>
          <w:rFonts w:hint="eastAsia" w:ascii="新宋体" w:hAnsi="新宋体" w:eastAsia="新宋体" w:cstheme="minorBidi"/>
          <w:color w:val="auto"/>
          <w:sz w:val="28"/>
          <w:szCs w:val="24"/>
          <w:u w:val="single"/>
          <w:lang w:eastAsia="zh-CN"/>
        </w:rPr>
        <w:t xml:space="preserve">未考虑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tabs>
          <w:tab w:val="left" w:pos="1076"/>
        </w:tabs>
        <w:spacing w:beforeLines="0" w:afterLines="0" w:line="600" w:lineRule="exact"/>
        <w:ind w:left="536"/>
        <w:rPr>
          <w:rFonts w:hint="eastAsia" w:ascii="新宋体" w:hAnsi="新宋体" w:eastAsia="新宋体"/>
          <w:sz w:val="28"/>
          <w:szCs w:val="24"/>
        </w:rPr>
      </w:pPr>
      <w:r>
        <w:rPr>
          <w:rFonts w:hint="eastAsia" w:ascii="新宋体" w:hAnsi="新宋体" w:eastAsia="新宋体"/>
          <w:color w:val="auto"/>
          <w:sz w:val="28"/>
          <w:szCs w:val="24"/>
        </w:rPr>
        <w:t>20.其他：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  <w:lang w:eastAsia="zh-CN"/>
        </w:rPr>
        <w:t>无</w:t>
      </w:r>
      <w:r>
        <w:rPr>
          <w:rFonts w:hint="eastAsia" w:ascii="新宋体" w:hAnsi="新宋体" w:eastAsia="新宋体"/>
          <w:color w:val="auto"/>
          <w:sz w:val="28"/>
          <w:szCs w:val="24"/>
          <w:u w:val="single"/>
        </w:rPr>
        <w:t xml:space="preserve">          </w:t>
      </w:r>
      <w:r>
        <w:rPr>
          <w:rFonts w:hint="eastAsia" w:ascii="新宋体" w:hAnsi="新宋体" w:eastAsia="新宋体"/>
          <w:color w:val="auto"/>
          <w:sz w:val="28"/>
          <w:szCs w:val="24"/>
        </w:rPr>
        <w:t>。</w:t>
      </w:r>
    </w:p>
    <w:p>
      <w:pPr>
        <w:spacing w:beforeLines="0" w:afterLines="0"/>
        <w:rPr>
          <w:rFonts w:hint="eastAsia" w:ascii="新宋体" w:hAnsi="新宋体" w:eastAsia="新宋体"/>
          <w:b/>
          <w:sz w:val="28"/>
          <w:szCs w:val="24"/>
        </w:rPr>
      </w:pPr>
      <w:r>
        <w:rPr>
          <w:rFonts w:hint="eastAsia" w:ascii="新宋体" w:hAnsi="新宋体" w:eastAsia="新宋体"/>
          <w:b/>
          <w:color w:val="auto"/>
          <w:sz w:val="28"/>
          <w:szCs w:val="24"/>
        </w:rPr>
        <w:t xml:space="preserve">六、本项目补充的工程量清单 </w:t>
      </w:r>
    </w:p>
    <w:tbl>
      <w:tblPr>
        <w:tblStyle w:val="4"/>
        <w:tblW w:w="0" w:type="auto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72"/>
        <w:gridCol w:w="1416"/>
        <w:gridCol w:w="1272"/>
        <w:gridCol w:w="1416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wAfter w:w="0" w:type="dxa"/>
          <w:trHeight w:val="598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项目编码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项目</w:t>
            </w:r>
          </w:p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项目特征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计量</w:t>
            </w:r>
          </w:p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工程量</w:t>
            </w:r>
          </w:p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计算规则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8"/>
                <w:szCs w:val="24"/>
              </w:rPr>
              <w:t>工程内容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wAfter w:w="0" w:type="dxa"/>
          <w:trHeight w:val="598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eastAsia="zh-CN"/>
              </w:rPr>
              <w:t>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wAfter w:w="0" w:type="dxa"/>
          <w:trHeight w:val="598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eastAsia="zh-CN"/>
              </w:rPr>
              <w:t>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beforeLines="0" w:afterLines="0"/>
              <w:rPr>
                <w:rFonts w:hint="eastAsia" w:ascii="新宋体" w:hAnsi="新宋体" w:eastAsia="新宋体"/>
                <w:sz w:val="28"/>
                <w:szCs w:val="24"/>
              </w:rPr>
            </w:pPr>
          </w:p>
        </w:tc>
      </w:tr>
    </w:tbl>
    <w:p>
      <w:bookmarkStart w:id="5" w:name="_GoBack"/>
      <w:bookmarkEnd w:id="5"/>
    </w:p>
    <w:sectPr>
      <w:headerReference r:id="rId4" w:type="default"/>
      <w:footerReference r:id="rId5" w:type="default"/>
      <w:pgSz w:w="11906" w:h="16838"/>
      <w:pgMar w:top="1246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Lines="0" w:afterLines="0"/>
      <w:ind w:firstLine="3240"/>
      <w:rPr>
        <w:rFonts w:hint="eastAsia"/>
        <w:sz w:val="18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Lines="0" w:afterLines="0"/>
      <w:rPr>
        <w:rFonts w:hint="eastAsia"/>
        <w:sz w:val="18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D9938C3"/>
    <w:rsid w:val="7A0F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99"/>
    <w:pPr>
      <w:widowControl w:val="0"/>
      <w:autoSpaceDE w:val="0"/>
      <w:autoSpaceDN w:val="0"/>
      <w:adjustRightInd w:val="0"/>
      <w:spacing w:beforeLines="0" w:afterLines="0"/>
      <w:jc w:val="both"/>
    </w:pPr>
    <w:rPr>
      <w:rFonts w:hint="eastAsia" w:ascii="Times New Roman" w:hAnsi="Times New Roman" w:eastAsia="Times New Roman"/>
      <w:sz w:val="21"/>
      <w:szCs w:val="24"/>
      <w:lang w:val="en-US"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pacing w:beforeLines="0" w:afterLines="0"/>
      <w:jc w:val="left"/>
    </w:pPr>
    <w:rPr>
      <w:rFonts w:hint="eastAsia"/>
      <w:sz w:val="18"/>
      <w:szCs w:val="24"/>
    </w:rPr>
  </w:style>
  <w:style w:type="paragraph" w:styleId="3">
    <w:name w:val="header"/>
    <w:basedOn w:val="1"/>
    <w:unhideWhenUsed/>
    <w:uiPriority w:val="99"/>
    <w:pPr>
      <w:tabs>
        <w:tab w:val="center" w:pos="4153"/>
        <w:tab w:val="right" w:pos="8306"/>
      </w:tabs>
      <w:spacing w:beforeLines="0" w:afterLines="0"/>
      <w:jc w:val="center"/>
    </w:pPr>
    <w:rPr>
      <w:rFonts w:hint="eastAsia"/>
      <w:sz w:val="18"/>
      <w:szCs w:val="24"/>
    </w:rPr>
  </w:style>
  <w:style w:type="character" w:styleId="6">
    <w:name w:val="page number"/>
    <w:basedOn w:val="5"/>
    <w:unhideWhenUsed/>
    <w:uiPriority w:val="99"/>
    <w:rPr>
      <w:rFonts w:hint="eastAsia"/>
      <w:sz w:val="24"/>
      <w:szCs w:val="24"/>
    </w:rPr>
  </w:style>
  <w:style w:type="character" w:styleId="7">
    <w:name w:val="line number"/>
    <w:basedOn w:val="5"/>
    <w:unhideWhenUsed/>
    <w:uiPriority w:val="99"/>
    <w:rPr>
      <w:rFonts w:hint="eastAsia"/>
      <w:sz w:val="20"/>
      <w:szCs w:val="24"/>
    </w:rPr>
  </w:style>
  <w:style w:type="character" w:styleId="8">
    <w:name w:val="Hyperlink"/>
    <w:unhideWhenUsed/>
    <w:uiPriority w:val="99"/>
    <w:rPr>
      <w:rFonts w:hint="eastAsia" w:ascii="Times New Roman" w:hAnsi="Times New Roman" w:eastAsia="Times New Roman"/>
      <w:color w:val="0000FF"/>
      <w:sz w:val="20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中共佛山市委员会办公室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2025-05-28T07:28:00Z</dcterms:created>
  <dc:creator>sf099</dc:creator>
  <cp:lastModifiedBy>sf099</cp:lastModifiedBy>
  <dcterms:modified xsi:type="dcterms:W3CDTF">2025-05-28T07:33:10Z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2F58BAB799BE4825BD8CCE5F4D732B16</vt:lpwstr>
  </property>
</Properties>
</file>