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" w:hAnsi="仿宋" w:eastAsia="仿宋"/>
          <w:sz w:val="44"/>
          <w:szCs w:val="44"/>
        </w:rPr>
      </w:pPr>
    </w:p>
    <w:p>
      <w:pPr>
        <w:bidi w:val="0"/>
        <w:jc w:val="center"/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635" b="1270"/>
            <wp:wrapSquare wrapText="bothSides"/>
            <wp:docPr id="4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小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0" w:firstLineChars="0"/>
        <w:rPr>
          <w:rFonts w:ascii="仿宋" w:hAnsi="仿宋" w:eastAsia="仿宋"/>
          <w:sz w:val="28"/>
          <w:szCs w:val="28"/>
        </w:rPr>
      </w:pPr>
      <w:r>
        <w:rPr>
          <w:rFonts w:hint="eastAsia" w:ascii="思源宋体 CN ExtraLight" w:hAnsi="思源宋体 CN ExtraLight" w:eastAsia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5" name="画布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8" name="文本框 28"/>
                        <wps:cNvSpPr txBox="1"/>
                        <wps:spPr>
                          <a:xfrm>
                            <a:off x="128270" y="244030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9" name="文本框 29"/>
                        <wps:cNvSpPr txBox="1"/>
                        <wps:spPr>
                          <a:xfrm>
                            <a:off x="561975" y="1225550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  <w:lang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agkkF9cAAAAFAQAADwAA&#10;AAAAAAABACAAAAAiAAAAZHJzL2Rvd25yZXYueG1sUEsBAhQAFAAAAAgAh07iQJySoY6JAgAAVgYA&#10;AA4AAAAAAAAAAQAgAAAAJgEAAGRycy9lMm9Eb2MueG1sUEsFBgAAAAAGAAYAWQEAACEGAAAAAA==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oJJBfXAAAABQEAAA8AAAAAAAAA&#10;AQAgAAAAIgAAAGRycy9kb3ducmV2LnhtbFBLAQIUABQAAAAIAIdO4kDm17V2SwIAANMFAAAOAAAA&#10;AAAAAAEAIAAAACYBAABkcnMvZTJvRG9jLnhtbFBLBQYAAAAABgAGAFkBAADj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128270;top:2440305;height:261620;width:5316855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LDElDUAAAABQEAAA8AAAAAAAAAAQAgAAAAIgAAAGRy&#10;cy9kb3ducmV2LnhtbFBLAQIUABQAAAAIAIdO4kDhqNw50AEAAIQDAAAOAAAAAAAAAAEAIAAAACMB&#10;AABkcnMvZTJvRG9jLnhtbFBLBQYAAAAABgAGAFkBAABl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文本框 29" o:spid="_x0000_s1026" o:spt="202" type="#_x0000_t202" style="position:absolute;left:561975;top:1225550;height:1057275;width:4455795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OtrHVPWAAAABQEAAA8AAAAAAAAAAQAgAAAAIgAAAGRycy9kb3ducmV2&#10;LnhtbFBLAQIUABQAAAAIAIdO4kCgbR6YxQEAAH8DAAAOAAAAAAAAAAEAIAAAACUBAABkcnMvZTJv&#10;RG9jLnhtbFBLBQYAAAAABgAGAFkBAABc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  <w:lang w:eastAsia="zh-CN"/>
                          </w:rPr>
                          <w:t>股份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  <w:rPr>
          <w:rFonts w:ascii="仿宋" w:hAnsi="仿宋" w:eastAsia="仿宋"/>
          <w:b/>
          <w:bCs/>
          <w:sz w:val="44"/>
          <w:szCs w:val="44"/>
        </w:rPr>
      </w:pPr>
      <w:r>
        <w:rPr>
          <w:rFonts w:hint="eastAsia" w:ascii="仿宋" w:hAnsi="仿宋" w:eastAsia="仿宋"/>
          <w:b/>
          <w:bCs/>
          <w:sz w:val="44"/>
          <w:szCs w:val="44"/>
          <w:lang w:val="en-US" w:eastAsia="zh-CN"/>
        </w:rPr>
        <w:t>三明市公共资源交易中心产权业主项目申报操作手册（招租、实物）</w:t>
      </w: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797" w:bottom="1440" w:left="1797" w:header="851" w:footer="992" w:gutter="0"/>
          <w:cols w:space="425" w:num="1"/>
          <w:titlePg/>
          <w:docGrid w:type="lines" w:linePitch="312" w:charSpace="0"/>
        </w:sect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158194223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32"/>
              <w:szCs w:val="36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bookmarkStart w:id="12" w:name="_GoBack"/>
          <w:bookmarkEnd w:id="12"/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_Toc4460 </w:instrText>
          </w:r>
          <w:r>
            <w:fldChar w:fldCharType="separate"/>
          </w:r>
          <w:r>
            <w:rPr>
              <w:rFonts w:ascii="宋体" w:hAnsi="宋体" w:eastAsia="宋体"/>
              <w:szCs w:val="28"/>
            </w:rPr>
            <w:t>一、账号注册</w:t>
          </w:r>
          <w:r>
            <w:tab/>
          </w:r>
          <w:r>
            <w:fldChar w:fldCharType="begin"/>
          </w:r>
          <w:r>
            <w:instrText xml:space="preserve"> PAGEREF _Toc4460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_Toc4389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1.1进入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三明</w:t>
          </w:r>
          <w:r>
            <w:rPr>
              <w:rFonts w:ascii="宋体" w:hAnsi="宋体" w:eastAsia="宋体"/>
              <w:szCs w:val="24"/>
            </w:rPr>
            <w:t>市公共资源交易中心官网</w:t>
          </w:r>
          <w:r>
            <w:tab/>
          </w:r>
          <w:r>
            <w:fldChar w:fldCharType="begin"/>
          </w:r>
          <w:r>
            <w:instrText xml:space="preserve"> PAGEREF _Toc4389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_Toc16487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1.2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选择产权竞价系统进入</w:t>
          </w:r>
          <w:r>
            <w:tab/>
          </w:r>
          <w:r>
            <w:fldChar w:fldCharType="begin"/>
          </w:r>
          <w:r>
            <w:instrText xml:space="preserve"> PAGEREF _Toc16487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_Toc15691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3</w:t>
          </w:r>
          <w:r>
            <w:rPr>
              <w:rFonts w:ascii="宋体" w:hAnsi="宋体" w:eastAsia="宋体"/>
              <w:szCs w:val="24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_Toc15691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_Toc9427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4</w:t>
          </w:r>
          <w:r>
            <w:rPr>
              <w:rFonts w:ascii="宋体" w:hAnsi="宋体" w:eastAsia="宋体"/>
              <w:szCs w:val="24"/>
            </w:rPr>
            <w:t>阅读注册协议</w:t>
          </w:r>
          <w:r>
            <w:tab/>
          </w:r>
          <w:r>
            <w:fldChar w:fldCharType="begin"/>
          </w:r>
          <w:r>
            <w:instrText xml:space="preserve"> PAGEREF _Toc9427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_Toc6418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5</w:t>
          </w:r>
          <w:r>
            <w:rPr>
              <w:rFonts w:ascii="宋体" w:hAnsi="宋体" w:eastAsia="宋体"/>
              <w:szCs w:val="24"/>
            </w:rPr>
            <w:t>注册信息填写</w:t>
          </w:r>
          <w:r>
            <w:tab/>
          </w:r>
          <w:r>
            <w:fldChar w:fldCharType="begin"/>
          </w:r>
          <w:r>
            <w:instrText xml:space="preserve"> PAGEREF _Toc6418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_Toc11134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1.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6</w:t>
          </w:r>
          <w:r>
            <w:rPr>
              <w:rFonts w:ascii="宋体" w:hAnsi="宋体" w:eastAsia="宋体"/>
              <w:szCs w:val="24"/>
            </w:rPr>
            <w:t>完成注册</w:t>
          </w:r>
          <w:r>
            <w:tab/>
          </w:r>
          <w:r>
            <w:fldChar w:fldCharType="begin"/>
          </w:r>
          <w:r>
            <w:instrText xml:space="preserve"> PAGEREF _Toc11134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_Toc6066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8"/>
            </w:rPr>
            <w:t>二、诚信库管理</w:t>
          </w:r>
          <w:r>
            <w:tab/>
          </w:r>
          <w:r>
            <w:fldChar w:fldCharType="begin"/>
          </w:r>
          <w:r>
            <w:instrText xml:space="preserve"> PAGEREF _Toc6066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_Toc21978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2.1登录系统</w:t>
          </w:r>
          <w:r>
            <w:tab/>
          </w:r>
          <w:r>
            <w:fldChar w:fldCharType="begin"/>
          </w:r>
          <w:r>
            <w:instrText xml:space="preserve"> PAGEREF _Toc21978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2.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</w:t>
          </w:r>
          <w:r>
            <w:rPr>
              <w:rFonts w:ascii="宋体" w:hAnsi="宋体" w:eastAsia="宋体"/>
              <w:szCs w:val="24"/>
            </w:rPr>
            <w:t>完善诚信库</w:t>
          </w:r>
          <w:r>
            <w:tab/>
          </w:r>
          <w:r>
            <w:fldChar w:fldCharType="begin"/>
          </w:r>
          <w:r>
            <w:instrText xml:space="preserve"> PAGEREF _Toc2952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_Toc28861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8"/>
            </w:rPr>
            <w:t>三、</w:t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项目申报</w:t>
          </w:r>
          <w:r>
            <w:tab/>
          </w:r>
          <w:r>
            <w:fldChar w:fldCharType="begin"/>
          </w:r>
          <w:r>
            <w:instrText xml:space="preserve"> PAGEREF _Toc28861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_Toc27218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ascii="宋体" w:hAnsi="宋体" w:eastAsia="宋体"/>
              <w:szCs w:val="24"/>
            </w:rPr>
            <w:t>3.1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资产类项目登记</w:t>
          </w:r>
          <w:r>
            <w:tab/>
          </w:r>
          <w:r>
            <w:fldChar w:fldCharType="begin"/>
          </w:r>
          <w:r>
            <w:instrText xml:space="preserve"> PAGEREF _Toc27218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snapToGrid w:val="0"/>
        <w:jc w:val="center"/>
        <w:rPr>
          <w:rFonts w:ascii="宋体" w:hAnsi="宋体" w:eastAsia="宋体"/>
          <w:b/>
          <w:bCs/>
          <w:sz w:val="32"/>
          <w:szCs w:val="32"/>
        </w:rPr>
      </w:pPr>
    </w:p>
    <w:p>
      <w:pPr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br w:type="page"/>
      </w:r>
    </w:p>
    <w:p>
      <w:pPr>
        <w:pStyle w:val="2"/>
      </w:pPr>
      <w:bookmarkStart w:id="0" w:name="_Toc4460"/>
      <w:r>
        <w:rPr>
          <w:rFonts w:ascii="宋体" w:hAnsi="宋体" w:eastAsia="宋体"/>
          <w:sz w:val="28"/>
          <w:szCs w:val="28"/>
        </w:rPr>
        <w:t>一、账号注册</w:t>
      </w:r>
      <w:bookmarkEnd w:id="0"/>
    </w:p>
    <w:p>
      <w:pPr>
        <w:pStyle w:val="3"/>
        <w:rPr>
          <w:rFonts w:ascii="宋体" w:hAnsi="宋体" w:eastAsia="宋体"/>
          <w:sz w:val="24"/>
          <w:szCs w:val="24"/>
        </w:rPr>
      </w:pPr>
      <w:bookmarkStart w:id="1" w:name="_Toc4389"/>
      <w:r>
        <w:rPr>
          <w:rFonts w:ascii="宋体" w:hAnsi="宋体" w:eastAsia="宋体"/>
          <w:sz w:val="24"/>
          <w:szCs w:val="24"/>
        </w:rPr>
        <w:t>1.1进入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三明</w:t>
      </w:r>
      <w:r>
        <w:rPr>
          <w:rFonts w:ascii="宋体" w:hAnsi="宋体" w:eastAsia="宋体"/>
          <w:sz w:val="24"/>
          <w:szCs w:val="24"/>
        </w:rPr>
        <w:t>市公共资源交易中心官网</w:t>
      </w:r>
      <w:bookmarkEnd w:id="1"/>
    </w:p>
    <w:p>
      <w:pPr>
        <w:snapToGrid w:val="0"/>
        <w:ind w:firstLine="420" w:firstLineChars="20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登入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三明</w:t>
      </w:r>
      <w:r>
        <w:rPr>
          <w:rFonts w:hint="eastAsia" w:asciiTheme="minorEastAsia" w:hAnsiTheme="minorEastAsia" w:eastAsiaTheme="minorEastAsia" w:cstheme="minorEastAsia"/>
          <w:szCs w:val="21"/>
        </w:rPr>
        <w:t>市公共资源交易中心官网：</w:t>
      </w:r>
      <w:r>
        <w:rPr>
          <w:rFonts w:hint="eastAsia" w:ascii="宋体" w:hAnsi="宋体" w:eastAsia="宋体"/>
          <w:szCs w:val="21"/>
        </w:rPr>
        <w:fldChar w:fldCharType="begin"/>
      </w:r>
      <w:r>
        <w:rPr>
          <w:rFonts w:hint="eastAsia" w:ascii="宋体" w:hAnsi="宋体" w:eastAsia="宋体"/>
          <w:szCs w:val="21"/>
        </w:rPr>
        <w:instrText xml:space="preserve"> HYPERLINK "http://smggzy.sm.gov.cn/smwz/" </w:instrText>
      </w:r>
      <w:r>
        <w:rPr>
          <w:rFonts w:hint="eastAsia" w:ascii="宋体" w:hAnsi="宋体" w:eastAsia="宋体"/>
          <w:szCs w:val="21"/>
        </w:rPr>
        <w:fldChar w:fldCharType="separate"/>
      </w:r>
      <w:r>
        <w:rPr>
          <w:rStyle w:val="12"/>
          <w:rFonts w:hint="eastAsia" w:ascii="宋体" w:hAnsi="宋体" w:eastAsia="宋体"/>
          <w:szCs w:val="21"/>
        </w:rPr>
        <w:t>http://smggzy.sm.gov.cn/smwz/</w:t>
      </w:r>
      <w:r>
        <w:rPr>
          <w:rFonts w:hint="eastAsia" w:ascii="宋体" w:hAnsi="宋体" w:eastAsia="宋体"/>
          <w:szCs w:val="21"/>
        </w:rPr>
        <w:fldChar w:fldCharType="end"/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如下图：</w:t>
      </w:r>
    </w:p>
    <w:p>
      <w:pPr>
        <w:snapToGrid w:val="0"/>
        <w:jc w:val="left"/>
      </w:pPr>
      <w:r>
        <w:drawing>
          <wp:inline distT="0" distB="0" distL="114300" distR="114300">
            <wp:extent cx="5266690" cy="2499360"/>
            <wp:effectExtent l="0" t="0" r="3810" b="25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pStyle w:val="3"/>
        <w:rPr>
          <w:rFonts w:hint="default" w:ascii="宋体" w:hAnsi="宋体" w:eastAsia="宋体"/>
          <w:sz w:val="24"/>
          <w:szCs w:val="24"/>
          <w:lang w:val="en-US"/>
        </w:rPr>
      </w:pPr>
      <w:bookmarkStart w:id="2" w:name="_Toc16487"/>
      <w:r>
        <w:rPr>
          <w:rFonts w:ascii="宋体" w:hAnsi="宋体" w:eastAsia="宋体"/>
          <w:sz w:val="24"/>
          <w:szCs w:val="24"/>
        </w:rPr>
        <w:t>1.2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选择产权竞价系统进入</w:t>
      </w:r>
      <w:bookmarkEnd w:id="2"/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选择“产权竞价系统”按钮</w:t>
      </w:r>
      <w:r>
        <w:rPr>
          <w:rFonts w:hint="eastAsia" w:asciiTheme="minorEastAsia" w:hAnsiTheme="minorEastAsia" w:eastAsiaTheme="minorEastAsia" w:cstheme="minorEastAsia"/>
          <w:szCs w:val="21"/>
        </w:rPr>
        <w:t>点击进入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产权业主申报系统登录页面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>
      <w:pPr>
        <w:snapToGrid w:val="0"/>
      </w:pPr>
      <w:r>
        <w:drawing>
          <wp:inline distT="0" distB="0" distL="114300" distR="114300">
            <wp:extent cx="5273675" cy="2488565"/>
            <wp:effectExtent l="0" t="0" r="9525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  <w:r>
        <w:drawing>
          <wp:inline distT="0" distB="0" distL="114300" distR="114300">
            <wp:extent cx="5053965" cy="2359025"/>
            <wp:effectExtent l="0" t="0" r="635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pStyle w:val="3"/>
        <w:rPr>
          <w:rFonts w:ascii="宋体" w:hAnsi="宋体" w:eastAsia="宋体"/>
          <w:sz w:val="24"/>
          <w:szCs w:val="24"/>
        </w:rPr>
      </w:pPr>
      <w:bookmarkStart w:id="3" w:name="_Toc15691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sz w:val="24"/>
          <w:szCs w:val="24"/>
        </w:rPr>
        <w:t>注册</w:t>
      </w:r>
      <w:bookmarkEnd w:id="3"/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进入免费注册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注册账号密码登录系统即可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>
      <w:pPr>
        <w:snapToGrid w:val="0"/>
      </w:pPr>
      <w:r>
        <w:drawing>
          <wp:inline distT="0" distB="0" distL="114300" distR="114300">
            <wp:extent cx="5046345" cy="2367915"/>
            <wp:effectExtent l="0" t="0" r="8255" b="698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default"/>
          <w:lang w:val="en-US" w:eastAsia="zh-CN"/>
        </w:rPr>
      </w:pPr>
    </w:p>
    <w:p>
      <w:pPr>
        <w:pStyle w:val="3"/>
        <w:rPr>
          <w:rFonts w:ascii="宋体" w:hAnsi="宋体" w:eastAsia="宋体"/>
          <w:sz w:val="24"/>
          <w:szCs w:val="24"/>
        </w:rPr>
      </w:pPr>
      <w:bookmarkStart w:id="4" w:name="_Toc9427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</w:t>
      </w:r>
      <w:r>
        <w:rPr>
          <w:rFonts w:ascii="宋体" w:hAnsi="宋体" w:eastAsia="宋体"/>
          <w:sz w:val="24"/>
          <w:szCs w:val="24"/>
        </w:rPr>
        <w:t>阅读注册协议</w:t>
      </w:r>
      <w:bookmarkEnd w:id="4"/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阅读【注册协议】，如果确认没有问题点击【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我已阅读</w:t>
      </w:r>
      <w:r>
        <w:rPr>
          <w:rFonts w:hint="eastAsia" w:asciiTheme="minorEastAsia" w:hAnsiTheme="minorEastAsia" w:eastAsiaTheme="minorEastAsia" w:cstheme="minorEastAsia"/>
          <w:szCs w:val="21"/>
        </w:rPr>
        <w:t>】按钮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>
      <w:pPr>
        <w:snapToGrid w:val="0"/>
      </w:pPr>
      <w:r>
        <w:drawing>
          <wp:inline distT="0" distB="0" distL="114300" distR="114300">
            <wp:extent cx="5100955" cy="2367280"/>
            <wp:effectExtent l="0" t="0" r="4445" b="762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pStyle w:val="3"/>
        <w:rPr>
          <w:rFonts w:ascii="宋体" w:hAnsi="宋体" w:eastAsia="宋体"/>
          <w:sz w:val="24"/>
          <w:szCs w:val="24"/>
        </w:rPr>
      </w:pPr>
      <w:bookmarkStart w:id="5" w:name="_Toc6418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5</w:t>
      </w:r>
      <w:r>
        <w:rPr>
          <w:rFonts w:ascii="宋体" w:hAnsi="宋体" w:eastAsia="宋体"/>
          <w:sz w:val="24"/>
          <w:szCs w:val="24"/>
        </w:rPr>
        <w:t>注册信息填写</w:t>
      </w:r>
      <w:bookmarkEnd w:id="5"/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按照要求填写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基本信息</w:t>
      </w:r>
      <w:r>
        <w:rPr>
          <w:rFonts w:hint="eastAsia" w:asciiTheme="minorEastAsia" w:hAnsiTheme="minorEastAsia" w:eastAsiaTheme="minorEastAsia" w:cstheme="minorEastAsia"/>
          <w:szCs w:val="21"/>
        </w:rPr>
        <w:t>。单位名称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及统一社会信用代码（组织机构代码）系统进行</w:t>
      </w:r>
      <w:r>
        <w:rPr>
          <w:rFonts w:hint="eastAsia" w:asciiTheme="minorEastAsia" w:hAnsiTheme="minorEastAsia" w:eastAsiaTheme="minorEastAsia" w:cstheme="minorEastAsia"/>
          <w:szCs w:val="21"/>
        </w:rPr>
        <w:t>检测，可以检测该单位是否已经注册过，未注册既可注册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。</w:t>
      </w: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注：用户类型选择交易甲方。</w:t>
      </w: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填写手机号码可以用于接收验证码，如若忘记密码，可用这个手机号进行找回密码。输入验证码，立即注册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>
      <w:pPr>
        <w:snapToGrid w:val="0"/>
      </w:pPr>
      <w:r>
        <w:drawing>
          <wp:inline distT="0" distB="0" distL="114300" distR="114300">
            <wp:extent cx="5276215" cy="2477135"/>
            <wp:effectExtent l="0" t="0" r="6985" b="1206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pStyle w:val="3"/>
        <w:rPr>
          <w:rFonts w:ascii="宋体" w:hAnsi="宋体" w:eastAsia="宋体"/>
          <w:sz w:val="24"/>
          <w:szCs w:val="24"/>
        </w:rPr>
      </w:pPr>
      <w:bookmarkStart w:id="6" w:name="_Toc11134"/>
      <w:r>
        <w:rPr>
          <w:rFonts w:ascii="宋体" w:hAnsi="宋体" w:eastAsia="宋体"/>
          <w:sz w:val="24"/>
          <w:szCs w:val="24"/>
        </w:rPr>
        <w:t>1.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6</w:t>
      </w:r>
      <w:r>
        <w:rPr>
          <w:rFonts w:ascii="宋体" w:hAnsi="宋体" w:eastAsia="宋体"/>
          <w:sz w:val="24"/>
          <w:szCs w:val="24"/>
        </w:rPr>
        <w:t>完成注册</w:t>
      </w:r>
      <w:bookmarkEnd w:id="6"/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【注册完成】，默认密码为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Epoint@123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。</w:t>
      </w:r>
    </w:p>
    <w:p>
      <w:pPr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br w:type="page"/>
      </w:r>
    </w:p>
    <w:p>
      <w:pPr>
        <w:pStyle w:val="2"/>
        <w:rPr>
          <w:rFonts w:ascii="宋体" w:hAnsi="宋体" w:eastAsia="宋体"/>
          <w:sz w:val="28"/>
          <w:szCs w:val="28"/>
        </w:rPr>
      </w:pPr>
      <w:bookmarkStart w:id="7" w:name="_Toc6066"/>
      <w:r>
        <w:rPr>
          <w:rFonts w:ascii="宋体" w:hAnsi="宋体" w:eastAsia="宋体"/>
          <w:sz w:val="28"/>
          <w:szCs w:val="28"/>
        </w:rPr>
        <w:t>二、诚信库管理</w:t>
      </w:r>
      <w:bookmarkEnd w:id="7"/>
    </w:p>
    <w:p>
      <w:pPr>
        <w:pStyle w:val="3"/>
        <w:rPr>
          <w:rFonts w:ascii="宋体" w:hAnsi="宋体" w:eastAsia="宋体"/>
          <w:sz w:val="24"/>
          <w:szCs w:val="24"/>
        </w:rPr>
      </w:pPr>
      <w:bookmarkStart w:id="8" w:name="_Toc21978"/>
      <w:r>
        <w:rPr>
          <w:rFonts w:ascii="宋体" w:hAnsi="宋体" w:eastAsia="宋体"/>
          <w:sz w:val="24"/>
          <w:szCs w:val="24"/>
        </w:rPr>
        <w:t>2.1登录系统</w:t>
      </w:r>
      <w:bookmarkEnd w:id="8"/>
    </w:p>
    <w:p>
      <w:pPr>
        <w:snapToGrid w:val="0"/>
        <w:rPr>
          <w:rFonts w:hint="eastAsia" w:eastAsia="宋体"/>
          <w:lang w:eastAsia="zh-CN"/>
        </w:rPr>
      </w:pP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Theme="minorEastAsia" w:hAnsiTheme="minorEastAsia" w:eastAsiaTheme="minorEastAsia" w:cstheme="minorEastAsia"/>
          <w:szCs w:val="21"/>
        </w:rPr>
        <w:t>登录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产权业主</w:t>
      </w:r>
      <w:r>
        <w:rPr>
          <w:rFonts w:hint="eastAsia" w:asciiTheme="minorEastAsia" w:hAnsiTheme="minorEastAsia" w:eastAsiaTheme="minorEastAsia" w:cstheme="minorEastAsia"/>
          <w:szCs w:val="21"/>
        </w:rPr>
        <w:t>账号，初次进入系统如图所示，因未完善诚信库，所以会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直接进入诚信库基本信息页面完善信息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>
      <w:pPr>
        <w:snapToGrid w:val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6690" cy="2474595"/>
            <wp:effectExtent l="0" t="0" r="3810" b="190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pStyle w:val="3"/>
        <w:rPr>
          <w:rFonts w:ascii="宋体" w:hAnsi="宋体" w:eastAsia="宋体"/>
          <w:sz w:val="24"/>
          <w:szCs w:val="24"/>
        </w:rPr>
      </w:pPr>
      <w:bookmarkStart w:id="9" w:name="_Toc2952"/>
      <w:r>
        <w:rPr>
          <w:rFonts w:ascii="宋体" w:hAnsi="宋体" w:eastAsia="宋体"/>
          <w:sz w:val="24"/>
          <w:szCs w:val="24"/>
        </w:rPr>
        <w:t>2.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sz w:val="24"/>
          <w:szCs w:val="24"/>
        </w:rPr>
        <w:t>完善诚信库</w:t>
      </w:r>
      <w:bookmarkEnd w:id="9"/>
    </w:p>
    <w:p>
      <w:pPr>
        <w:snapToGrid w:val="0"/>
        <w:rPr>
          <w:rFonts w:hint="eastAsia" w:eastAsia="宋体"/>
          <w:lang w:eastAsia="zh-CN"/>
        </w:rPr>
      </w:pPr>
      <w:r>
        <w:rPr>
          <w:rFonts w:ascii="宋体" w:hAnsi="宋体" w:eastAsia="宋体"/>
          <w:szCs w:val="21"/>
        </w:rPr>
        <w:t xml:space="preserve">    </w:t>
      </w:r>
      <w:r>
        <w:rPr>
          <w:rFonts w:hint="eastAsia" w:ascii="宋体" w:hAnsi="宋体" w:eastAsia="宋体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</w:rPr>
        <w:t>进入诚信库管理-基本信息-修改信息，点击【修改信息】，修改填写基本信息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>
      <w:pPr>
        <w:snapToGrid w:val="0"/>
        <w:spacing w:before="312" w:after="312"/>
        <w:ind w:hanging="420"/>
      </w:pPr>
      <w:r>
        <w:rPr>
          <w:rFonts w:ascii="宋体" w:hAnsi="宋体" w:eastAsia="宋体"/>
          <w:color w:val="FF0000"/>
          <w:szCs w:val="21"/>
        </w:rPr>
        <w:t></w:t>
      </w:r>
      <w:r>
        <w:rPr>
          <w:rFonts w:hint="eastAsia" w:ascii="宋体" w:hAnsi="宋体" w:eastAsia="宋体"/>
          <w:color w:val="FF0000"/>
          <w:szCs w:val="21"/>
          <w:lang w:val="en-US" w:eastAsia="zh-CN"/>
        </w:rPr>
        <w:t xml:space="preserve">  </w:t>
      </w:r>
      <w:r>
        <w:rPr>
          <w:rFonts w:ascii="宋体" w:hAnsi="宋体" w:eastAsia="宋体"/>
          <w:color w:val="FF0000"/>
          <w:szCs w:val="21"/>
        </w:rPr>
        <w:t>带有红色*的为必填项，非必填项建议全部录入</w:t>
      </w:r>
    </w:p>
    <w:p>
      <w:pPr>
        <w:snapToGrid w:val="0"/>
        <w:jc w:val="left"/>
      </w:pPr>
      <w:r>
        <w:drawing>
          <wp:inline distT="0" distB="0" distL="114300" distR="114300">
            <wp:extent cx="5266690" cy="2458085"/>
            <wp:effectExtent l="0" t="0" r="3810" b="571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  <w:r>
        <w:drawing>
          <wp:inline distT="0" distB="0" distL="114300" distR="114300">
            <wp:extent cx="5266690" cy="2425065"/>
            <wp:effectExtent l="0" t="0" r="3810" b="63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</w:rPr>
        <w:t>信息确认无误后-点击【下一步】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>
      <w:pPr>
        <w:snapToGrid w:val="0"/>
        <w:jc w:val="left"/>
        <w:rPr>
          <w:rFonts w:hint="eastAsia" w:ascii="SimSun,Songti SC,宋体,sans-serif" w:hAnsi="SimSun,Songti SC,宋体,sans-serif" w:eastAsia="SimSun,Songti SC,宋体,sans-serif"/>
          <w:szCs w:val="21"/>
          <w:lang w:eastAsia="zh-CN"/>
        </w:rPr>
      </w:pPr>
      <w:r>
        <w:drawing>
          <wp:inline distT="0" distB="0" distL="114300" distR="114300">
            <wp:extent cx="5266690" cy="2501900"/>
            <wp:effectExtent l="0" t="0" r="3810" b="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jc w:val="left"/>
        <w:rPr>
          <w:rFonts w:hint="eastAsia" w:eastAsia="SimSun,Songti SC,宋体,sans-serif"/>
          <w:lang w:eastAsia="zh-CN"/>
        </w:rPr>
      </w:pPr>
      <w:r>
        <w:rPr>
          <w:rFonts w:hint="eastAsia" w:ascii="SimSun,Songti SC,宋体,sans-serif" w:hAnsi="SimSun,Songti SC,宋体,sans-serif" w:eastAsia="SimSun,Songti SC,宋体,sans-serif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</w:rPr>
        <w:t>点击【提交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通过</w:t>
      </w:r>
      <w:r>
        <w:rPr>
          <w:rFonts w:hint="eastAsia" w:asciiTheme="minorEastAsia" w:hAnsiTheme="minorEastAsia" w:eastAsiaTheme="minorEastAsia" w:cstheme="minorEastAsia"/>
          <w:szCs w:val="21"/>
        </w:rPr>
        <w:t>】-系统自动审核通过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：</w:t>
      </w:r>
    </w:p>
    <w:p>
      <w:pPr>
        <w:snapToGrid w:val="0"/>
        <w:jc w:val="left"/>
      </w:pPr>
      <w:r>
        <w:drawing>
          <wp:inline distT="0" distB="0" distL="114300" distR="114300">
            <wp:extent cx="5266690" cy="2491105"/>
            <wp:effectExtent l="0" t="0" r="3810" b="1079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</w:pPr>
      <w:r>
        <w:drawing>
          <wp:inline distT="0" distB="0" distL="114300" distR="114300">
            <wp:extent cx="5266690" cy="2474595"/>
            <wp:effectExtent l="0" t="0" r="3810" b="190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rPr>
          <w:rFonts w:hint="default" w:ascii="宋体" w:hAnsi="宋体" w:eastAsia="宋体"/>
          <w:sz w:val="28"/>
          <w:szCs w:val="28"/>
          <w:lang w:val="en-US" w:eastAsia="zh-CN"/>
        </w:rPr>
      </w:pPr>
      <w:bookmarkStart w:id="10" w:name="_Toc28861"/>
      <w:r>
        <w:rPr>
          <w:rFonts w:ascii="宋体" w:hAnsi="宋体" w:eastAsia="宋体"/>
          <w:sz w:val="28"/>
          <w:szCs w:val="28"/>
        </w:rPr>
        <w:t>三、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项目申报</w:t>
      </w:r>
      <w:bookmarkEnd w:id="10"/>
    </w:p>
    <w:p>
      <w:pPr>
        <w:pStyle w:val="3"/>
        <w:rPr>
          <w:rFonts w:hint="default" w:ascii="宋体" w:hAnsi="宋体" w:eastAsia="宋体"/>
          <w:sz w:val="24"/>
          <w:szCs w:val="24"/>
          <w:lang w:val="en-US" w:eastAsia="zh-CN"/>
        </w:rPr>
      </w:pPr>
      <w:bookmarkStart w:id="11" w:name="_Toc27218"/>
      <w:r>
        <w:rPr>
          <w:rFonts w:ascii="宋体" w:hAnsi="宋体" w:eastAsia="宋体"/>
          <w:sz w:val="24"/>
          <w:szCs w:val="24"/>
        </w:rPr>
        <w:t>3.1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资产类项目登记</w:t>
      </w:r>
      <w:bookmarkEnd w:id="11"/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1、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产权交易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转让受理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】—【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资产类项目登记</w:t>
      </w:r>
      <w:r>
        <w:rPr>
          <w:rFonts w:hint="eastAsia" w:asciiTheme="minorEastAsia" w:hAnsiTheme="minorEastAsia" w:eastAsiaTheme="minorEastAsia" w:cstheme="minorEastAsia"/>
          <w:szCs w:val="21"/>
          <w:lang w:eastAsia="zh-CN"/>
        </w:rPr>
        <w:t>】—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点击【新增实物】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>
      <w:pPr>
        <w:snapToGrid w:val="0"/>
        <w:jc w:val="left"/>
      </w:pPr>
      <w:r>
        <w:drawing>
          <wp:inline distT="0" distB="0" distL="114300" distR="114300">
            <wp:extent cx="5114290" cy="2407920"/>
            <wp:effectExtent l="0" t="0" r="3810" b="508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  <w:rPr>
          <w:rFonts w:hint="eastAsia"/>
          <w:lang w:eastAsia="zh-CN"/>
        </w:rPr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01填写项目信息</w:t>
      </w: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项目名称、产权交易分类、产权性质、业务类别、预选的竞价交易方式、转让评估价、评估基准日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>
      <w:pPr>
        <w:snapToGrid w:val="0"/>
        <w:jc w:val="left"/>
      </w:pPr>
      <w:r>
        <w:drawing>
          <wp:inline distT="0" distB="0" distL="114300" distR="114300">
            <wp:extent cx="5107940" cy="2293620"/>
            <wp:effectExtent l="0" t="0" r="10160" b="508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3、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02填写转让方信息</w:t>
      </w: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转让标的企业名称、统一社会信用代码、项目联系人、联系方式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：</w:t>
      </w:r>
    </w:p>
    <w:p>
      <w:pPr>
        <w:snapToGrid w:val="0"/>
        <w:jc w:val="left"/>
      </w:pPr>
      <w:r>
        <w:drawing>
          <wp:inline distT="0" distB="0" distL="114300" distR="114300">
            <wp:extent cx="5210175" cy="1541780"/>
            <wp:effectExtent l="0" t="0" r="9525" b="762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jc w:val="left"/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4、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03新增标的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  <w:ind w:firstLine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522730"/>
            <wp:effectExtent l="0" t="0" r="3810" b="1270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/>
        <w:jc w:val="left"/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填写标的信息以及设置优先权人</w:t>
      </w: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01标的信息：标的名称、评估价、挂牌价、保证金、保证金截止时间</w:t>
      </w: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02设置优先权企业/自然人，若无，可不设置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30780"/>
            <wp:effectExtent l="0" t="0" r="3810" b="762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04委托代理协议、委托代理协议这两份为必须上传，也有模板可供下载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点击【点击操作】，上传编辑好的Word后进行盖章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</w:pPr>
      <w:r>
        <w:drawing>
          <wp:inline distT="0" distB="0" distL="114300" distR="114300">
            <wp:extent cx="5266690" cy="2444115"/>
            <wp:effectExtent l="0" t="0" r="3810" b="6985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7、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点击【选择电子件上传】，上传编辑好的Word文件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</w:pPr>
      <w:r>
        <w:drawing>
          <wp:inline distT="0" distB="0" distL="114300" distR="114300">
            <wp:extent cx="5266690" cy="1717040"/>
            <wp:effectExtent l="0" t="0" r="3810" b="1016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8、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上传后点击【清稿并加盖印章】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</w:pPr>
      <w:r>
        <w:drawing>
          <wp:inline distT="0" distB="0" distL="114300" distR="114300">
            <wp:extent cx="5266690" cy="1012190"/>
            <wp:effectExtent l="0" t="0" r="3810" b="381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rPr>
          <w:rFonts w:hint="default"/>
          <w:lang w:val="en-US" w:eastAsia="zh-CN"/>
        </w:rPr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9、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可以选择两种盖章方式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</w:pPr>
      <w:r>
        <w:drawing>
          <wp:inline distT="0" distB="0" distL="114300" distR="114300">
            <wp:extent cx="5266690" cy="2200275"/>
            <wp:effectExtent l="0" t="0" r="3810" b="952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10、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点击【介质签章】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</w:pPr>
      <w:r>
        <w:drawing>
          <wp:inline distT="0" distB="0" distL="114300" distR="114300">
            <wp:extent cx="5271135" cy="698500"/>
            <wp:effectExtent l="0" t="0" r="12065" b="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11、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完成后点击【签章提交】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1352550"/>
            <wp:effectExtent l="0" t="0" r="9525" b="635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  <w:ind w:firstLine="420" w:firstLineChars="200"/>
        <w:rPr>
          <w:rFonts w:hint="default" w:asciiTheme="minorEastAsia" w:hAnsiTheme="minorEastAsia" w:eastAsia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12、</w:t>
      </w:r>
      <w:r>
        <w:rPr>
          <w:rFonts w:hint="eastAsia" w:asciiTheme="minorEastAsia" w:hAnsiTheme="minorEastAsia" w:eastAsiaTheme="minorEastAsia" w:cstheme="minorEastAsia"/>
          <w:szCs w:val="21"/>
          <w:lang w:val="en-US" w:eastAsia="zh-CN"/>
        </w:rPr>
        <w:t>检查项目信息是否正确，上传相关附件，确认后点击【提交信息】，完成项目申报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，如下图：</w:t>
      </w:r>
    </w:p>
    <w:p>
      <w:pPr>
        <w:snapToGrid w:val="0"/>
        <w:ind w:firstLine="0"/>
        <w:jc w:val="left"/>
      </w:pPr>
      <w:r>
        <w:drawing>
          <wp:inline distT="0" distB="0" distL="114300" distR="114300">
            <wp:extent cx="5266690" cy="2427605"/>
            <wp:effectExtent l="0" t="0" r="3810" b="10795"/>
            <wp:docPr id="4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</w:pPr>
    </w:p>
    <w:p>
      <w:pPr>
        <w:snapToGrid w:val="0"/>
      </w:pPr>
    </w:p>
    <w:p/>
    <w:sectPr>
      <w:headerReference r:id="rId6" w:type="default"/>
      <w:footerReference r:id="rId7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思源宋体 CN ExtraLight">
    <w:altName w:val="宋体"/>
    <w:panose1 w:val="020202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宋体"/>
    <w:panose1 w:val="020204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imSun,Songti SC,宋体,sans-serif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5156835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6.05pt;margin-top:0pt;height:144pt;width:144pt;mso-position-horizontal-relative:margin;mso-wrap-style:none;z-index:251661312;mso-width-relative:page;mso-height-relative:page;" filled="f" stroked="f" coordsize="21600,21600" o:gfxdata="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sGQ45NQAAAAJAQAADwAAAAAAAAABACAAAAAiAAAAZHJzL2Rvd25yZXYueG1sUEsB&#10;AhQAFAAAAAgAh07iQOGA044yAgAAYQQAAA4AAAAAAAAAAQAgAAAAIw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top w:val="single" w:color="9BBB59" w:sz="24" w:space="5"/>
      </w:pBdr>
      <w:wordWrap/>
      <w:spacing w:line="240" w:lineRule="auto"/>
      <w:ind w:firstLine="360"/>
      <w:jc w:val="center"/>
    </w:pPr>
    <w:r>
      <w:rPr>
        <w:rFonts w:hint="eastAsia" w:ascii="思源宋体 CN ExtraLight" w:hAnsi="思源宋体 CN ExtraLight" w:eastAsia="思源宋体 CN ExtraLight" w:cs="思源宋体 CN ExtraLight"/>
        <w:lang w:val="zh-CN"/>
      </w:rPr>
      <w:t>国泰新点软件</w:t>
    </w:r>
    <w:r>
      <w:rPr>
        <w:rFonts w:hint="eastAsia" w:ascii="思源宋体 CN ExtraLight" w:hAnsi="思源宋体 CN ExtraLight" w:eastAsia="思源宋体 CN ExtraLight" w:cs="思源宋体 CN ExtraLight"/>
        <w:lang w:val="en-US" w:eastAsia="zh-CN"/>
      </w:rPr>
      <w:t>股份</w:t>
    </w:r>
    <w:r>
      <w:rPr>
        <w:rFonts w:hint="eastAsia" w:ascii="思源宋体 CN ExtraLight" w:hAnsi="思源宋体 CN ExtraLight" w:eastAsia="思源宋体 CN ExtraLight" w:cs="思源宋体 CN ExtraLight"/>
        <w:lang w:val="zh-CN"/>
      </w:rPr>
      <w:t>有限公司0512-58188000</w: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5057140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98.2pt;margin-top:0pt;height:144pt;width:144pt;mso-position-horizontal-relative:margin;mso-wrap-style:none;z-index:251662336;mso-width-relative:page;mso-height-relative:page;" filled="f" stroked="f" coordsize="21600,21600" o:gfxdata="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s6fJPVAAAACQEAAA8AAAAAAAAAAQAgAAAAIgAAAGRycy9kb3ducmV2LnhtbFBL&#10;AQIUABQAAAAIAIdO4kDmU02ZMgIAAGMEAAAOAAAAAAAAAAEAIAAAACQ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2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</w:t>
    </w:r>
    <w:r>
      <w:rPr>
        <w:rFonts w:hint="eastAsia" w:ascii="宋体" w:hAnsi="宋体"/>
        <w:lang w:val="en-US" w:eastAsia="zh-CN"/>
      </w:rPr>
      <w:t>业主项目申报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>
    <w:pPr>
      <w:pStyle w:val="7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thickThinSmallGap" w:color="622423" w:sz="24" w:space="1"/>
      </w:pBdr>
      <w:spacing w:line="240" w:lineRule="auto"/>
      <w:ind w:firstLine="1080" w:firstLineChars="600"/>
      <w:jc w:val="left"/>
      <w:rPr>
        <w:rFonts w:hint="eastAsia" w:ascii="思源宋体 CN ExtraLight" w:hAnsi="思源宋体 CN ExtraLight" w:eastAsia="思源宋体 CN ExtraLight" w:cs="思源宋体 CN ExtraLigh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31750</wp:posOffset>
          </wp:positionH>
          <wp:positionV relativeFrom="paragraph">
            <wp:posOffset>15240</wp:posOffset>
          </wp:positionV>
          <wp:extent cx="548640" cy="142240"/>
          <wp:effectExtent l="0" t="0" r="10160" b="10160"/>
          <wp:wrapNone/>
          <wp:docPr id="1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640" cy="14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>产权交易</w:t>
    </w:r>
    <w:r>
      <w:rPr>
        <w:rFonts w:hint="eastAsia" w:ascii="宋体" w:hAnsi="宋体"/>
        <w:lang w:val="en-US" w:eastAsia="zh-CN"/>
      </w:rPr>
      <w:t>业主项目申报</w:t>
    </w:r>
    <w:r>
      <w:rPr>
        <w:rFonts w:hint="eastAsia" w:ascii="Cambria" w:hAnsi="Cambria"/>
      </w:rPr>
      <w:t xml:space="preserve">操作手册     </w:t>
    </w:r>
    <w:r>
      <w:rPr>
        <w:rFonts w:hint="eastAsia" w:ascii="思源宋体 CN ExtraLight" w:hAnsi="思源宋体 CN ExtraLight" w:eastAsia="思源宋体 CN ExtraLight" w:cs="思源宋体 CN ExtraLight"/>
      </w:rPr>
      <w:t>CS-XM-CZSC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张家港市2020060128-CQJY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71303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>0</w:t>
    </w:r>
    <w:r>
      <w:rPr>
        <w:rFonts w:hint="eastAsia" w:ascii="思源宋体 CN ExtraLight" w:hAnsi="思源宋体 CN ExtraLight" w:eastAsia="思源宋体 CN ExtraLight" w:cs="思源宋体 CN ExtraLight"/>
        <w:color w:val="000000"/>
        <w:lang w:val="en-US" w:eastAsia="zh-CN"/>
      </w:rPr>
      <w:t>4</w:t>
    </w:r>
    <w:r>
      <w:rPr>
        <w:rFonts w:hint="eastAsia" w:ascii="思源宋体 CN ExtraLight" w:hAnsi="思源宋体 CN ExtraLight" w:eastAsia="思源宋体 CN ExtraLight" w:cs="思源宋体 CN ExtraLight"/>
        <w:color w:val="000000"/>
      </w:rPr>
      <w:t xml:space="preserve">  </w:t>
    </w:r>
    <w:r>
      <w:rPr>
        <w:rFonts w:hint="eastAsia" w:ascii="思源宋体 CN ExtraLight" w:hAnsi="思源宋体 CN ExtraLight" w:eastAsia="思源宋体 CN ExtraLight" w:cs="思源宋体 CN ExtraLight"/>
      </w:rPr>
      <w:t>V1.0</w:t>
    </w:r>
  </w:p>
  <w:p>
    <w:pPr>
      <w:pStyle w:val="7"/>
      <w:jc w:val="both"/>
    </w:pPr>
  </w:p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zODQ3NTViOTg0MGM5ZjBjZDE5MTBlMTkyMzUyMDQifQ=="/>
  </w:docVars>
  <w:rsids>
    <w:rsidRoot w:val="0AB8109F"/>
    <w:rsid w:val="0AB8109F"/>
    <w:rsid w:val="3BE02697"/>
    <w:rsid w:val="4FC67112"/>
    <w:rsid w:val="5499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1071</Words>
  <Characters>1167</Characters>
  <Lines>0</Lines>
  <Paragraphs>0</Paragraphs>
  <TotalTime>0</TotalTime>
  <ScaleCrop>false</ScaleCrop>
  <LinksUpToDate>false</LinksUpToDate>
  <CharactersWithSpaces>1218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2023-02-08T02:52:00Z</dcterms:created>
  <dc:creator>凉心暖男</dc:creator>
  <cp:lastModifiedBy>凉心暖男</cp:lastModifiedBy>
  <dcterms:modified xsi:type="dcterms:W3CDTF">2023-02-08T09:26:25Z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3A69385BEF874EF4AB25C446CB9BF7DF</vt:lpwstr>
  </property>
</Properties>
</file>