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 w:hAnsi="仿宋" w:eastAsia="仿宋" w:cs="仿宋"/>
          <w:sz w:val="36"/>
          <w:szCs w:val="36"/>
        </w:rPr>
      </w:pPr>
      <w:bookmarkStart w:id="0" w:name="_GoBack"/>
      <w:bookmarkEnd w:id="0"/>
      <w:r>
        <w:rPr>
          <w:rFonts w:hint="eastAsia" w:ascii="仿宋" w:hAnsi="仿宋" w:eastAsia="仿宋" w:cs="仿宋"/>
          <w:b/>
          <w:sz w:val="36"/>
          <w:szCs w:val="36"/>
        </w:rPr>
        <w:t>肥料交易合同</w:t>
      </w:r>
    </w:p>
    <w:p>
      <w:pPr>
        <w:spacing w:line="360" w:lineRule="auto"/>
        <w:jc w:val="center"/>
        <w:rPr>
          <w:rFonts w:ascii="仿宋_GB2312" w:hAnsi="宋体" w:eastAsia="仿宋_GB2312"/>
          <w:sz w:val="28"/>
          <w:szCs w:val="28"/>
        </w:rPr>
      </w:pPr>
      <w:r>
        <w:rPr>
          <w:rFonts w:hint="eastAsia" w:ascii="仿宋_GB2312" w:hAnsi="宋体" w:eastAsia="仿宋_GB2312"/>
          <w:sz w:val="28"/>
          <w:szCs w:val="28"/>
        </w:rPr>
        <w:t>合同编号：宁林场[2023]营第  号</w:t>
      </w:r>
    </w:p>
    <w:p>
      <w:pPr>
        <w:spacing w:line="480" w:lineRule="exact"/>
        <w:rPr>
          <w:rFonts w:ascii="仿宋_GB2312" w:hAnsi="宋体" w:eastAsia="仿宋_GB2312"/>
          <w:sz w:val="28"/>
          <w:szCs w:val="28"/>
        </w:rPr>
      </w:pPr>
      <w:r>
        <w:rPr>
          <w:rFonts w:hint="eastAsia" w:ascii="仿宋_GB2312" w:hAnsi="宋体" w:eastAsia="仿宋_GB2312"/>
          <w:sz w:val="28"/>
          <w:szCs w:val="28"/>
        </w:rPr>
        <w:t>采购方：</w:t>
      </w:r>
      <w:r>
        <w:rPr>
          <w:rFonts w:hint="eastAsia" w:ascii="仿宋_GB2312" w:hAnsi="宋体" w:eastAsia="仿宋_GB2312"/>
          <w:sz w:val="28"/>
          <w:szCs w:val="28"/>
          <w:u w:val="single"/>
        </w:rPr>
        <w:t xml:space="preserve">  福建省宁化国有林场      </w:t>
      </w:r>
      <w:r>
        <w:rPr>
          <w:rFonts w:hint="eastAsia" w:ascii="仿宋_GB2312" w:hAnsi="宋体" w:eastAsia="仿宋_GB2312"/>
          <w:sz w:val="28"/>
          <w:szCs w:val="28"/>
        </w:rPr>
        <w:t xml:space="preserve"> （以下简称甲方）</w:t>
      </w:r>
    </w:p>
    <w:p>
      <w:pPr>
        <w:spacing w:line="480" w:lineRule="exact"/>
        <w:rPr>
          <w:rFonts w:ascii="仿宋_GB2312" w:hAnsi="宋体" w:eastAsia="仿宋_GB2312"/>
          <w:sz w:val="28"/>
          <w:szCs w:val="28"/>
        </w:rPr>
      </w:pPr>
      <w:r>
        <w:rPr>
          <w:rFonts w:hint="eastAsia" w:ascii="仿宋_GB2312" w:hAnsi="宋体" w:eastAsia="仿宋_GB2312"/>
          <w:sz w:val="28"/>
          <w:szCs w:val="28"/>
        </w:rPr>
        <w:t>供应方： （以下简称乙方）</w:t>
      </w:r>
    </w:p>
    <w:p>
      <w:pPr>
        <w:pStyle w:val="2"/>
        <w:tabs>
          <w:tab w:val="left" w:pos="5278"/>
        </w:tabs>
        <w:spacing w:line="440" w:lineRule="exact"/>
        <w:ind w:firstLine="560"/>
        <w:rPr>
          <w:rFonts w:ascii="仿宋_GB2312" w:hAnsi="宋体" w:eastAsia="仿宋_GB2312"/>
          <w:sz w:val="28"/>
          <w:szCs w:val="28"/>
        </w:rPr>
      </w:pPr>
      <w:r>
        <w:rPr>
          <w:rFonts w:hint="eastAsia" w:ascii="仿宋_GB2312" w:hAnsi="宋体" w:eastAsia="仿宋_GB2312"/>
          <w:sz w:val="28"/>
          <w:szCs w:val="28"/>
        </w:rPr>
        <w:t>甲方在福建沙县农村产权交易中心面向社会公开采购服务，乙方成交。经甲乙双方充分协商同意，签订本合同条款。</w:t>
      </w:r>
    </w:p>
    <w:p>
      <w:pPr>
        <w:autoSpaceDE w:val="0"/>
        <w:autoSpaceDN w:val="0"/>
        <w:adjustRightInd w:val="0"/>
        <w:spacing w:line="400" w:lineRule="exact"/>
        <w:rPr>
          <w:rFonts w:ascii="仿宋_GB2312" w:eastAsia="仿宋_GB2312" w:cs="宋体"/>
          <w:b/>
          <w:bCs/>
          <w:color w:val="000000"/>
          <w:sz w:val="32"/>
          <w:szCs w:val="32"/>
          <w:lang w:val="zh-CN"/>
        </w:rPr>
      </w:pPr>
      <w:r>
        <w:rPr>
          <w:rFonts w:hint="eastAsia" w:ascii="仿宋_GB2312" w:hAnsi="宋体" w:eastAsia="仿宋_GB2312"/>
          <w:b/>
          <w:bCs/>
          <w:sz w:val="28"/>
          <w:szCs w:val="28"/>
          <w:lang w:val="zh-CN"/>
        </w:rPr>
        <w:t>一、合同标的和价格</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1200"/>
        <w:gridCol w:w="1095"/>
        <w:gridCol w:w="2055"/>
        <w:gridCol w:w="1380"/>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spacing w:line="400" w:lineRule="exact"/>
              <w:jc w:val="center"/>
              <w:rPr>
                <w:rFonts w:ascii="宋体" w:hAnsi="宋体"/>
                <w:szCs w:val="21"/>
              </w:rPr>
            </w:pPr>
            <w:r>
              <w:rPr>
                <w:rFonts w:hint="eastAsia" w:ascii="宋体" w:hAnsi="宋体"/>
                <w:szCs w:val="21"/>
              </w:rPr>
              <w:t>采购标的</w:t>
            </w:r>
          </w:p>
        </w:tc>
        <w:tc>
          <w:tcPr>
            <w:tcW w:w="1200" w:type="dxa"/>
            <w:tcBorders>
              <w:right w:val="single" w:color="auto" w:sz="4" w:space="0"/>
            </w:tcBorders>
            <w:noWrap/>
          </w:tcPr>
          <w:p>
            <w:pPr>
              <w:widowControl/>
              <w:spacing w:line="400" w:lineRule="exact"/>
              <w:jc w:val="center"/>
              <w:rPr>
                <w:rFonts w:ascii="宋体" w:hAnsi="宋体" w:cs="宋体"/>
                <w:kern w:val="0"/>
                <w:szCs w:val="21"/>
              </w:rPr>
            </w:pPr>
            <w:r>
              <w:rPr>
                <w:rFonts w:hint="eastAsia" w:ascii="宋体" w:hAnsi="宋体" w:cs="宋体"/>
                <w:kern w:val="0"/>
                <w:szCs w:val="21"/>
              </w:rPr>
              <w:t>品牌</w:t>
            </w:r>
          </w:p>
        </w:tc>
        <w:tc>
          <w:tcPr>
            <w:tcW w:w="1095" w:type="dxa"/>
            <w:tcBorders>
              <w:left w:val="single" w:color="auto" w:sz="4" w:space="0"/>
            </w:tcBorders>
            <w:noWrap/>
          </w:tcPr>
          <w:p>
            <w:pPr>
              <w:widowControl/>
              <w:spacing w:line="400" w:lineRule="exact"/>
              <w:jc w:val="center"/>
              <w:rPr>
                <w:rFonts w:ascii="宋体" w:hAnsi="宋体" w:cs="宋体"/>
                <w:kern w:val="0"/>
                <w:szCs w:val="21"/>
              </w:rPr>
            </w:pPr>
            <w:r>
              <w:rPr>
                <w:rFonts w:hint="eastAsia" w:ascii="宋体" w:hAnsi="宋体" w:cs="宋体"/>
                <w:kern w:val="0"/>
                <w:szCs w:val="21"/>
              </w:rPr>
              <w:t>数量（吨）</w:t>
            </w:r>
          </w:p>
        </w:tc>
        <w:tc>
          <w:tcPr>
            <w:tcW w:w="2055" w:type="dxa"/>
            <w:noWrap/>
          </w:tcPr>
          <w:p>
            <w:pPr>
              <w:widowControl/>
              <w:spacing w:line="400" w:lineRule="exact"/>
              <w:jc w:val="center"/>
              <w:rPr>
                <w:rFonts w:ascii="宋体" w:hAnsi="宋体" w:cs="宋体"/>
                <w:kern w:val="0"/>
                <w:szCs w:val="21"/>
              </w:rPr>
            </w:pPr>
            <w:r>
              <w:rPr>
                <w:rFonts w:hint="eastAsia" w:ascii="宋体" w:hAnsi="宋体" w:cs="宋体"/>
                <w:kern w:val="0"/>
                <w:szCs w:val="21"/>
              </w:rPr>
              <w:t>规格型号</w:t>
            </w:r>
          </w:p>
        </w:tc>
        <w:tc>
          <w:tcPr>
            <w:tcW w:w="1380" w:type="dxa"/>
            <w:noWrap/>
          </w:tcPr>
          <w:p>
            <w:pPr>
              <w:widowControl/>
              <w:spacing w:line="400" w:lineRule="exact"/>
              <w:jc w:val="center"/>
              <w:rPr>
                <w:rFonts w:ascii="宋体" w:hAnsi="宋体" w:cs="宋体"/>
                <w:kern w:val="0"/>
                <w:szCs w:val="21"/>
              </w:rPr>
            </w:pPr>
            <w:r>
              <w:rPr>
                <w:rFonts w:hint="eastAsia" w:ascii="宋体" w:hAnsi="宋体" w:cs="宋体"/>
                <w:kern w:val="0"/>
                <w:szCs w:val="21"/>
              </w:rPr>
              <w:t>单价（元/吨）</w:t>
            </w:r>
          </w:p>
        </w:tc>
        <w:tc>
          <w:tcPr>
            <w:tcW w:w="1170" w:type="dxa"/>
            <w:noWrap/>
          </w:tcPr>
          <w:p>
            <w:pPr>
              <w:widowControl/>
              <w:spacing w:line="400" w:lineRule="exact"/>
              <w:jc w:val="center"/>
              <w:rPr>
                <w:rFonts w:ascii="宋体" w:hAnsi="宋体" w:cs="宋体"/>
                <w:kern w:val="0"/>
                <w:szCs w:val="21"/>
              </w:rPr>
            </w:pPr>
            <w:r>
              <w:rPr>
                <w:rFonts w:hint="eastAsia" w:ascii="宋体" w:hAnsi="宋体" w:cs="宋体"/>
                <w:kern w:val="0"/>
                <w:szCs w:val="21"/>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spacing w:line="400" w:lineRule="exact"/>
              <w:jc w:val="center"/>
              <w:rPr>
                <w:rFonts w:ascii="宋体" w:hAnsi="宋体"/>
                <w:sz w:val="18"/>
                <w:szCs w:val="18"/>
              </w:rPr>
            </w:pPr>
            <w:r>
              <w:rPr>
                <w:rFonts w:hint="eastAsia" w:ascii="宋体" w:hAnsi="宋体"/>
                <w:sz w:val="18"/>
                <w:szCs w:val="18"/>
                <w:lang w:eastAsia="zh-CN"/>
              </w:rPr>
              <w:t>高塔造粒</w:t>
            </w:r>
            <w:r>
              <w:rPr>
                <w:rFonts w:hint="eastAsia" w:ascii="宋体" w:hAnsi="宋体"/>
                <w:sz w:val="18"/>
                <w:szCs w:val="18"/>
              </w:rPr>
              <w:t>硫酸钾型复合肥</w:t>
            </w:r>
          </w:p>
        </w:tc>
        <w:tc>
          <w:tcPr>
            <w:tcW w:w="1200" w:type="dxa"/>
            <w:tcBorders>
              <w:right w:val="single" w:color="auto" w:sz="4" w:space="0"/>
            </w:tcBorders>
            <w:noWrap/>
          </w:tcPr>
          <w:p>
            <w:pPr>
              <w:widowControl/>
              <w:spacing w:line="400" w:lineRule="exact"/>
              <w:jc w:val="center"/>
              <w:rPr>
                <w:rFonts w:ascii="宋体" w:hAnsi="宋体" w:cs="宋体"/>
                <w:kern w:val="0"/>
                <w:sz w:val="18"/>
                <w:szCs w:val="18"/>
              </w:rPr>
            </w:pPr>
          </w:p>
        </w:tc>
        <w:tc>
          <w:tcPr>
            <w:tcW w:w="1095" w:type="dxa"/>
            <w:tcBorders>
              <w:left w:val="single" w:color="auto" w:sz="4" w:space="0"/>
            </w:tcBorders>
            <w:noWrap/>
          </w:tcPr>
          <w:p>
            <w:pPr>
              <w:widowControl/>
              <w:spacing w:line="400" w:lineRule="exact"/>
              <w:jc w:val="center"/>
              <w:rPr>
                <w:rFonts w:ascii="宋体" w:hAnsi="宋体" w:cs="宋体"/>
                <w:kern w:val="0"/>
                <w:sz w:val="18"/>
                <w:szCs w:val="18"/>
              </w:rPr>
            </w:pPr>
          </w:p>
        </w:tc>
        <w:tc>
          <w:tcPr>
            <w:tcW w:w="2055" w:type="dxa"/>
            <w:noWrap/>
          </w:tcPr>
          <w:p>
            <w:pPr>
              <w:widowControl/>
              <w:spacing w:line="400" w:lineRule="exact"/>
              <w:jc w:val="center"/>
              <w:rPr>
                <w:rFonts w:ascii="宋体" w:hAnsi="宋体" w:cs="宋体"/>
                <w:kern w:val="0"/>
                <w:sz w:val="18"/>
                <w:szCs w:val="18"/>
              </w:rPr>
            </w:pPr>
          </w:p>
        </w:tc>
        <w:tc>
          <w:tcPr>
            <w:tcW w:w="1380" w:type="dxa"/>
            <w:noWrap/>
          </w:tcPr>
          <w:p>
            <w:pPr>
              <w:widowControl/>
              <w:spacing w:line="400" w:lineRule="exact"/>
              <w:jc w:val="center"/>
              <w:rPr>
                <w:rFonts w:ascii="宋体" w:hAnsi="宋体" w:cs="宋体"/>
                <w:color w:val="FF0000"/>
                <w:kern w:val="0"/>
                <w:sz w:val="18"/>
                <w:szCs w:val="18"/>
              </w:rPr>
            </w:pPr>
          </w:p>
        </w:tc>
        <w:tc>
          <w:tcPr>
            <w:tcW w:w="1170" w:type="dxa"/>
            <w:noWrap/>
          </w:tcPr>
          <w:p>
            <w:pPr>
              <w:widowControl/>
              <w:spacing w:line="400" w:lineRule="exact"/>
              <w:jc w:val="center"/>
              <w:rPr>
                <w:rFonts w:ascii="宋体" w:hAnsi="宋体" w:cs="宋体"/>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spacing w:line="400" w:lineRule="exact"/>
              <w:jc w:val="center"/>
              <w:rPr>
                <w:rFonts w:hint="eastAsia" w:ascii="宋体" w:hAnsi="宋体" w:eastAsia="宋体"/>
                <w:szCs w:val="21"/>
                <w:lang w:eastAsia="zh-CN"/>
              </w:rPr>
            </w:pPr>
            <w:r>
              <w:rPr>
                <w:rFonts w:hint="eastAsia" w:ascii="宋体" w:hAnsi="宋体"/>
                <w:sz w:val="18"/>
                <w:szCs w:val="18"/>
                <w:lang w:eastAsia="zh-CN"/>
              </w:rPr>
              <w:t>普通</w:t>
            </w:r>
            <w:r>
              <w:rPr>
                <w:rFonts w:hint="eastAsia" w:ascii="宋体" w:hAnsi="宋体"/>
                <w:sz w:val="18"/>
                <w:szCs w:val="18"/>
              </w:rPr>
              <w:t>硫酸钾型复合肥</w:t>
            </w:r>
          </w:p>
        </w:tc>
        <w:tc>
          <w:tcPr>
            <w:tcW w:w="1200" w:type="dxa"/>
            <w:tcBorders>
              <w:right w:val="single" w:color="auto" w:sz="4" w:space="0"/>
            </w:tcBorders>
            <w:noWrap/>
          </w:tcPr>
          <w:p>
            <w:pPr>
              <w:widowControl/>
              <w:spacing w:line="400" w:lineRule="exact"/>
              <w:jc w:val="center"/>
              <w:rPr>
                <w:rFonts w:ascii="宋体" w:hAnsi="宋体" w:cs="宋体"/>
                <w:kern w:val="0"/>
                <w:szCs w:val="21"/>
              </w:rPr>
            </w:pPr>
          </w:p>
        </w:tc>
        <w:tc>
          <w:tcPr>
            <w:tcW w:w="1095" w:type="dxa"/>
            <w:tcBorders>
              <w:left w:val="single" w:color="auto" w:sz="4" w:space="0"/>
            </w:tcBorders>
            <w:noWrap/>
          </w:tcPr>
          <w:p>
            <w:pPr>
              <w:widowControl/>
              <w:spacing w:line="400" w:lineRule="exact"/>
              <w:jc w:val="center"/>
              <w:rPr>
                <w:rFonts w:ascii="宋体" w:hAnsi="宋体" w:cs="宋体"/>
                <w:kern w:val="0"/>
                <w:szCs w:val="21"/>
              </w:rPr>
            </w:pPr>
          </w:p>
        </w:tc>
        <w:tc>
          <w:tcPr>
            <w:tcW w:w="2055" w:type="dxa"/>
            <w:noWrap/>
          </w:tcPr>
          <w:p>
            <w:pPr>
              <w:widowControl/>
              <w:spacing w:line="400" w:lineRule="exact"/>
              <w:jc w:val="center"/>
              <w:rPr>
                <w:rFonts w:ascii="宋体" w:hAnsi="宋体" w:cs="宋体"/>
                <w:kern w:val="0"/>
                <w:szCs w:val="21"/>
              </w:rPr>
            </w:pPr>
          </w:p>
        </w:tc>
        <w:tc>
          <w:tcPr>
            <w:tcW w:w="1380" w:type="dxa"/>
            <w:noWrap/>
          </w:tcPr>
          <w:p>
            <w:pPr>
              <w:widowControl/>
              <w:spacing w:line="400" w:lineRule="exact"/>
              <w:jc w:val="center"/>
              <w:rPr>
                <w:rFonts w:ascii="宋体" w:hAnsi="宋体" w:cs="宋体"/>
                <w:color w:val="FF0000"/>
                <w:kern w:val="0"/>
                <w:szCs w:val="21"/>
              </w:rPr>
            </w:pPr>
          </w:p>
        </w:tc>
        <w:tc>
          <w:tcPr>
            <w:tcW w:w="1170" w:type="dxa"/>
            <w:noWrap/>
          </w:tcPr>
          <w:p>
            <w:pPr>
              <w:widowControl/>
              <w:spacing w:line="400" w:lineRule="exact"/>
              <w:jc w:val="center"/>
              <w:rPr>
                <w:rFonts w:ascii="宋体" w:hAnsi="宋体" w:cs="宋体"/>
                <w:color w:val="FF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spacing w:line="400" w:lineRule="exact"/>
              <w:jc w:val="center"/>
              <w:rPr>
                <w:rFonts w:ascii="宋体" w:hAnsi="宋体"/>
                <w:szCs w:val="21"/>
              </w:rPr>
            </w:pPr>
            <w:r>
              <w:rPr>
                <w:rFonts w:hint="eastAsia" w:ascii="宋体" w:hAnsi="宋体"/>
                <w:szCs w:val="21"/>
              </w:rPr>
              <w:t>钙镁磷肥</w:t>
            </w:r>
          </w:p>
        </w:tc>
        <w:tc>
          <w:tcPr>
            <w:tcW w:w="1200" w:type="dxa"/>
            <w:tcBorders>
              <w:right w:val="single" w:color="auto" w:sz="4" w:space="0"/>
            </w:tcBorders>
            <w:noWrap/>
          </w:tcPr>
          <w:p>
            <w:pPr>
              <w:widowControl/>
              <w:spacing w:line="400" w:lineRule="exact"/>
              <w:jc w:val="center"/>
              <w:rPr>
                <w:rFonts w:ascii="宋体" w:hAnsi="宋体" w:cs="宋体"/>
                <w:kern w:val="0"/>
                <w:szCs w:val="21"/>
              </w:rPr>
            </w:pPr>
          </w:p>
        </w:tc>
        <w:tc>
          <w:tcPr>
            <w:tcW w:w="1095" w:type="dxa"/>
            <w:tcBorders>
              <w:left w:val="single" w:color="auto" w:sz="4" w:space="0"/>
            </w:tcBorders>
            <w:noWrap/>
          </w:tcPr>
          <w:p>
            <w:pPr>
              <w:widowControl/>
              <w:spacing w:line="400" w:lineRule="exact"/>
              <w:jc w:val="center"/>
              <w:rPr>
                <w:rFonts w:ascii="宋体" w:hAnsi="宋体" w:cs="宋体"/>
                <w:kern w:val="0"/>
                <w:szCs w:val="21"/>
              </w:rPr>
            </w:pPr>
          </w:p>
        </w:tc>
        <w:tc>
          <w:tcPr>
            <w:tcW w:w="2055" w:type="dxa"/>
            <w:noWrap/>
          </w:tcPr>
          <w:p>
            <w:pPr>
              <w:widowControl/>
              <w:spacing w:line="400" w:lineRule="exact"/>
              <w:jc w:val="center"/>
              <w:rPr>
                <w:rFonts w:ascii="宋体" w:hAnsi="宋体" w:cs="宋体"/>
                <w:kern w:val="0"/>
                <w:szCs w:val="21"/>
              </w:rPr>
            </w:pPr>
          </w:p>
        </w:tc>
        <w:tc>
          <w:tcPr>
            <w:tcW w:w="1380" w:type="dxa"/>
            <w:noWrap/>
          </w:tcPr>
          <w:p>
            <w:pPr>
              <w:widowControl/>
              <w:spacing w:line="400" w:lineRule="exact"/>
              <w:jc w:val="center"/>
              <w:rPr>
                <w:rFonts w:ascii="宋体" w:hAnsi="宋体" w:cs="宋体"/>
                <w:color w:val="FF0000"/>
                <w:kern w:val="0"/>
                <w:szCs w:val="21"/>
              </w:rPr>
            </w:pPr>
          </w:p>
        </w:tc>
        <w:tc>
          <w:tcPr>
            <w:tcW w:w="1170" w:type="dxa"/>
            <w:noWrap/>
          </w:tcPr>
          <w:p>
            <w:pPr>
              <w:widowControl/>
              <w:spacing w:line="400" w:lineRule="exact"/>
              <w:jc w:val="center"/>
              <w:rPr>
                <w:rFonts w:ascii="宋体" w:hAnsi="宋体" w:cs="宋体"/>
                <w:color w:val="FF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spacing w:line="400" w:lineRule="exact"/>
              <w:jc w:val="center"/>
              <w:rPr>
                <w:rFonts w:ascii="宋体" w:hAnsi="宋体"/>
                <w:szCs w:val="21"/>
              </w:rPr>
            </w:pPr>
            <w:r>
              <w:rPr>
                <w:rFonts w:hint="eastAsia" w:ascii="宋体" w:hAnsi="宋体"/>
                <w:szCs w:val="21"/>
              </w:rPr>
              <w:t>合计</w:t>
            </w:r>
          </w:p>
        </w:tc>
        <w:tc>
          <w:tcPr>
            <w:tcW w:w="1200" w:type="dxa"/>
            <w:tcBorders>
              <w:right w:val="single" w:color="auto" w:sz="4" w:space="0"/>
            </w:tcBorders>
            <w:noWrap/>
          </w:tcPr>
          <w:p>
            <w:pPr>
              <w:widowControl/>
              <w:spacing w:line="400" w:lineRule="exact"/>
              <w:jc w:val="center"/>
              <w:rPr>
                <w:rFonts w:ascii="宋体" w:hAnsi="宋体" w:cs="宋体"/>
                <w:kern w:val="0"/>
                <w:szCs w:val="21"/>
              </w:rPr>
            </w:pPr>
          </w:p>
        </w:tc>
        <w:tc>
          <w:tcPr>
            <w:tcW w:w="1095" w:type="dxa"/>
            <w:tcBorders>
              <w:left w:val="single" w:color="auto" w:sz="4" w:space="0"/>
            </w:tcBorders>
            <w:noWrap/>
          </w:tcPr>
          <w:p>
            <w:pPr>
              <w:widowControl/>
              <w:spacing w:line="400" w:lineRule="exact"/>
              <w:jc w:val="center"/>
              <w:rPr>
                <w:rFonts w:ascii="宋体" w:hAnsi="宋体" w:cs="宋体"/>
                <w:kern w:val="0"/>
                <w:szCs w:val="21"/>
              </w:rPr>
            </w:pPr>
          </w:p>
        </w:tc>
        <w:tc>
          <w:tcPr>
            <w:tcW w:w="2055" w:type="dxa"/>
            <w:noWrap/>
          </w:tcPr>
          <w:p>
            <w:pPr>
              <w:widowControl/>
              <w:spacing w:line="400" w:lineRule="exact"/>
              <w:jc w:val="center"/>
              <w:rPr>
                <w:rFonts w:ascii="宋体" w:hAnsi="宋体" w:cs="宋体"/>
                <w:kern w:val="0"/>
                <w:szCs w:val="21"/>
              </w:rPr>
            </w:pPr>
          </w:p>
        </w:tc>
        <w:tc>
          <w:tcPr>
            <w:tcW w:w="1380" w:type="dxa"/>
            <w:noWrap/>
          </w:tcPr>
          <w:p>
            <w:pPr>
              <w:widowControl/>
              <w:spacing w:line="400" w:lineRule="exact"/>
              <w:jc w:val="center"/>
              <w:rPr>
                <w:rFonts w:ascii="宋体" w:hAnsi="宋体" w:cs="宋体"/>
                <w:color w:val="FF0000"/>
                <w:kern w:val="0"/>
                <w:szCs w:val="21"/>
              </w:rPr>
            </w:pPr>
          </w:p>
        </w:tc>
        <w:tc>
          <w:tcPr>
            <w:tcW w:w="1170" w:type="dxa"/>
            <w:noWrap/>
          </w:tcPr>
          <w:p>
            <w:pPr>
              <w:widowControl/>
              <w:spacing w:line="400" w:lineRule="exact"/>
              <w:jc w:val="center"/>
              <w:rPr>
                <w:rFonts w:ascii="宋体" w:hAnsi="宋体" w:cs="宋体"/>
                <w:color w:val="FF0000"/>
                <w:kern w:val="0"/>
                <w:szCs w:val="21"/>
              </w:rPr>
            </w:pPr>
          </w:p>
        </w:tc>
      </w:tr>
    </w:tbl>
    <w:p>
      <w:pPr>
        <w:spacing w:line="400" w:lineRule="exact"/>
        <w:rPr>
          <w:rFonts w:ascii="宋体" w:hAnsi="宋体"/>
          <w:szCs w:val="21"/>
        </w:rPr>
      </w:pPr>
      <w:r>
        <w:rPr>
          <w:rFonts w:hint="eastAsia" w:ascii="宋体" w:hAnsi="宋体"/>
          <w:szCs w:val="21"/>
        </w:rPr>
        <w:t>注：单价含税收、装车费、售后服务等一切费用。</w:t>
      </w:r>
    </w:p>
    <w:p>
      <w:pPr>
        <w:spacing w:line="400" w:lineRule="exact"/>
        <w:rPr>
          <w:rFonts w:ascii="仿宋_GB2312" w:hAnsi="宋体" w:eastAsia="仿宋_GB2312"/>
          <w:sz w:val="28"/>
          <w:szCs w:val="28"/>
        </w:rPr>
      </w:pPr>
      <w:r>
        <w:rPr>
          <w:rFonts w:hint="eastAsia" w:ascii="仿宋_GB2312" w:hAnsi="宋体" w:eastAsia="仿宋_GB2312"/>
          <w:b/>
          <w:bCs/>
          <w:sz w:val="28"/>
          <w:szCs w:val="28"/>
        </w:rPr>
        <w:t>二、交货地点：</w:t>
      </w:r>
      <w:r>
        <w:rPr>
          <w:rFonts w:hint="eastAsia" w:ascii="仿宋_GB2312" w:hAnsi="宋体" w:eastAsia="仿宋_GB2312"/>
          <w:sz w:val="28"/>
          <w:szCs w:val="28"/>
        </w:rPr>
        <w:t>甲方指定作业山场。</w:t>
      </w:r>
    </w:p>
    <w:p>
      <w:pPr>
        <w:spacing w:line="400" w:lineRule="exact"/>
        <w:rPr>
          <w:rFonts w:ascii="仿宋_GB2312" w:hAnsi="宋体" w:eastAsia="仿宋_GB2312"/>
          <w:sz w:val="28"/>
          <w:szCs w:val="28"/>
        </w:rPr>
      </w:pPr>
      <w:r>
        <w:rPr>
          <w:rFonts w:hint="eastAsia" w:ascii="仿宋_GB2312" w:hAnsi="宋体" w:eastAsia="仿宋_GB2312"/>
          <w:b/>
          <w:bCs/>
          <w:sz w:val="28"/>
          <w:szCs w:val="28"/>
        </w:rPr>
        <w:t>三、交货方式：</w:t>
      </w:r>
      <w:r>
        <w:rPr>
          <w:rFonts w:hint="eastAsia" w:ascii="仿宋_GB2312" w:hAnsi="宋体" w:eastAsia="仿宋_GB2312"/>
          <w:sz w:val="28"/>
          <w:szCs w:val="28"/>
        </w:rPr>
        <w:t>自甲乙双方签订合同之日起至2024年月日分期分批交货。</w:t>
      </w:r>
    </w:p>
    <w:p>
      <w:pPr>
        <w:spacing w:line="440" w:lineRule="exact"/>
        <w:jc w:val="left"/>
        <w:rPr>
          <w:rFonts w:ascii="仿宋_GB2312" w:hAnsi="宋体" w:eastAsia="仿宋_GB2312"/>
          <w:sz w:val="28"/>
          <w:szCs w:val="28"/>
        </w:rPr>
      </w:pPr>
      <w:r>
        <w:rPr>
          <w:rFonts w:hint="eastAsia" w:ascii="仿宋_GB2312" w:hAnsi="宋体" w:eastAsia="仿宋_GB2312"/>
          <w:b/>
          <w:bCs/>
          <w:sz w:val="28"/>
          <w:szCs w:val="28"/>
        </w:rPr>
        <w:t>四、使用时间和期限：</w:t>
      </w:r>
      <w:r>
        <w:rPr>
          <w:rFonts w:hint="eastAsia" w:ascii="仿宋_GB2312" w:hAnsi="宋体" w:eastAsia="仿宋_GB2312"/>
          <w:sz w:val="28"/>
          <w:szCs w:val="28"/>
        </w:rPr>
        <w:t>甲方至少提前1天通知，乙方必须按甲方通知的时间无条件配合装车、供货，使用期限至2024年月。</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五、产品质量及包装规格</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eastAsia="zh-CN"/>
        </w:rPr>
        <w:t>高塔造粒</w:t>
      </w:r>
      <w:r>
        <w:rPr>
          <w:rFonts w:hint="eastAsia" w:ascii="仿宋_GB2312" w:hAnsi="宋体" w:eastAsia="仿宋_GB2312"/>
          <w:sz w:val="28"/>
          <w:szCs w:val="28"/>
        </w:rPr>
        <w:t>硫酸钾型复合肥</w:t>
      </w:r>
      <w:r>
        <w:rPr>
          <w:rFonts w:hint="eastAsia" w:ascii="仿宋_GB2312" w:hAnsi="宋体" w:eastAsia="仿宋_GB2312"/>
          <w:sz w:val="28"/>
          <w:szCs w:val="28"/>
          <w:lang w:eastAsia="zh-CN"/>
        </w:rPr>
        <w:t>符合</w:t>
      </w:r>
      <w:r>
        <w:rPr>
          <w:rFonts w:hint="eastAsia" w:ascii="仿宋_GB2312" w:hAnsi="宋体" w:eastAsia="仿宋_GB2312"/>
          <w:sz w:val="28"/>
          <w:szCs w:val="28"/>
          <w:lang w:val="en-US" w:eastAsia="zh-CN"/>
        </w:rPr>
        <w:t>GB/15063-2020要求，</w:t>
      </w:r>
      <w:r>
        <w:rPr>
          <w:rFonts w:hint="eastAsia" w:ascii="仿宋_GB2312" w:hAnsi="宋体" w:eastAsia="仿宋_GB2312"/>
          <w:sz w:val="28"/>
          <w:szCs w:val="28"/>
        </w:rPr>
        <w:t>外观呈白色颗粒，无机械杂质；总养分（N+P2O5+K2O）≥45﹪(N≧15%:P2O5≧15%:K2O≧15%)</w:t>
      </w:r>
      <w:r>
        <w:rPr>
          <w:rFonts w:hint="eastAsia" w:ascii="仿宋_GB2312" w:hAnsi="宋体" w:eastAsia="仿宋_GB2312"/>
          <w:sz w:val="28"/>
          <w:szCs w:val="28"/>
          <w:lang w:eastAsia="zh-CN"/>
        </w:rPr>
        <w:t>，含硝态氮</w:t>
      </w:r>
      <w:r>
        <w:rPr>
          <w:rFonts w:hint="eastAsia" w:ascii="仿宋_GB2312" w:hAnsi="宋体" w:eastAsia="仿宋_GB2312"/>
          <w:sz w:val="28"/>
          <w:szCs w:val="28"/>
        </w:rPr>
        <w:t>≥</w:t>
      </w:r>
      <w:r>
        <w:rPr>
          <w:rFonts w:hint="eastAsia" w:ascii="仿宋_GB2312" w:hAnsi="宋体" w:eastAsia="仿宋_GB2312"/>
          <w:sz w:val="28"/>
          <w:szCs w:val="28"/>
          <w:lang w:val="en-US" w:eastAsia="zh-CN"/>
        </w:rPr>
        <w:t>7</w:t>
      </w:r>
      <w:r>
        <w:rPr>
          <w:rFonts w:hint="eastAsia" w:ascii="仿宋_GB2312" w:hAnsi="宋体" w:eastAsia="仿宋_GB2312"/>
          <w:sz w:val="28"/>
          <w:szCs w:val="28"/>
        </w:rPr>
        <w:t>﹪；包装规格：50±0.5公斤/包；产品技术要求、包装运输和贮存等符合复合肥料国家标准。</w:t>
      </w:r>
    </w:p>
    <w:p>
      <w:pPr>
        <w:spacing w:line="440" w:lineRule="exact"/>
        <w:ind w:firstLine="560" w:firstLineChars="200"/>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普通</w:t>
      </w:r>
      <w:r>
        <w:rPr>
          <w:rFonts w:hint="eastAsia" w:ascii="仿宋_GB2312" w:hAnsi="宋体" w:eastAsia="仿宋_GB2312"/>
          <w:sz w:val="28"/>
          <w:szCs w:val="28"/>
        </w:rPr>
        <w:t>硫酸钾型复合肥</w:t>
      </w:r>
      <w:r>
        <w:rPr>
          <w:rFonts w:hint="eastAsia" w:ascii="仿宋_GB2312" w:hAnsi="宋体" w:eastAsia="仿宋_GB2312"/>
          <w:sz w:val="28"/>
          <w:szCs w:val="28"/>
          <w:lang w:eastAsia="zh-CN"/>
        </w:rPr>
        <w:t>符合</w:t>
      </w:r>
      <w:r>
        <w:rPr>
          <w:rFonts w:hint="eastAsia" w:ascii="仿宋_GB2312" w:hAnsi="宋体" w:eastAsia="仿宋_GB2312"/>
          <w:sz w:val="28"/>
          <w:szCs w:val="28"/>
          <w:lang w:val="en-US" w:eastAsia="zh-CN"/>
        </w:rPr>
        <w:t>GB/15063-2020要求，</w:t>
      </w:r>
      <w:r>
        <w:rPr>
          <w:rFonts w:hint="eastAsia" w:ascii="仿宋_GB2312" w:hAnsi="宋体" w:eastAsia="仿宋_GB2312"/>
          <w:sz w:val="28"/>
          <w:szCs w:val="28"/>
        </w:rPr>
        <w:t>外观呈白色颗粒，无机械杂质；总养分（N+P2O5+K2O）≥45﹪(N≧15%:P2O5≧15%:K2O≧15%)；包装规格：50±0.5公斤/包；产品技术要求、包装运输和贮存等符合复合肥料国家标准。</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.钙镁磷肥外观呈灰色粉末，无机械杂质；有效磷含量≥12﹪；包装规格：25公斤/包；产品技术要求、包装运输和贮存等符合钙镁磷肥国家标准。</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六、验收：</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1.验收标准</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须按照中华人民共和国有关行业标准及项目公告中规定的技术指标、规格要求进行验收。产品质量应达到设计要求，各项指标和技术参数的安装调试应符合验收标准要求。</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2.验收方法</w:t>
      </w:r>
    </w:p>
    <w:p>
      <w:pPr>
        <w:spacing w:line="440" w:lineRule="exact"/>
        <w:ind w:firstLine="280" w:firstLineChars="100"/>
        <w:jc w:val="left"/>
        <w:rPr>
          <w:rFonts w:ascii="仿宋_GB2312" w:hAnsi="宋体" w:eastAsia="仿宋_GB2312"/>
          <w:sz w:val="28"/>
          <w:szCs w:val="28"/>
        </w:rPr>
      </w:pPr>
      <w:r>
        <w:rPr>
          <w:rFonts w:hint="eastAsia" w:ascii="仿宋_GB2312" w:hAnsi="宋体" w:eastAsia="仿宋_GB2312"/>
          <w:sz w:val="28"/>
          <w:szCs w:val="28"/>
        </w:rPr>
        <w:t>（1）应由生产厂家的质量检验部门进行检验，肥料的产品质量指标必须符合有关质监部门规定的质量指标；要求指标等级为合格品以上，且满足甲方使用要求，供货同时必须提供产品出厂检验合格证等相关资料。</w:t>
      </w:r>
    </w:p>
    <w:p>
      <w:pPr>
        <w:spacing w:line="440" w:lineRule="exact"/>
        <w:ind w:firstLine="280" w:firstLineChars="100"/>
        <w:jc w:val="left"/>
        <w:rPr>
          <w:rFonts w:ascii="仿宋_GB2312" w:hAnsi="宋体" w:eastAsia="仿宋_GB2312"/>
          <w:sz w:val="28"/>
          <w:szCs w:val="28"/>
        </w:rPr>
      </w:pPr>
      <w:r>
        <w:rPr>
          <w:rFonts w:hint="eastAsia" w:ascii="仿宋_GB2312" w:hAnsi="宋体" w:eastAsia="仿宋_GB2312"/>
          <w:sz w:val="28"/>
          <w:szCs w:val="28"/>
        </w:rPr>
        <w:t>（2）供货时甲方严格按照质量标准及指标要求进行验收，验收中有一项指标不符合标准要求的，甲方有权终止本合同。</w:t>
      </w:r>
    </w:p>
    <w:p>
      <w:pPr>
        <w:spacing w:line="440" w:lineRule="exact"/>
        <w:ind w:firstLine="280" w:firstLineChars="100"/>
        <w:jc w:val="left"/>
        <w:rPr>
          <w:rFonts w:ascii="仿宋_GB2312" w:hAnsi="宋体" w:eastAsia="仿宋_GB2312"/>
          <w:sz w:val="28"/>
          <w:szCs w:val="28"/>
        </w:rPr>
      </w:pPr>
      <w:r>
        <w:rPr>
          <w:rFonts w:hint="eastAsia" w:ascii="仿宋_GB2312" w:hAnsi="宋体" w:eastAsia="仿宋_GB2312"/>
          <w:sz w:val="28"/>
          <w:szCs w:val="28"/>
        </w:rPr>
        <w:t>（3）在使用过程中出现质量问题，乙方则无条件给予免费更换，并承担因此给甲方造成的一切经济损失。</w:t>
      </w:r>
    </w:p>
    <w:p>
      <w:pPr>
        <w:spacing w:line="440" w:lineRule="exact"/>
        <w:ind w:firstLine="280" w:firstLineChars="100"/>
        <w:jc w:val="left"/>
        <w:rPr>
          <w:rFonts w:ascii="仿宋_GB2312" w:hAnsi="宋体" w:eastAsia="仿宋_GB2312"/>
          <w:sz w:val="28"/>
          <w:szCs w:val="28"/>
        </w:rPr>
      </w:pPr>
      <w:r>
        <w:rPr>
          <w:rFonts w:hint="eastAsia" w:ascii="仿宋_GB2312" w:hAnsi="宋体" w:eastAsia="仿宋_GB2312"/>
          <w:sz w:val="28"/>
          <w:szCs w:val="28"/>
        </w:rPr>
        <w:t>（4）验收合格后，经双方授权代表在验收单上签字认定验收合格。验收清单一式二份，甲乙双方各执一份。</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七、质量保证</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1.按国家有关规定或厂家承诺实行“三包”（两者不同时，以条件优的为准），产品质量保质期不得少于壹年，质保期自双方代表在验收报告上签字之日起计算。</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2.乙方须提供肥料使用说明书、出产合格证、并确保产品有效期在一年以上。</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乙方需无偿提供肥料使用、存贮等技术指导，在质保期内，提供技术服务热线（24小时），负责解答用户在货物使用中遇到的问题，并及时提出解决问题的建议和操作方法。如有需要，乙方必须在24小时内到达现场并解决问题（节假日照常服务）。</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八、付款方式</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经甲方验收合格后，乙方开具验收数量的等额含税发票、肥料检测资质第三方检测机构出具的检测报告，甲方于15个工作日内予以付款结账。</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九、其他要求</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1.乙方逾期供货，应按照逾期供货金额的的每日 0.5 ‰支付逾期供货违约金。逾期供货10天以上，甲方有权单方解除本合同并要求乙方赔偿经济损失。履约保证金视乙方履约情况，待乙方履行合同完毕后无息返还。</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2.乙方供应的肥料若检验不合格或不符合采购合同约定的，甲方有权拒收，造成甲方经济损失的，乙方应承担赔偿责任。</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3.甲方逾期付款的（有正当拒付理由的除外）应按照逾期应付金额的每日 0.5‰支付逾付款违约金。</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4.乙方需做好肥料的库存。</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5.乙方负责其产品所涉及的有关项目的所有费用，包括生产、运输、保险、检验、售后服务以及其他相关费用。</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6.解决合同纠纷的处理方式：本合同在履行中若发生争议或纠纷，由甲乙双方友好协商解决，协商不成提交甲方所在地人民法院诉讼解决。</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十、不可抗力</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十一、合同纠纷的处理方式</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因本合同或与本合同有关的一切事项发生争议，由双方友好协商解决。</w:t>
      </w:r>
    </w:p>
    <w:p>
      <w:pPr>
        <w:spacing w:line="440" w:lineRule="exact"/>
        <w:jc w:val="left"/>
        <w:rPr>
          <w:rFonts w:ascii="仿宋_GB2312" w:hAnsi="宋体" w:eastAsia="仿宋_GB2312"/>
          <w:b/>
          <w:bCs/>
          <w:sz w:val="28"/>
          <w:szCs w:val="28"/>
        </w:rPr>
      </w:pPr>
      <w:r>
        <w:rPr>
          <w:rFonts w:hint="eastAsia" w:ascii="仿宋_GB2312" w:hAnsi="宋体" w:eastAsia="仿宋_GB2312"/>
          <w:b/>
          <w:bCs/>
          <w:sz w:val="28"/>
          <w:szCs w:val="28"/>
        </w:rPr>
        <w:t>十二、其他约定</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1.本合同未尽事宜，双方另行补充。</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2.本合同一式肆份，甲方执叁份，乙方执壹份。经双方授权代表签字并盖章后生效。</w:t>
      </w:r>
    </w:p>
    <w:p>
      <w:pPr>
        <w:spacing w:line="440" w:lineRule="exact"/>
        <w:jc w:val="left"/>
        <w:rPr>
          <w:rFonts w:ascii="仿宋_GB2312" w:hAnsi="宋体" w:eastAsia="仿宋_GB2312"/>
          <w:sz w:val="28"/>
          <w:szCs w:val="28"/>
        </w:rPr>
      </w:pPr>
    </w:p>
    <w:p>
      <w:pPr>
        <w:spacing w:line="440" w:lineRule="exact"/>
        <w:jc w:val="left"/>
        <w:rPr>
          <w:rFonts w:ascii="仿宋_GB2312" w:hAnsi="宋体" w:eastAsia="仿宋_GB2312"/>
          <w:sz w:val="28"/>
          <w:szCs w:val="28"/>
        </w:rPr>
      </w:pPr>
      <w:r>
        <w:rPr>
          <w:rFonts w:hint="eastAsia" w:ascii="仿宋_GB2312" w:hAnsi="宋体" w:eastAsia="仿宋_GB2312"/>
          <w:sz w:val="28"/>
          <w:szCs w:val="28"/>
        </w:rPr>
        <w:t>甲方（公章）:                       乙方（公章）：</w:t>
      </w:r>
    </w:p>
    <w:p>
      <w:pPr>
        <w:spacing w:line="440" w:lineRule="exact"/>
        <w:jc w:val="left"/>
        <w:rPr>
          <w:rFonts w:ascii="仿宋_GB2312" w:hAnsi="宋体" w:eastAsia="仿宋_GB2312"/>
          <w:sz w:val="28"/>
          <w:szCs w:val="28"/>
        </w:rPr>
      </w:pPr>
    </w:p>
    <w:p>
      <w:pPr>
        <w:spacing w:line="440" w:lineRule="exact"/>
        <w:jc w:val="left"/>
        <w:rPr>
          <w:rFonts w:ascii="仿宋_GB2312" w:hAnsi="宋体" w:eastAsia="仿宋_GB2312"/>
          <w:sz w:val="28"/>
          <w:szCs w:val="28"/>
        </w:rPr>
      </w:pPr>
      <w:r>
        <w:rPr>
          <w:rFonts w:hint="eastAsia" w:ascii="仿宋_GB2312" w:hAnsi="宋体" w:eastAsia="仿宋_GB2312"/>
          <w:sz w:val="28"/>
          <w:szCs w:val="28"/>
        </w:rPr>
        <w:t xml:space="preserve">法人代表：                          法人代表：   </w:t>
      </w:r>
    </w:p>
    <w:p>
      <w:pPr>
        <w:spacing w:line="440" w:lineRule="exact"/>
        <w:ind w:firstLine="560" w:firstLineChars="200"/>
        <w:jc w:val="left"/>
        <w:rPr>
          <w:rFonts w:ascii="仿宋_GB2312" w:hAnsi="宋体" w:eastAsia="仿宋_GB2312"/>
          <w:sz w:val="28"/>
          <w:szCs w:val="28"/>
        </w:rPr>
      </w:pPr>
    </w:p>
    <w:p>
      <w:pPr>
        <w:spacing w:line="440" w:lineRule="exact"/>
        <w:jc w:val="left"/>
        <w:rPr>
          <w:rFonts w:ascii="仿宋_GB2312" w:hAnsi="宋体" w:eastAsia="仿宋_GB2312"/>
          <w:sz w:val="28"/>
          <w:szCs w:val="28"/>
        </w:rPr>
      </w:pPr>
      <w:r>
        <w:rPr>
          <w:rFonts w:hint="eastAsia" w:ascii="仿宋_GB2312" w:hAnsi="宋体" w:eastAsia="仿宋_GB2312"/>
          <w:sz w:val="28"/>
          <w:szCs w:val="28"/>
        </w:rPr>
        <w:t xml:space="preserve"> 2023年  月  日</w:t>
      </w:r>
    </w:p>
    <w:p>
      <w:pPr>
        <w:pStyle w:val="3"/>
        <w:adjustRightInd w:val="0"/>
        <w:snapToGrid w:val="0"/>
        <w:spacing w:line="314" w:lineRule="exact"/>
        <w:rPr>
          <w:rFonts w:hAnsi="宋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ZjMTM3ODM0YzViNTQwMDcyMGJmNWU5N2MzNmI0YjQifQ=="/>
  </w:docVars>
  <w:rsids>
    <w:rsidRoot w:val="00E51FE2"/>
    <w:rsid w:val="00022CB2"/>
    <w:rsid w:val="000237F0"/>
    <w:rsid w:val="000348A8"/>
    <w:rsid w:val="0004001E"/>
    <w:rsid w:val="00046E6C"/>
    <w:rsid w:val="0005087F"/>
    <w:rsid w:val="00096A01"/>
    <w:rsid w:val="000A6F8F"/>
    <w:rsid w:val="000C2A36"/>
    <w:rsid w:val="000E44DA"/>
    <w:rsid w:val="00132D9E"/>
    <w:rsid w:val="00140627"/>
    <w:rsid w:val="0015241E"/>
    <w:rsid w:val="00153313"/>
    <w:rsid w:val="001806BE"/>
    <w:rsid w:val="001914F8"/>
    <w:rsid w:val="0019354C"/>
    <w:rsid w:val="001B1102"/>
    <w:rsid w:val="00201DA1"/>
    <w:rsid w:val="00204B8D"/>
    <w:rsid w:val="00222132"/>
    <w:rsid w:val="00236975"/>
    <w:rsid w:val="00262619"/>
    <w:rsid w:val="0026769C"/>
    <w:rsid w:val="002A4761"/>
    <w:rsid w:val="002C6497"/>
    <w:rsid w:val="0031625F"/>
    <w:rsid w:val="00333F67"/>
    <w:rsid w:val="0039456F"/>
    <w:rsid w:val="00395EBD"/>
    <w:rsid w:val="003A372E"/>
    <w:rsid w:val="003B43A0"/>
    <w:rsid w:val="003C52F4"/>
    <w:rsid w:val="003D0573"/>
    <w:rsid w:val="003D08F3"/>
    <w:rsid w:val="003D2DA7"/>
    <w:rsid w:val="003E2488"/>
    <w:rsid w:val="00400448"/>
    <w:rsid w:val="00413241"/>
    <w:rsid w:val="004200BF"/>
    <w:rsid w:val="00460326"/>
    <w:rsid w:val="004612BC"/>
    <w:rsid w:val="00462E4D"/>
    <w:rsid w:val="00477332"/>
    <w:rsid w:val="0049789B"/>
    <w:rsid w:val="004C2F58"/>
    <w:rsid w:val="004D3EBA"/>
    <w:rsid w:val="004E28EF"/>
    <w:rsid w:val="004F0116"/>
    <w:rsid w:val="004F61F3"/>
    <w:rsid w:val="00500412"/>
    <w:rsid w:val="00527F43"/>
    <w:rsid w:val="005A0499"/>
    <w:rsid w:val="005C3142"/>
    <w:rsid w:val="005F1487"/>
    <w:rsid w:val="00665BFA"/>
    <w:rsid w:val="006A2E49"/>
    <w:rsid w:val="006D45AC"/>
    <w:rsid w:val="006E1D29"/>
    <w:rsid w:val="006E575D"/>
    <w:rsid w:val="00704247"/>
    <w:rsid w:val="00730DF6"/>
    <w:rsid w:val="00762A01"/>
    <w:rsid w:val="00806601"/>
    <w:rsid w:val="00806C79"/>
    <w:rsid w:val="00816037"/>
    <w:rsid w:val="0083287D"/>
    <w:rsid w:val="008437C5"/>
    <w:rsid w:val="00845373"/>
    <w:rsid w:val="00884122"/>
    <w:rsid w:val="008A608F"/>
    <w:rsid w:val="008C2541"/>
    <w:rsid w:val="008C474A"/>
    <w:rsid w:val="008D3B6B"/>
    <w:rsid w:val="00932FF2"/>
    <w:rsid w:val="0095440E"/>
    <w:rsid w:val="009576DE"/>
    <w:rsid w:val="009641F2"/>
    <w:rsid w:val="0098240B"/>
    <w:rsid w:val="009D3B29"/>
    <w:rsid w:val="009F2020"/>
    <w:rsid w:val="009F39CC"/>
    <w:rsid w:val="009F71BE"/>
    <w:rsid w:val="00A21679"/>
    <w:rsid w:val="00AA3073"/>
    <w:rsid w:val="00AF18EA"/>
    <w:rsid w:val="00AF4ACD"/>
    <w:rsid w:val="00B10CC0"/>
    <w:rsid w:val="00B3566F"/>
    <w:rsid w:val="00B55A13"/>
    <w:rsid w:val="00B812A5"/>
    <w:rsid w:val="00BA5F44"/>
    <w:rsid w:val="00BB024C"/>
    <w:rsid w:val="00BD1C4A"/>
    <w:rsid w:val="00C40723"/>
    <w:rsid w:val="00C41C1E"/>
    <w:rsid w:val="00C749E1"/>
    <w:rsid w:val="00C872C3"/>
    <w:rsid w:val="00CB10D7"/>
    <w:rsid w:val="00CC2827"/>
    <w:rsid w:val="00CF2FE9"/>
    <w:rsid w:val="00DC42EA"/>
    <w:rsid w:val="00DD17C7"/>
    <w:rsid w:val="00DF5B50"/>
    <w:rsid w:val="00E001EF"/>
    <w:rsid w:val="00E210DB"/>
    <w:rsid w:val="00E34166"/>
    <w:rsid w:val="00E51FE2"/>
    <w:rsid w:val="00E55403"/>
    <w:rsid w:val="00E9413F"/>
    <w:rsid w:val="00F07639"/>
    <w:rsid w:val="00F23086"/>
    <w:rsid w:val="00F4632B"/>
    <w:rsid w:val="00F86744"/>
    <w:rsid w:val="00FA0D55"/>
    <w:rsid w:val="00FF212E"/>
    <w:rsid w:val="02A57801"/>
    <w:rsid w:val="02E76E45"/>
    <w:rsid w:val="042B1FE7"/>
    <w:rsid w:val="04BE5F85"/>
    <w:rsid w:val="05FC375F"/>
    <w:rsid w:val="0CD362D8"/>
    <w:rsid w:val="0DAD6BC9"/>
    <w:rsid w:val="116A2B4F"/>
    <w:rsid w:val="13856571"/>
    <w:rsid w:val="13E64E1B"/>
    <w:rsid w:val="144D4480"/>
    <w:rsid w:val="167E1DB3"/>
    <w:rsid w:val="171C78F4"/>
    <w:rsid w:val="1E2F2F6E"/>
    <w:rsid w:val="1FF81998"/>
    <w:rsid w:val="203E5DA7"/>
    <w:rsid w:val="27056F4B"/>
    <w:rsid w:val="2C1F31B7"/>
    <w:rsid w:val="41276A31"/>
    <w:rsid w:val="43A03775"/>
    <w:rsid w:val="45C03039"/>
    <w:rsid w:val="516275B8"/>
    <w:rsid w:val="551069E1"/>
    <w:rsid w:val="5A7F233C"/>
    <w:rsid w:val="5C7A6649"/>
    <w:rsid w:val="5C7B745F"/>
    <w:rsid w:val="6BA53BB1"/>
    <w:rsid w:val="71504A04"/>
    <w:rsid w:val="731955A9"/>
    <w:rsid w:val="79564CCB"/>
    <w:rsid w:val="7DFA7D8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华文中宋" w:hAnsi="华文中宋" w:eastAsia="华文中宋"/>
      <w:sz w:val="24"/>
    </w:rPr>
  </w:style>
  <w:style w:type="paragraph" w:styleId="3">
    <w:name w:val="Plain Text"/>
    <w:basedOn w:val="1"/>
    <w:link w:val="11"/>
    <w:qFormat/>
    <w:uiPriority w:val="0"/>
    <w:rPr>
      <w:rFonts w:ascii="宋体" w:hAnsi="Courier New"/>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纯文本 Char"/>
    <w:link w:val="3"/>
    <w:qFormat/>
    <w:uiPriority w:val="0"/>
    <w:rPr>
      <w:rFonts w:ascii="宋体" w:hAnsi="Courier New" w:eastAsia="宋体"/>
      <w:kern w:val="2"/>
      <w:sz w:val="21"/>
      <w:lang w:val="en-US" w:eastAsia="zh-CN" w:bidi="ar-SA"/>
    </w:rPr>
  </w:style>
  <w:style w:type="character" w:customStyle="1" w:styleId="12">
    <w:name w:val="批注框文本 Char"/>
    <w:basedOn w:val="9"/>
    <w:link w:val="4"/>
    <w:qFormat/>
    <w:uiPriority w:val="0"/>
    <w:rPr>
      <w:kern w:val="2"/>
      <w:sz w:val="18"/>
      <w:szCs w:val="18"/>
    </w:rPr>
  </w:style>
  <w:style w:type="paragraph" w:customStyle="1" w:styleId="13">
    <w:name w:val="p0"/>
    <w:basedOn w:val="1"/>
    <w:qFormat/>
    <w:uiPriority w:val="0"/>
    <w:pPr>
      <w:widowControl/>
    </w:pPr>
    <w:rPr>
      <w:kern w:val="0"/>
      <w:szCs w:val="21"/>
    </w:rPr>
  </w:style>
  <w:style w:type="paragraph" w:customStyle="1" w:styleId="14">
    <w:name w:val="Char"/>
    <w:basedOn w:val="1"/>
    <w:qFormat/>
    <w:uiPriority w:val="0"/>
    <w:rPr>
      <w:rFonts w:ascii="Tahoma" w:hAnsi="Tahoma" w:eastAsia="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3</Pages>
  <Words>291</Words>
  <Characters>1660</Characters>
  <Lines>13</Lines>
  <Paragraphs>3</Paragraphs>
  <TotalTime>2</TotalTime>
  <ScaleCrop>false</ScaleCrop>
  <LinksUpToDate>false</LinksUpToDate>
  <CharactersWithSpaces>1948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2020-09-27T02:35:00Z</dcterms:created>
  <dc:creator>admin</dc:creator>
  <cp:lastModifiedBy>芳草心</cp:lastModifiedBy>
  <cp:lastPrinted>2020-05-20T06:45:00Z</cp:lastPrinted>
  <dcterms:modified xsi:type="dcterms:W3CDTF">2023-11-13T07:59:12Z</dcterms:modified>
  <dc:title>53%高塔复合肥采购合同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611BE514709948CAB18AD8BED9927CCA</vt:lpwstr>
  </property>
</Properties>
</file>