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B3A" w:rsidRDefault="00D22B3A" w:rsidP="00D22B3A">
      <w:pPr>
        <w:pStyle w:val="a4"/>
        <w:rPr>
          <w:rFonts w:ascii="仿宋_GB2312"/>
        </w:rPr>
      </w:pPr>
    </w:p>
    <w:p w:rsidR="00D22B3A" w:rsidRDefault="00D22B3A" w:rsidP="00D22B3A">
      <w:pPr>
        <w:pStyle w:val="a4"/>
        <w:jc w:val="center"/>
        <w:rPr>
          <w:rFonts w:ascii="仿宋_GB2312"/>
        </w:rPr>
      </w:pPr>
    </w:p>
    <w:p w:rsidR="00D22B3A" w:rsidRDefault="00E23BF0" w:rsidP="00D22B3A">
      <w:pPr>
        <w:pStyle w:val="a4"/>
        <w:jc w:val="center"/>
        <w:rPr>
          <w:rFonts w:ascii="仿宋_GB2312"/>
        </w:rPr>
      </w:pPr>
      <w:bookmarkStart w:id="0" w:name="fwjg"/>
      <w:r>
        <w:rPr>
          <w:rFonts w:ascii="仿宋_GB23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8" o:spid="_x0000_s1027" type="#_x0000_t136" style="position:absolute;left:0;text-align:left;margin-left:6.8pt;margin-top:-30pt;width:425.2pt;height:51pt;z-index:251661312;mso-wrap-style:square" fillcolor="red" stroked="f">
            <v:shadow color="#868686"/>
            <v:textpath style="font-family:&quot;宋体&quot;;font-weight:bold" trim="t" string="福建省公路管理局文件"/>
          </v:shape>
        </w:pict>
      </w:r>
      <w:bookmarkEnd w:id="0"/>
    </w:p>
    <w:p w:rsidR="00D22B3A" w:rsidRDefault="00D22B3A" w:rsidP="00D22B3A">
      <w:pPr>
        <w:pStyle w:val="a4"/>
        <w:jc w:val="center"/>
        <w:rPr>
          <w:rFonts w:ascii="仿宋_GB2312"/>
        </w:rPr>
      </w:pPr>
    </w:p>
    <w:p w:rsidR="00D22B3A" w:rsidRDefault="00D22B3A" w:rsidP="00D22B3A">
      <w:pPr>
        <w:pStyle w:val="a4"/>
        <w:jc w:val="center"/>
        <w:rPr>
          <w:rFonts w:ascii="仿宋_GB2312"/>
        </w:rPr>
      </w:pPr>
      <w:r>
        <w:rPr>
          <w:rFonts w:ascii="仿宋_GB2312" w:hint="eastAsia"/>
        </w:rPr>
        <w:t>闽路建〔２０１９〕２５号</w:t>
      </w:r>
    </w:p>
    <w:p w:rsidR="00D22B3A" w:rsidRDefault="00E23BF0" w:rsidP="00D22B3A">
      <w:pPr>
        <w:pStyle w:val="a7"/>
      </w:pPr>
      <w:bookmarkStart w:id="1" w:name="hx"/>
      <w:r w:rsidRPr="00E23BF0">
        <w:rPr>
          <w:rFonts w:ascii="仿宋_GB2312"/>
        </w:rPr>
        <w:pict>
          <v:line id="直线 9" o:spid="_x0000_s1026" style="position:absolute;left:0;text-align:left;z-index:251660288;mso-wrap-style:square" from="1.05pt,15.75pt" to="441.85pt,15.75pt" strokecolor="red" strokeweight="3pt"/>
        </w:pict>
      </w:r>
      <w:bookmarkEnd w:id="1"/>
    </w:p>
    <w:p w:rsidR="00D22B3A" w:rsidRDefault="00D22B3A" w:rsidP="00D22B3A">
      <w:pPr>
        <w:pStyle w:val="a7"/>
      </w:pPr>
    </w:p>
    <w:p w:rsidR="00D22B3A" w:rsidRDefault="00D22B3A" w:rsidP="00D22B3A">
      <w:pPr>
        <w:pStyle w:val="a7"/>
        <w:spacing w:line="700" w:lineRule="exact"/>
        <w:rPr>
          <w:rFonts w:eastAsia="宋体"/>
          <w:sz w:val="44"/>
          <w:szCs w:val="44"/>
        </w:rPr>
      </w:pPr>
      <w:r>
        <w:rPr>
          <w:rFonts w:ascii="方正小标宋简体" w:eastAsia="方正小标宋简体" w:hint="eastAsia"/>
          <w:sz w:val="44"/>
          <w:szCs w:val="44"/>
        </w:rPr>
        <w:t>福建省公路管理局关于印发《福建省普通国省干线公路建设项目从业单位信用考核综合评分办法（2019年修订）》的通知</w:t>
      </w:r>
    </w:p>
    <w:p w:rsidR="00D22B3A" w:rsidRDefault="00D22B3A" w:rsidP="00D22B3A">
      <w:pPr>
        <w:pStyle w:val="a8"/>
        <w:rPr>
          <w:vanish w:val="0"/>
        </w:rPr>
      </w:pPr>
    </w:p>
    <w:p w:rsidR="00D22B3A" w:rsidRDefault="00D22B3A" w:rsidP="00D22B3A">
      <w:pPr>
        <w:pStyle w:val="a8"/>
        <w:rPr>
          <w:rFonts w:ascii="仿宋_GB2312"/>
          <w:vanish w:val="0"/>
        </w:rPr>
      </w:pPr>
      <w:r>
        <w:rPr>
          <w:rFonts w:ascii="仿宋_GB2312" w:hint="eastAsia"/>
          <w:vanish w:val="0"/>
        </w:rPr>
        <w:t>各设区市（区）交通运输局：</w:t>
      </w:r>
    </w:p>
    <w:p w:rsidR="00D22B3A" w:rsidRDefault="00D22B3A" w:rsidP="00D22B3A">
      <w:pPr>
        <w:pStyle w:val="a6"/>
        <w:ind w:firstLine="640"/>
        <w:jc w:val="both"/>
        <w:rPr>
          <w:rFonts w:hAnsi="宋体" w:cs="宋体"/>
          <w:kern w:val="0"/>
        </w:rPr>
      </w:pPr>
      <w:r>
        <w:rPr>
          <w:rFonts w:hint="eastAsia"/>
        </w:rPr>
        <w:t>为进一步做好我省国省干线公路建设项目的信用考核工作，2019年以来，我局在充分征求各设区市交通主管部门意见及分析总结以往经验的基础上，组织相关单位</w:t>
      </w:r>
      <w:r>
        <w:rPr>
          <w:rFonts w:hAnsi="宋体" w:cs="宋体" w:hint="eastAsia"/>
          <w:kern w:val="0"/>
        </w:rPr>
        <w:t>对普通国省干线公路建设项目的施工、监理、勘察设计及建设单位信用考核综合评分办法进行</w:t>
      </w:r>
      <w:r>
        <w:rPr>
          <w:rFonts w:hint="eastAsia"/>
        </w:rPr>
        <w:t>专家评审</w:t>
      </w:r>
      <w:r>
        <w:rPr>
          <w:rFonts w:hAnsi="宋体" w:cs="宋体" w:hint="eastAsia"/>
          <w:kern w:val="0"/>
        </w:rPr>
        <w:t>并修改补充完善，经研究，现将已修订的《福建省普通国省干线公路建设项目从业单位信用考核综合评分办法（</w:t>
      </w:r>
      <w:r>
        <w:rPr>
          <w:rFonts w:hAnsi="宋体" w:cs="宋体"/>
          <w:kern w:val="0"/>
        </w:rPr>
        <w:t>201</w:t>
      </w:r>
      <w:r>
        <w:rPr>
          <w:rFonts w:hAnsi="宋体" w:cs="宋体" w:hint="eastAsia"/>
          <w:kern w:val="0"/>
        </w:rPr>
        <w:t>9</w:t>
      </w:r>
      <w:r>
        <w:rPr>
          <w:rFonts w:hAnsi="宋体" w:cs="宋体"/>
          <w:kern w:val="0"/>
        </w:rPr>
        <w:t>年</w:t>
      </w:r>
      <w:r>
        <w:rPr>
          <w:rFonts w:hAnsi="宋体" w:cs="宋体" w:hint="eastAsia"/>
          <w:kern w:val="0"/>
        </w:rPr>
        <w:t>修订</w:t>
      </w:r>
      <w:r>
        <w:rPr>
          <w:rFonts w:hAnsi="宋体" w:cs="宋体"/>
          <w:kern w:val="0"/>
        </w:rPr>
        <w:t>）</w:t>
      </w:r>
      <w:r>
        <w:rPr>
          <w:rFonts w:hAnsi="宋体" w:cs="宋体" w:hint="eastAsia"/>
          <w:kern w:val="0"/>
        </w:rPr>
        <w:t>》印发给你们，请认真贯彻</w:t>
      </w:r>
      <w:r>
        <w:rPr>
          <w:rFonts w:hAnsi="宋体" w:cs="宋体"/>
          <w:kern w:val="0"/>
        </w:rPr>
        <w:t>执行。</w:t>
      </w:r>
    </w:p>
    <w:p w:rsidR="00D22B3A" w:rsidRDefault="00D22B3A" w:rsidP="00D22B3A">
      <w:pPr>
        <w:pStyle w:val="a6"/>
        <w:ind w:firstLine="640"/>
        <w:rPr>
          <w:szCs w:val="36"/>
        </w:rPr>
      </w:pPr>
      <w:r>
        <w:rPr>
          <w:rFonts w:hAnsi="宋体" w:cs="宋体" w:hint="eastAsia"/>
          <w:kern w:val="0"/>
        </w:rPr>
        <w:t>各有关单位在</w:t>
      </w:r>
      <w:r>
        <w:rPr>
          <w:rFonts w:hAnsi="宋体" w:cs="宋体"/>
          <w:kern w:val="0"/>
        </w:rPr>
        <w:t>执行过程中</w:t>
      </w:r>
      <w:r>
        <w:rPr>
          <w:rFonts w:hAnsi="宋体" w:cs="宋体" w:hint="eastAsia"/>
          <w:kern w:val="0"/>
        </w:rPr>
        <w:t>发现的问题和建议，请</w:t>
      </w:r>
      <w:r>
        <w:rPr>
          <w:rFonts w:hAnsi="宋体" w:cs="宋体"/>
          <w:kern w:val="0"/>
        </w:rPr>
        <w:t>及时反馈我局</w:t>
      </w:r>
      <w:r>
        <w:rPr>
          <w:rFonts w:hAnsi="宋体" w:cs="宋体" w:hint="eastAsia"/>
          <w:kern w:val="0"/>
        </w:rPr>
        <w:t>建管处，</w:t>
      </w:r>
      <w:r>
        <w:rPr>
          <w:rFonts w:hAnsi="宋体" w:cs="宋体"/>
          <w:kern w:val="0"/>
        </w:rPr>
        <w:t>联系</w:t>
      </w:r>
      <w:r>
        <w:rPr>
          <w:rFonts w:hAnsi="宋体" w:cs="宋体" w:hint="eastAsia"/>
          <w:kern w:val="0"/>
        </w:rPr>
        <w:t>人</w:t>
      </w:r>
      <w:r>
        <w:rPr>
          <w:szCs w:val="36"/>
        </w:rPr>
        <w:t>：</w:t>
      </w:r>
      <w:r>
        <w:rPr>
          <w:rFonts w:hint="eastAsia"/>
          <w:szCs w:val="36"/>
        </w:rPr>
        <w:t>刘斌，电话：</w:t>
      </w:r>
      <w:r>
        <w:rPr>
          <w:szCs w:val="36"/>
        </w:rPr>
        <w:t>0591-8707</w:t>
      </w:r>
      <w:r>
        <w:rPr>
          <w:rFonts w:hint="eastAsia"/>
          <w:szCs w:val="36"/>
        </w:rPr>
        <w:t>8211。</w:t>
      </w:r>
    </w:p>
    <w:p w:rsidR="00D22B3A" w:rsidRDefault="00D22B3A" w:rsidP="00D22B3A">
      <w:pPr>
        <w:snapToGrid w:val="0"/>
        <w:spacing w:line="300" w:lineRule="auto"/>
        <w:jc w:val="center"/>
        <w:rPr>
          <w:rFonts w:ascii="宋体" w:hAnsi="宋体"/>
          <w:b/>
          <w:bCs/>
          <w:sz w:val="38"/>
          <w:szCs w:val="38"/>
        </w:rPr>
      </w:pPr>
      <w:r>
        <w:rPr>
          <w:rFonts w:hint="eastAsia"/>
          <w:szCs w:val="36"/>
        </w:rPr>
        <w:br w:type="page"/>
      </w:r>
      <w:r>
        <w:rPr>
          <w:rFonts w:ascii="宋体" w:hAnsi="宋体" w:hint="eastAsia"/>
          <w:b/>
          <w:bCs/>
          <w:sz w:val="38"/>
          <w:szCs w:val="38"/>
        </w:rPr>
        <w:lastRenderedPageBreak/>
        <w:t>福建省普通国省干线公路建设项目从业单位</w:t>
      </w:r>
    </w:p>
    <w:p w:rsidR="00D22B3A" w:rsidRDefault="00D22B3A" w:rsidP="00D22B3A">
      <w:pPr>
        <w:snapToGrid w:val="0"/>
        <w:spacing w:line="300" w:lineRule="auto"/>
        <w:jc w:val="center"/>
        <w:rPr>
          <w:rFonts w:ascii="宋体" w:hAnsi="宋体"/>
          <w:b/>
          <w:bCs/>
          <w:sz w:val="38"/>
          <w:szCs w:val="38"/>
        </w:rPr>
      </w:pPr>
      <w:r>
        <w:rPr>
          <w:rFonts w:ascii="宋体" w:hAnsi="宋体" w:hint="eastAsia"/>
          <w:b/>
          <w:bCs/>
          <w:sz w:val="38"/>
          <w:szCs w:val="38"/>
        </w:rPr>
        <w:t>信用考核综合评分办法</w:t>
      </w:r>
    </w:p>
    <w:p w:rsidR="00D22B3A" w:rsidRDefault="00D22B3A" w:rsidP="00D22B3A">
      <w:pPr>
        <w:spacing w:line="500" w:lineRule="exact"/>
        <w:jc w:val="center"/>
        <w:rPr>
          <w:rFonts w:ascii="楷体_GB2312" w:eastAsia="楷体_GB2312" w:hAnsi="宋体"/>
          <w:bCs/>
          <w:sz w:val="36"/>
          <w:szCs w:val="36"/>
        </w:rPr>
      </w:pPr>
      <w:r>
        <w:rPr>
          <w:rFonts w:ascii="楷体_GB2312" w:eastAsia="楷体_GB2312" w:hAnsi="宋体" w:hint="eastAsia"/>
          <w:bCs/>
          <w:sz w:val="36"/>
          <w:szCs w:val="36"/>
        </w:rPr>
        <w:t>（2019年修订）</w:t>
      </w:r>
    </w:p>
    <w:p w:rsidR="00D22B3A" w:rsidRDefault="00D22B3A" w:rsidP="00E23BF0">
      <w:pPr>
        <w:tabs>
          <w:tab w:val="left" w:pos="1620"/>
        </w:tabs>
        <w:adjustRightInd w:val="0"/>
        <w:snapToGrid w:val="0"/>
        <w:spacing w:beforeLines="100" w:afterLines="100" w:line="360" w:lineRule="auto"/>
        <w:jc w:val="center"/>
        <w:rPr>
          <w:rFonts w:ascii="宋体" w:hAnsi="宋体"/>
          <w:sz w:val="30"/>
          <w:szCs w:val="30"/>
        </w:rPr>
      </w:pPr>
      <w:r>
        <w:rPr>
          <w:rFonts w:ascii="宋体" w:hAnsi="宋体" w:hint="eastAsia"/>
          <w:b/>
          <w:bCs/>
          <w:sz w:val="30"/>
          <w:szCs w:val="30"/>
        </w:rPr>
        <w:t>第一章   总 则</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rPr>
          <w:rFonts w:ascii="仿宋_GB2312" w:eastAsia="仿宋_GB2312"/>
          <w:sz w:val="30"/>
          <w:szCs w:val="30"/>
        </w:rPr>
      </w:pPr>
      <w:r>
        <w:rPr>
          <w:rFonts w:ascii="仿宋_GB2312" w:eastAsia="仿宋_GB2312" w:hint="eastAsia"/>
          <w:sz w:val="30"/>
          <w:szCs w:val="30"/>
        </w:rPr>
        <w:t xml:space="preserve">  为进一步规范我省普通国省干线公路（以下简称“干线项目”）建设市场的信用考核工作，推进市场信用体系建设，维护市场秩序，根据《福建省交通建设市场信用考核管理办法》有关规定及我省普通公路管理实际，特制定本办法。</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rPr>
          <w:rFonts w:ascii="仿宋_GB2312" w:eastAsia="仿宋_GB2312"/>
          <w:sz w:val="30"/>
          <w:szCs w:val="30"/>
        </w:rPr>
      </w:pPr>
      <w:r>
        <w:rPr>
          <w:rFonts w:ascii="仿宋_GB2312" w:eastAsia="仿宋_GB2312" w:hint="eastAsia"/>
          <w:sz w:val="30"/>
          <w:szCs w:val="30"/>
        </w:rPr>
        <w:t xml:space="preserve">  本办法适用于干线项目的施工、监理、勘察设计、建设单位（以下统称“从业单位”）及其主要人员的信用考核。</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200" w:firstLine="600"/>
        <w:jc w:val="lef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b/>
          <w:bCs/>
          <w:sz w:val="30"/>
          <w:szCs w:val="30"/>
        </w:rPr>
        <w:t>列入信用考核的干线项目按照省厅规定划分类别并组织考核。</w:t>
      </w:r>
      <w:r>
        <w:rPr>
          <w:rFonts w:ascii="仿宋_GB2312" w:eastAsia="仿宋_GB2312" w:hint="eastAsia"/>
          <w:sz w:val="30"/>
          <w:szCs w:val="30"/>
        </w:rPr>
        <w:t>其他计划外的项目拟申请纳入信用考核的，由各县交通主管部门报市、省逐级</w:t>
      </w:r>
      <w:r>
        <w:rPr>
          <w:rFonts w:ascii="仿宋_GB2312" w:eastAsia="仿宋_GB2312" w:hint="eastAsia"/>
          <w:b/>
          <w:bCs/>
          <w:sz w:val="30"/>
          <w:szCs w:val="30"/>
        </w:rPr>
        <w:t>审核。</w:t>
      </w:r>
    </w:p>
    <w:p w:rsidR="00D22B3A" w:rsidRDefault="00D22B3A" w:rsidP="00E23BF0">
      <w:pPr>
        <w:numPr>
          <w:ilvl w:val="0"/>
          <w:numId w:val="1"/>
        </w:numPr>
        <w:tabs>
          <w:tab w:val="clear" w:pos="2625"/>
          <w:tab w:val="left" w:pos="0"/>
          <w:tab w:val="left" w:pos="1560"/>
        </w:tabs>
        <w:adjustRightInd w:val="0"/>
        <w:snapToGrid w:val="0"/>
        <w:spacing w:line="360" w:lineRule="auto"/>
        <w:ind w:left="0" w:firstLineChars="189" w:firstLine="567"/>
        <w:rPr>
          <w:rFonts w:ascii="仿宋_GB2312" w:eastAsia="仿宋_GB2312"/>
          <w:sz w:val="30"/>
          <w:szCs w:val="30"/>
        </w:rPr>
      </w:pPr>
      <w:r>
        <w:rPr>
          <w:rFonts w:ascii="仿宋_GB2312" w:eastAsia="仿宋_GB2312" w:hint="eastAsia"/>
          <w:b/>
          <w:bCs/>
          <w:sz w:val="30"/>
          <w:szCs w:val="30"/>
        </w:rPr>
        <w:t xml:space="preserve"> 修订后的信用考核综合评分办法应及时印发执行，并公布在相关门户网站上。</w:t>
      </w:r>
    </w:p>
    <w:p w:rsidR="00D22B3A" w:rsidRDefault="00D22B3A" w:rsidP="00E23BF0">
      <w:pPr>
        <w:tabs>
          <w:tab w:val="left" w:pos="1620"/>
        </w:tabs>
        <w:adjustRightInd w:val="0"/>
        <w:snapToGrid w:val="0"/>
        <w:spacing w:beforeLines="100" w:afterLines="100" w:line="360" w:lineRule="auto"/>
        <w:jc w:val="center"/>
        <w:rPr>
          <w:rFonts w:ascii="宋体" w:hAnsi="宋体"/>
          <w:b/>
          <w:bCs/>
          <w:sz w:val="30"/>
          <w:szCs w:val="30"/>
        </w:rPr>
      </w:pPr>
      <w:r>
        <w:rPr>
          <w:rFonts w:ascii="宋体" w:hAnsi="宋体" w:hint="eastAsia"/>
          <w:b/>
          <w:bCs/>
          <w:sz w:val="30"/>
          <w:szCs w:val="30"/>
        </w:rPr>
        <w:lastRenderedPageBreak/>
        <w:t>第二章  分工与职责</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 xml:space="preserve">  省公路管理局(以下简称“省公路局”)负责制定信用考核综合评分办法，指导市级交通运输主管部门组织开展市级信用考核工作，组织开展职责范围内全省干线项目从业单位及主要人员的省级信用考核工作，并将信用评分上报省交通运输厅。</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rPr>
          <w:rFonts w:ascii="仿宋_GB2312" w:eastAsia="仿宋_GB2312"/>
          <w:sz w:val="30"/>
          <w:szCs w:val="30"/>
        </w:rPr>
      </w:pPr>
      <w:r>
        <w:rPr>
          <w:rFonts w:ascii="仿宋_GB2312" w:eastAsia="仿宋_GB2312" w:hint="eastAsia"/>
          <w:sz w:val="30"/>
          <w:szCs w:val="30"/>
        </w:rPr>
        <w:t xml:space="preserve">  各设区市交通运输主管部门负责组织开展辖区内干线项目的市级信用考核工作，建立辖区内干线项目从业单位及主要人员信用档案；指导辖区内县级交通运输主管部门开展干线项目从业单位及主要人员考核、登记等工作。</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rPr>
          <w:rFonts w:ascii="仿宋_GB2312" w:eastAsia="仿宋_GB2312"/>
          <w:sz w:val="30"/>
          <w:szCs w:val="30"/>
        </w:rPr>
      </w:pPr>
      <w:r>
        <w:rPr>
          <w:rFonts w:ascii="仿宋_GB2312" w:eastAsia="仿宋_GB2312" w:hint="eastAsia"/>
          <w:sz w:val="30"/>
          <w:szCs w:val="30"/>
        </w:rPr>
        <w:t xml:space="preserve">  县级交通运输主管部门负责其辖区内干线项目的县级信用考核工作，建立辖区内干线项目从业单位及主要人员信用档案。每月对辖区内在建干线项目开展一次全面普查工作，检查情况作为信用考评依据,并督促各参建单位将考评资料上传至“福建省普通国省干线公路建设项目信用考核内业资料管理平台”。</w:t>
      </w:r>
    </w:p>
    <w:p w:rsidR="00D22B3A" w:rsidRDefault="00D22B3A" w:rsidP="00E23BF0">
      <w:pPr>
        <w:tabs>
          <w:tab w:val="left" w:pos="1620"/>
        </w:tabs>
        <w:adjustRightInd w:val="0"/>
        <w:snapToGrid w:val="0"/>
        <w:spacing w:beforeLines="100" w:afterLines="100" w:line="360" w:lineRule="auto"/>
        <w:jc w:val="center"/>
        <w:rPr>
          <w:rFonts w:ascii="宋体" w:hAnsi="宋体"/>
          <w:b/>
          <w:bCs/>
          <w:sz w:val="30"/>
          <w:szCs w:val="30"/>
        </w:rPr>
      </w:pPr>
      <w:r>
        <w:rPr>
          <w:rFonts w:ascii="宋体" w:hAnsi="宋体" w:hint="eastAsia"/>
          <w:b/>
          <w:bCs/>
          <w:sz w:val="30"/>
          <w:szCs w:val="30"/>
        </w:rPr>
        <w:t>第三章  综合评分</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lastRenderedPageBreak/>
        <w:t xml:space="preserve">  省公路局</w:t>
      </w:r>
      <w:r>
        <w:rPr>
          <w:rFonts w:ascii="仿宋_GB2312" w:eastAsia="仿宋_GB2312" w:hint="eastAsia"/>
          <w:b/>
          <w:bCs/>
          <w:sz w:val="30"/>
          <w:szCs w:val="30"/>
        </w:rPr>
        <w:t>及市、县交通主管部门</w:t>
      </w:r>
      <w:r>
        <w:rPr>
          <w:rFonts w:ascii="仿宋_GB2312" w:eastAsia="仿宋_GB2312" w:hint="eastAsia"/>
          <w:sz w:val="30"/>
          <w:szCs w:val="30"/>
        </w:rPr>
        <w:t>按照本办法及评分标准组织信用考核评分，</w:t>
      </w:r>
      <w:r>
        <w:rPr>
          <w:rFonts w:ascii="仿宋_GB2312" w:eastAsia="仿宋_GB2312" w:hint="eastAsia"/>
          <w:b/>
          <w:bCs/>
          <w:sz w:val="30"/>
          <w:szCs w:val="30"/>
        </w:rPr>
        <w:t>各地也可结合实际补充有关评分内容</w:t>
      </w:r>
      <w:r>
        <w:rPr>
          <w:rFonts w:ascii="仿宋_GB2312" w:eastAsia="仿宋_GB2312" w:hint="eastAsia"/>
          <w:sz w:val="30"/>
          <w:szCs w:val="30"/>
        </w:rPr>
        <w:t>。采用直接考核定级的项目按照省交通运输厅的有关规定进行。</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 xml:space="preserve">  从业单位主要人员的信用考核评分依从业单位的信用考核综合评分结果确定。</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 xml:space="preserve">  列入年度建设计划的干线项目原则上每年考核不少于两次（即上、下半年各一次），且宜相隔一个季度。对于上半年完工项目或上半年无实质性工作量下半年才实质性动工合同段，</w:t>
      </w:r>
      <w:r>
        <w:rPr>
          <w:rFonts w:ascii="仿宋_GB2312" w:eastAsia="仿宋_GB2312" w:hint="eastAsia"/>
          <w:b/>
          <w:bCs/>
          <w:sz w:val="30"/>
          <w:szCs w:val="30"/>
        </w:rPr>
        <w:t>全年度考核不少于一次</w:t>
      </w:r>
      <w:r>
        <w:rPr>
          <w:rFonts w:ascii="仿宋_GB2312" w:eastAsia="仿宋_GB2312" w:hint="eastAsia"/>
          <w:sz w:val="30"/>
          <w:szCs w:val="30"/>
        </w:rPr>
        <w:t>。对进度严重滞后、存在严重质量安全隐患的标段实行差别化督查，或</w:t>
      </w:r>
      <w:r>
        <w:rPr>
          <w:rFonts w:ascii="仿宋_GB2312" w:eastAsia="仿宋_GB2312" w:hint="eastAsia"/>
          <w:b/>
          <w:bCs/>
          <w:sz w:val="30"/>
          <w:szCs w:val="30"/>
        </w:rPr>
        <w:t>对多次不同时间检查的标段，按照时间段落，将检查问题分别计入上、下半年考核评分。年度的最终考核评分按照上半年40%、下半年60%的评分权重计算。</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初步设计非交通主管部门审批的，对应标段设计单位不纳入省级综合评分，仅采用直接定级方式进行考核。</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检查时各从业单位应提供项目标段实时进度、质量、安全、履约、标准化等情况文字材料。各从业单位的综合评分均采</w:t>
      </w:r>
      <w:r>
        <w:rPr>
          <w:rFonts w:ascii="仿宋_GB2312" w:eastAsia="仿宋_GB2312" w:hint="eastAsia"/>
          <w:sz w:val="30"/>
          <w:szCs w:val="30"/>
        </w:rPr>
        <w:lastRenderedPageBreak/>
        <w:t>用百分制，如考核项检查时不能按要求提供相关材料和有关证明的，该考核项不得分。</w:t>
      </w:r>
    </w:p>
    <w:p w:rsidR="00D22B3A" w:rsidRDefault="00D22B3A" w:rsidP="00E23BF0">
      <w:pPr>
        <w:numPr>
          <w:ilvl w:val="0"/>
          <w:numId w:val="1"/>
        </w:numPr>
        <w:tabs>
          <w:tab w:val="clear" w:pos="2625"/>
          <w:tab w:val="left" w:pos="0"/>
          <w:tab w:val="left" w:pos="1560"/>
        </w:tabs>
        <w:adjustRightInd w:val="0"/>
        <w:snapToGrid w:val="0"/>
        <w:spacing w:line="360" w:lineRule="auto"/>
        <w:ind w:left="0" w:firstLineChars="189" w:firstLine="567"/>
        <w:rPr>
          <w:rFonts w:ascii="仿宋_GB2312" w:eastAsia="仿宋_GB2312"/>
          <w:sz w:val="30"/>
          <w:szCs w:val="30"/>
        </w:rPr>
      </w:pPr>
      <w:r>
        <w:rPr>
          <w:rFonts w:ascii="仿宋_GB2312" w:eastAsia="仿宋_GB2312" w:hint="eastAsia"/>
          <w:b/>
          <w:bCs/>
          <w:sz w:val="30"/>
          <w:szCs w:val="30"/>
        </w:rPr>
        <w:t>各参建单位应根据考核内容要求，按照要求及时将相关内业材料上传至“福建省普通国省干线公路建设项目信用考核内业资料管理平台”，省公路局每年度集中组织一次对各参建单位上传的内业材料进行信用检查考评；或根据实际情况，现场开展内业资料信用检查考评或抽查工作。</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施工单位信用考核</w:t>
      </w:r>
    </w:p>
    <w:p w:rsidR="00D22B3A" w:rsidRDefault="00D22B3A" w:rsidP="00D22B3A">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sz w:val="30"/>
          <w:szCs w:val="30"/>
        </w:rPr>
        <w:t>（一）人员</w:t>
      </w:r>
      <w:r>
        <w:rPr>
          <w:rFonts w:ascii="仿宋_GB2312" w:eastAsia="仿宋_GB2312" w:hint="eastAsia"/>
          <w:b/>
          <w:bCs/>
          <w:sz w:val="30"/>
          <w:szCs w:val="30"/>
        </w:rPr>
        <w:t>履职</w:t>
      </w:r>
      <w:r>
        <w:rPr>
          <w:rFonts w:ascii="仿宋_GB2312" w:eastAsia="仿宋_GB2312" w:hint="eastAsia"/>
          <w:sz w:val="30"/>
          <w:szCs w:val="30"/>
        </w:rPr>
        <w:t>（15分）</w:t>
      </w:r>
    </w:p>
    <w:p w:rsidR="00D22B3A" w:rsidRDefault="00D22B3A" w:rsidP="00D22B3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项目部管理人员应到岗履职，结合“人脸识别”</w:t>
      </w:r>
      <w:r>
        <w:rPr>
          <w:rFonts w:ascii="仿宋_GB2312" w:eastAsia="仿宋_GB2312" w:hint="eastAsia"/>
          <w:b/>
          <w:bCs/>
          <w:sz w:val="30"/>
          <w:szCs w:val="30"/>
        </w:rPr>
        <w:t>落实日常考勤制度，强化履职实效，</w:t>
      </w:r>
      <w:r>
        <w:rPr>
          <w:rFonts w:ascii="仿宋_GB2312" w:eastAsia="仿宋_GB2312" w:hint="eastAsia"/>
          <w:sz w:val="30"/>
          <w:szCs w:val="30"/>
        </w:rPr>
        <w:t>其任职资格、人员数量等应与投标承诺一致，若更换，必须经监理审核同意后报业主批准。</w:t>
      </w:r>
    </w:p>
    <w:p w:rsidR="00D22B3A" w:rsidRDefault="00D22B3A" w:rsidP="00D22B3A">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（二）进度管理</w:t>
      </w:r>
      <w:r>
        <w:rPr>
          <w:rFonts w:ascii="仿宋_GB2312" w:eastAsia="仿宋_GB2312" w:hint="eastAsia"/>
          <w:bCs/>
          <w:sz w:val="30"/>
          <w:szCs w:val="30"/>
        </w:rPr>
        <w:t>（</w:t>
      </w:r>
      <w:r>
        <w:rPr>
          <w:rFonts w:ascii="仿宋_GB2312" w:eastAsia="仿宋_GB2312" w:hint="eastAsia"/>
          <w:b/>
          <w:sz w:val="30"/>
          <w:szCs w:val="30"/>
        </w:rPr>
        <w:t>15分</w:t>
      </w:r>
      <w:r>
        <w:rPr>
          <w:rFonts w:ascii="仿宋_GB2312" w:eastAsia="仿宋_GB2312" w:hint="eastAsia"/>
          <w:bCs/>
          <w:sz w:val="30"/>
          <w:szCs w:val="30"/>
        </w:rPr>
        <w:t>）</w:t>
      </w:r>
    </w:p>
    <w:p w:rsidR="00D22B3A" w:rsidRDefault="00D22B3A" w:rsidP="00D22B3A">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int="eastAsia"/>
          <w:sz w:val="30"/>
          <w:szCs w:val="30"/>
        </w:rPr>
        <w:t>施工单位应根据项目建设特点编制施工标段总体、年、月、控制性工程施工进度计划及节后复工施工计划，</w:t>
      </w:r>
      <w:r>
        <w:rPr>
          <w:rFonts w:ascii="仿宋_GB2312" w:eastAsia="仿宋_GB2312" w:hAnsi="宋体" w:hint="eastAsia"/>
          <w:sz w:val="30"/>
          <w:szCs w:val="30"/>
        </w:rPr>
        <w:t>按时完成投资及形象进度计划，</w:t>
      </w:r>
      <w:r>
        <w:rPr>
          <w:rFonts w:ascii="仿宋_GB2312" w:eastAsia="仿宋_GB2312" w:hAnsi="宋体" w:hint="eastAsia"/>
          <w:b/>
          <w:bCs/>
          <w:sz w:val="30"/>
          <w:szCs w:val="30"/>
        </w:rPr>
        <w:t>进度滞后时应积极采取补救措施，加大要素投入并及时</w:t>
      </w:r>
      <w:r>
        <w:rPr>
          <w:rFonts w:ascii="仿宋_GB2312" w:eastAsia="仿宋_GB2312" w:hAnsi="宋体" w:hint="eastAsia"/>
          <w:b/>
          <w:bCs/>
          <w:sz w:val="30"/>
          <w:szCs w:val="30"/>
        </w:rPr>
        <w:lastRenderedPageBreak/>
        <w:t>调整计划。</w:t>
      </w:r>
    </w:p>
    <w:p w:rsidR="00D22B3A" w:rsidRDefault="00D22B3A" w:rsidP="00D22B3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（三）工地建设标准化（10分）</w:t>
      </w:r>
    </w:p>
    <w:p w:rsidR="00D22B3A" w:rsidRDefault="00D22B3A" w:rsidP="00D22B3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按照“生产集约、施工专业、工艺精细、驻地人本、标识齐备”施工标准化指南要求，因地制宜分类推行。</w:t>
      </w:r>
      <w:r>
        <w:rPr>
          <w:rFonts w:ascii="仿宋_GB2312" w:eastAsia="仿宋_GB2312" w:hAnsi="仿宋_GB2312" w:cs="仿宋_GB2312" w:hint="eastAsia"/>
          <w:b/>
          <w:bCs/>
          <w:sz w:val="30"/>
          <w:szCs w:val="30"/>
        </w:rPr>
        <w:t>具体考核分：梁片集中预制、钢筋集中配送、混凝土集中拌和、中小构件集中预制、数据集中管控及驻地标准化建设等5项，各分项独立考核（满分均为10分），按检查项算术平均分作为最后得分。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（四）施工及安全生产文明标准化（45分）</w:t>
      </w:r>
    </w:p>
    <w:p w:rsidR="00D22B3A" w:rsidRDefault="00D22B3A" w:rsidP="00D22B3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围绕路基、路面、桥梁、隧道施工工艺标准化要求（含各年度省局印发的标准化专项整治方案有关要求），严格“把四关”</w:t>
      </w:r>
      <w:r>
        <w:rPr>
          <w:rFonts w:ascii="仿宋_GB2312" w:eastAsia="仿宋_GB2312" w:hint="eastAsia"/>
          <w:b/>
          <w:bCs/>
          <w:sz w:val="30"/>
          <w:szCs w:val="30"/>
        </w:rPr>
        <w:t>（人员关、机械关、材料关、工艺关）</w:t>
      </w:r>
      <w:r>
        <w:rPr>
          <w:rFonts w:ascii="仿宋_GB2312" w:eastAsia="仿宋_GB2312" w:hint="eastAsia"/>
          <w:sz w:val="30"/>
          <w:szCs w:val="30"/>
        </w:rPr>
        <w:t>，强化“控六度”</w:t>
      </w:r>
      <w:r>
        <w:rPr>
          <w:rFonts w:ascii="仿宋_GB2312" w:eastAsia="仿宋_GB2312" w:hint="eastAsia"/>
          <w:b/>
          <w:bCs/>
          <w:sz w:val="30"/>
          <w:szCs w:val="30"/>
        </w:rPr>
        <w:t>（结构物强度、路基压实度、路基边坡坡度、路面平整度、桥梁安置与吊装精确度、隧道衬砌厚度）。具体考核过程中，在确保施工质量安全总体可控，至检查时未发生质量或安全责任事故得基本分25分；同时，</w:t>
      </w:r>
      <w:r>
        <w:rPr>
          <w:rFonts w:ascii="仿宋_GB2312" w:eastAsia="仿宋_GB2312" w:hAnsi="仿宋_GB2312" w:cs="仿宋_GB2312" w:hint="eastAsia"/>
          <w:b/>
          <w:bCs/>
          <w:sz w:val="30"/>
          <w:szCs w:val="30"/>
        </w:rPr>
        <w:t>分路基、路面、桥梁、隧道等四项质量安全实效进行考核，各分项独立考核（满分均为20分），按检查项算术平均分作为最后得分。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lastRenderedPageBreak/>
        <w:t>（四）内业管理（15分）</w:t>
      </w:r>
    </w:p>
    <w:p w:rsidR="00D22B3A" w:rsidRDefault="00D22B3A" w:rsidP="00D22B3A">
      <w:pPr>
        <w:ind w:firstLineChars="200" w:firstLine="600"/>
        <w:rPr>
          <w:rFonts w:ascii="仿宋_GB2312" w:eastAsia="仿宋_GB2312"/>
          <w:b/>
          <w:bCs/>
          <w:sz w:val="30"/>
          <w:szCs w:val="30"/>
        </w:rPr>
      </w:pPr>
      <w:r>
        <w:rPr>
          <w:rFonts w:ascii="仿宋_GB2312" w:eastAsia="仿宋_GB2312" w:hint="eastAsia"/>
          <w:sz w:val="30"/>
          <w:szCs w:val="30"/>
        </w:rPr>
        <w:t>施工单位应根据项目建设特点编制施工标段</w:t>
      </w:r>
      <w:r>
        <w:rPr>
          <w:rFonts w:ascii="仿宋_GB2312" w:eastAsia="仿宋_GB2312" w:hAnsi="宋体" w:hint="eastAsia"/>
          <w:b/>
          <w:bCs/>
          <w:sz w:val="30"/>
          <w:szCs w:val="30"/>
        </w:rPr>
        <w:t>的标准化实施方案和实施性施工组织设计，加强项目部标准化宣贯学习，落实项目分部工程首件分析制度和施工工序控制，做好隐蔽工程的影像资料归档工作，建立农民工工资管理制度，及时落实整改反馈。落实安全教育、培训，规范安全专项经费使用，</w:t>
      </w:r>
      <w:r>
        <w:rPr>
          <w:rFonts w:ascii="仿宋_GB2312" w:eastAsia="仿宋_GB2312" w:hint="eastAsia"/>
          <w:b/>
          <w:bCs/>
          <w:sz w:val="30"/>
          <w:szCs w:val="30"/>
        </w:rPr>
        <w:t>开展安全生产检查及工地专项检查等安全管理工作。</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（五）加分项</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对被确定为部、省级绿色公路、品质工程、省级主推的信息化示范项目、项目部党建标准化工作等，给予一定加分奖励。</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监理单位信用考核</w:t>
      </w:r>
    </w:p>
    <w:p w:rsidR="00D22B3A" w:rsidRDefault="00D22B3A" w:rsidP="00D22B3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（一）人员</w:t>
      </w:r>
      <w:r>
        <w:rPr>
          <w:rFonts w:ascii="仿宋_GB2312" w:eastAsia="仿宋_GB2312" w:hint="eastAsia"/>
          <w:b/>
          <w:bCs/>
          <w:sz w:val="30"/>
          <w:szCs w:val="30"/>
        </w:rPr>
        <w:t>履职</w:t>
      </w:r>
      <w:r>
        <w:rPr>
          <w:rFonts w:ascii="仿宋_GB2312" w:eastAsia="仿宋_GB2312" w:hint="eastAsia"/>
          <w:bCs/>
          <w:sz w:val="30"/>
          <w:szCs w:val="30"/>
        </w:rPr>
        <w:t>（15分）</w:t>
      </w:r>
    </w:p>
    <w:p w:rsidR="00D22B3A" w:rsidRDefault="00D22B3A" w:rsidP="00D22B3A">
      <w:pPr>
        <w:adjustRightInd w:val="0"/>
        <w:snapToGrid w:val="0"/>
        <w:spacing w:line="360" w:lineRule="auto"/>
        <w:ind w:firstLine="570"/>
        <w:rPr>
          <w:rFonts w:ascii="仿宋_GB2312" w:eastAsia="仿宋_GB2312"/>
          <w:sz w:val="30"/>
          <w:szCs w:val="30"/>
        </w:rPr>
      </w:pPr>
      <w:r>
        <w:rPr>
          <w:rFonts w:ascii="仿宋_GB2312" w:eastAsia="仿宋_GB2312" w:hint="eastAsia"/>
          <w:sz w:val="30"/>
          <w:szCs w:val="30"/>
        </w:rPr>
        <w:t>总监办或驻地办主要管理人员应到岗履职，结合“人脸识别”</w:t>
      </w:r>
      <w:r>
        <w:rPr>
          <w:rFonts w:ascii="仿宋_GB2312" w:eastAsia="仿宋_GB2312" w:hint="eastAsia"/>
          <w:b/>
          <w:bCs/>
          <w:sz w:val="30"/>
          <w:szCs w:val="30"/>
        </w:rPr>
        <w:t>落实日常考勤制度，强化履职实效，</w:t>
      </w:r>
      <w:r>
        <w:rPr>
          <w:rFonts w:ascii="仿宋_GB2312" w:eastAsia="仿宋_GB2312" w:hint="eastAsia"/>
          <w:sz w:val="30"/>
          <w:szCs w:val="30"/>
        </w:rPr>
        <w:t>其任职资格、人员数量应与投标一致，若更换，必须报业主批准。</w:t>
      </w:r>
    </w:p>
    <w:p w:rsidR="00D22B3A" w:rsidRDefault="00D22B3A" w:rsidP="00D22B3A">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（二）进度管理</w:t>
      </w:r>
      <w:r>
        <w:rPr>
          <w:rFonts w:ascii="仿宋_GB2312" w:eastAsia="仿宋_GB2312" w:hint="eastAsia"/>
          <w:b/>
          <w:sz w:val="30"/>
          <w:szCs w:val="30"/>
        </w:rPr>
        <w:t>（5分）</w:t>
      </w:r>
    </w:p>
    <w:p w:rsidR="00D22B3A" w:rsidRDefault="00D22B3A" w:rsidP="00D22B3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及时审批各类施工计划和方案，分析滞后原因并提出和落实推进措施。</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lastRenderedPageBreak/>
        <w:t>（三）质量安全管理（10分）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正确履行监理工作，及时发现施工中存在的问题并督促整改反馈。及时审批施工标准化实施方案，对标准化建设费用及时计量。督促落实首件分析制度，落实监理旁站、巡视制度。加大对施工单位偷工减料、关键工序、隐蔽工程的检查及处罚力度。</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（四）驻地建设（5分）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监理驻地应独立设置，并满足办公、生活需要，上墙图表完整；现场应设置独立的标养室，独立开展试验检测，试验设施及审批手续合格完整。</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（五）内业管理（15分）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根据项目特点编制监理计划、监理细则，每月召开工地例会，及时、完整、准确报送监理月报，计量支付签证正确、及时，通报、通知单整改闭合；严格审核审查安全生产费用，每月召开安全生产例会，总监办应组织标准化宣贯学习并留存相关资料备查。</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（六）管理实绩（50分）</w:t>
      </w:r>
    </w:p>
    <w:p w:rsidR="00D22B3A" w:rsidRDefault="00D22B3A" w:rsidP="00D22B3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根据施工单位考核评分结果直接换算管理实绩得分。</w:t>
      </w:r>
    </w:p>
    <w:p w:rsidR="00D22B3A" w:rsidRDefault="00D22B3A" w:rsidP="00E23BF0">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b/>
          <w:bCs/>
          <w:sz w:val="30"/>
          <w:szCs w:val="30"/>
        </w:rPr>
      </w:pPr>
      <w:r>
        <w:rPr>
          <w:rFonts w:ascii="仿宋_GB2312" w:eastAsia="仿宋_GB2312" w:hint="eastAsia"/>
          <w:b/>
          <w:bCs/>
          <w:sz w:val="30"/>
          <w:szCs w:val="30"/>
        </w:rPr>
        <w:lastRenderedPageBreak/>
        <w:t>勘察设计单位信用考核</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（一）设计前期（40分）</w:t>
      </w:r>
    </w:p>
    <w:p w:rsidR="00D22B3A" w:rsidRDefault="00D22B3A" w:rsidP="00E23BF0">
      <w:pPr>
        <w:tabs>
          <w:tab w:val="left" w:pos="0"/>
          <w:tab w:val="left" w:pos="1560"/>
        </w:tabs>
        <w:adjustRightInd w:val="0"/>
        <w:snapToGrid w:val="0"/>
        <w:spacing w:line="360" w:lineRule="auto"/>
        <w:ind w:firstLineChars="236" w:firstLine="708"/>
        <w:jc w:val="left"/>
        <w:rPr>
          <w:rFonts w:ascii="仿宋_GB2312" w:eastAsia="仿宋_GB2312"/>
          <w:b/>
          <w:bCs/>
          <w:sz w:val="30"/>
          <w:szCs w:val="30"/>
        </w:rPr>
      </w:pPr>
      <w:r>
        <w:rPr>
          <w:rFonts w:ascii="仿宋_GB2312" w:eastAsia="仿宋_GB2312" w:hint="eastAsia"/>
          <w:b/>
          <w:bCs/>
          <w:sz w:val="30"/>
          <w:szCs w:val="30"/>
        </w:rPr>
        <w:t>1、设计前期基本分（25分）</w:t>
      </w:r>
    </w:p>
    <w:p w:rsidR="00D22B3A" w:rsidRDefault="00D22B3A" w:rsidP="00E23BF0">
      <w:pPr>
        <w:tabs>
          <w:tab w:val="left" w:pos="0"/>
          <w:tab w:val="left" w:pos="1560"/>
        </w:tabs>
        <w:adjustRightInd w:val="0"/>
        <w:snapToGrid w:val="0"/>
        <w:spacing w:line="360" w:lineRule="auto"/>
        <w:ind w:firstLineChars="236" w:firstLine="708"/>
        <w:jc w:val="left"/>
        <w:rPr>
          <w:rFonts w:ascii="仿宋_GB2312" w:eastAsia="仿宋_GB2312"/>
          <w:b/>
          <w:bCs/>
          <w:sz w:val="30"/>
          <w:szCs w:val="30"/>
        </w:rPr>
      </w:pPr>
      <w:r>
        <w:rPr>
          <w:rFonts w:ascii="仿宋_GB2312" w:eastAsia="仿宋_GB2312" w:hint="eastAsia"/>
          <w:b/>
          <w:bCs/>
          <w:sz w:val="30"/>
          <w:szCs w:val="30"/>
        </w:rPr>
        <w:t>符合设计文件基本编制办法,满足设计规范，通过交通主管部门审核审批。</w:t>
      </w:r>
    </w:p>
    <w:p w:rsidR="00D22B3A" w:rsidRDefault="00D22B3A" w:rsidP="00E23BF0">
      <w:pPr>
        <w:tabs>
          <w:tab w:val="left" w:pos="0"/>
          <w:tab w:val="left" w:pos="1560"/>
        </w:tabs>
        <w:adjustRightInd w:val="0"/>
        <w:snapToGrid w:val="0"/>
        <w:spacing w:line="360" w:lineRule="auto"/>
        <w:ind w:firstLineChars="236" w:firstLine="708"/>
        <w:jc w:val="left"/>
        <w:rPr>
          <w:rFonts w:ascii="仿宋_GB2312" w:eastAsia="仿宋_GB2312"/>
          <w:b/>
          <w:bCs/>
          <w:sz w:val="30"/>
          <w:szCs w:val="30"/>
        </w:rPr>
      </w:pPr>
      <w:r>
        <w:rPr>
          <w:rFonts w:ascii="仿宋_GB2312" w:eastAsia="仿宋_GB2312" w:hint="eastAsia"/>
          <w:b/>
          <w:bCs/>
          <w:sz w:val="30"/>
          <w:szCs w:val="30"/>
        </w:rPr>
        <w:t>2、设计方案（5分）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平纵面技术指标满足运行速度一致性要求，比较线里程应不少于本项目路线长度的30%，高填深挖路段应与桥隧方案进行对比，桥梁方案比选应充分、合理（含桥型结构、跨径组合、横断面布置等）。</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3、主体设计（5分）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逐条落实专家意见进行修编、反馈。尽量避免出现深路堑或高路堤。同一路段桥梁的桥型、跨径、墩柱等设计应尽量标准化。落实土石方平衡，少借方、零弃方。</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4、概（预）算（5分）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合理控制投资，有效降低造价。概（预）算与估算之差控制在</w:t>
      </w:r>
      <w:r>
        <w:rPr>
          <w:rFonts w:ascii="仿宋_GB2312" w:eastAsia="仿宋_GB2312" w:hint="eastAsia"/>
          <w:b/>
          <w:bCs/>
          <w:sz w:val="30"/>
          <w:szCs w:val="30"/>
        </w:rPr>
        <w:lastRenderedPageBreak/>
        <w:t>估算的10%以内，送审金额与审定金额相差控制在5%以内。</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（二）后期服务（60分）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1、后期服务基本分（20分）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未因设计单位责任发生质量、安全责任事故，技术交底、现场处理及时，准时参加工地例会，积极配合建设单位提出有效的技术措施，设计总体到位。</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2、人员履约（3分）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设计代表应根据合同要求到岗履职，</w:t>
      </w:r>
      <w:r>
        <w:rPr>
          <w:rFonts w:ascii="仿宋_GB2312" w:eastAsia="仿宋_GB2312" w:hint="eastAsia"/>
          <w:sz w:val="30"/>
          <w:szCs w:val="30"/>
        </w:rPr>
        <w:t>结合“人脸识别”</w:t>
      </w:r>
      <w:r>
        <w:rPr>
          <w:rFonts w:ascii="仿宋_GB2312" w:eastAsia="仿宋_GB2312" w:hint="eastAsia"/>
          <w:b/>
          <w:bCs/>
          <w:sz w:val="30"/>
          <w:szCs w:val="30"/>
        </w:rPr>
        <w:t>落实日常考勤制度，强化履职实效，</w:t>
      </w:r>
      <w:r>
        <w:rPr>
          <w:rFonts w:ascii="仿宋_GB2312" w:eastAsia="仿宋_GB2312" w:hint="eastAsia"/>
          <w:sz w:val="30"/>
          <w:szCs w:val="30"/>
        </w:rPr>
        <w:t>其任职资格、人员</w:t>
      </w:r>
      <w:r>
        <w:rPr>
          <w:rFonts w:ascii="仿宋_GB2312" w:eastAsia="仿宋_GB2312" w:hint="eastAsia"/>
          <w:b/>
          <w:bCs/>
          <w:sz w:val="30"/>
          <w:szCs w:val="30"/>
        </w:rPr>
        <w:t>数量应与合同文件要求一致。若更换，须报业主批准。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3、设计资料准确性与设计变更（22分）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设计单位确保设计资料准确、合理，并按照相关程序要求及时处理设计变更、提交变更图纸。勘察、勘测或设计深度满足要求。</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4、内业管理（15分）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及时进行设计技术及安全交底，出具交底会议纪要。建立设计变更台帐，明确变更提出及图纸提交时间、变更原因、变更金额等。</w:t>
      </w:r>
      <w:r>
        <w:rPr>
          <w:rFonts w:ascii="仿宋_GB2312" w:eastAsia="仿宋_GB2312" w:hint="eastAsia"/>
          <w:b/>
          <w:bCs/>
          <w:sz w:val="30"/>
          <w:szCs w:val="30"/>
        </w:rPr>
        <w:lastRenderedPageBreak/>
        <w:t>设计代表应如实完整填写记录《设计代表工作日记》。</w:t>
      </w:r>
    </w:p>
    <w:p w:rsidR="00D22B3A" w:rsidRDefault="00D22B3A" w:rsidP="00E23BF0">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b/>
          <w:bCs/>
          <w:sz w:val="30"/>
          <w:szCs w:val="30"/>
        </w:rPr>
      </w:pPr>
      <w:r>
        <w:rPr>
          <w:rFonts w:ascii="仿宋_GB2312" w:eastAsia="仿宋_GB2312" w:hint="eastAsia"/>
          <w:b/>
          <w:bCs/>
          <w:sz w:val="30"/>
          <w:szCs w:val="30"/>
        </w:rPr>
        <w:t>建设单位信用考核要求具体如下：</w:t>
      </w:r>
    </w:p>
    <w:p w:rsidR="00D22B3A" w:rsidRDefault="00D22B3A" w:rsidP="00D22B3A">
      <w:pPr>
        <w:adjustRightInd w:val="0"/>
        <w:snapToGrid w:val="0"/>
        <w:spacing w:line="360" w:lineRule="auto"/>
        <w:ind w:firstLine="560"/>
        <w:rPr>
          <w:rFonts w:ascii="仿宋_GB2312" w:eastAsia="仿宋_GB2312"/>
          <w:b/>
          <w:bCs/>
          <w:sz w:val="30"/>
          <w:szCs w:val="30"/>
        </w:rPr>
      </w:pPr>
      <w:r>
        <w:rPr>
          <w:rFonts w:ascii="仿宋_GB2312" w:eastAsia="仿宋_GB2312" w:hint="eastAsia"/>
          <w:b/>
          <w:bCs/>
          <w:sz w:val="30"/>
          <w:szCs w:val="30"/>
        </w:rPr>
        <w:t>（一）进度质量安全管理基本分(30分)</w:t>
      </w:r>
    </w:p>
    <w:p w:rsidR="00D22B3A" w:rsidRDefault="00D22B3A" w:rsidP="00D22B3A">
      <w:pPr>
        <w:adjustRightInd w:val="0"/>
        <w:snapToGrid w:val="0"/>
        <w:spacing w:line="360" w:lineRule="auto"/>
        <w:ind w:firstLine="560"/>
        <w:rPr>
          <w:rFonts w:ascii="仿宋_GB2312" w:eastAsia="仿宋_GB2312"/>
          <w:b/>
          <w:bCs/>
          <w:sz w:val="30"/>
          <w:szCs w:val="30"/>
        </w:rPr>
      </w:pPr>
      <w:r>
        <w:rPr>
          <w:rFonts w:ascii="仿宋_GB2312" w:eastAsia="仿宋_GB2312" w:hint="eastAsia"/>
          <w:b/>
          <w:bCs/>
          <w:sz w:val="30"/>
          <w:szCs w:val="30"/>
        </w:rPr>
        <w:t>年度进度正常、质量安全总体可控，未发生质量安全责任事故，及时有效处置工程建设过程中各类事项，不发生群体性事件。</w:t>
      </w:r>
    </w:p>
    <w:p w:rsidR="00D22B3A" w:rsidRDefault="00D22B3A" w:rsidP="00D22B3A">
      <w:pPr>
        <w:adjustRightInd w:val="0"/>
        <w:snapToGrid w:val="0"/>
        <w:spacing w:line="360" w:lineRule="auto"/>
        <w:ind w:firstLine="560"/>
        <w:rPr>
          <w:rFonts w:ascii="仿宋_GB2312" w:eastAsia="仿宋_GB2312"/>
          <w:b/>
          <w:bCs/>
          <w:sz w:val="30"/>
          <w:szCs w:val="30"/>
        </w:rPr>
      </w:pPr>
      <w:r>
        <w:rPr>
          <w:rFonts w:ascii="仿宋_GB2312" w:eastAsia="仿宋_GB2312" w:hint="eastAsia"/>
          <w:b/>
          <w:bCs/>
          <w:sz w:val="30"/>
          <w:szCs w:val="30"/>
        </w:rPr>
        <w:t>（二）管理实效（15分）</w:t>
      </w:r>
    </w:p>
    <w:p w:rsidR="00D22B3A" w:rsidRDefault="00D22B3A" w:rsidP="00D22B3A">
      <w:pPr>
        <w:adjustRightInd w:val="0"/>
        <w:snapToGrid w:val="0"/>
        <w:spacing w:line="360" w:lineRule="auto"/>
        <w:ind w:firstLine="560"/>
        <w:rPr>
          <w:rFonts w:ascii="仿宋_GB2312" w:eastAsia="仿宋_GB2312"/>
          <w:b/>
          <w:bCs/>
          <w:sz w:val="30"/>
          <w:szCs w:val="30"/>
        </w:rPr>
      </w:pPr>
      <w:r>
        <w:rPr>
          <w:rFonts w:ascii="仿宋_GB2312" w:eastAsia="仿宋_GB2312" w:hint="eastAsia"/>
          <w:b/>
          <w:bCs/>
          <w:sz w:val="30"/>
          <w:szCs w:val="30"/>
        </w:rPr>
        <w:t>及时完成征地拆迁工作，确保无障碍施工。督促项目落实“五标准五集中”标准化建设管理及各项质量安全管理制度，确保工程质量安全。</w:t>
      </w:r>
    </w:p>
    <w:p w:rsidR="00D22B3A" w:rsidRDefault="00D22B3A" w:rsidP="00D22B3A">
      <w:pPr>
        <w:numPr>
          <w:ilvl w:val="0"/>
          <w:numId w:val="2"/>
        </w:numPr>
        <w:adjustRightInd w:val="0"/>
        <w:snapToGrid w:val="0"/>
        <w:spacing w:line="360" w:lineRule="auto"/>
        <w:ind w:firstLine="560"/>
        <w:rPr>
          <w:rFonts w:ascii="仿宋_GB2312" w:eastAsia="仿宋_GB2312"/>
          <w:b/>
          <w:bCs/>
          <w:sz w:val="30"/>
          <w:szCs w:val="30"/>
        </w:rPr>
      </w:pPr>
      <w:r>
        <w:rPr>
          <w:rFonts w:ascii="仿宋_GB2312" w:eastAsia="仿宋_GB2312" w:hint="eastAsia"/>
          <w:b/>
          <w:bCs/>
          <w:sz w:val="30"/>
          <w:szCs w:val="30"/>
        </w:rPr>
        <w:t>内业管理（15分）</w:t>
      </w:r>
    </w:p>
    <w:p w:rsidR="00D22B3A" w:rsidRDefault="00D22B3A" w:rsidP="00E23BF0">
      <w:pPr>
        <w:adjustRightInd w:val="0"/>
        <w:snapToGrid w:val="0"/>
        <w:spacing w:line="360" w:lineRule="auto"/>
        <w:ind w:firstLineChars="213" w:firstLine="639"/>
        <w:rPr>
          <w:rFonts w:ascii="仿宋_GB2312" w:eastAsia="仿宋_GB2312"/>
          <w:b/>
          <w:bCs/>
          <w:sz w:val="30"/>
          <w:szCs w:val="30"/>
        </w:rPr>
      </w:pPr>
      <w:r>
        <w:rPr>
          <w:rFonts w:ascii="仿宋_GB2312" w:eastAsia="仿宋_GB2312" w:hint="eastAsia"/>
          <w:b/>
          <w:bCs/>
          <w:sz w:val="30"/>
          <w:szCs w:val="30"/>
        </w:rPr>
        <w:t>按规定组建项目管理机构、配备人员，建立健全各项规章制度，及时报备初步设计审批部门。按规定履行工可、设计、招标、施工许可、质量监督、设计变更、交（竣）工验收、后评估等工程项目建设程序。对建设项目适时开展“一月一检查”工作，形成月检查工作通报，对施工、监理、设计等参建单位应建立人脸识别考勤系统，严格履约管理，确保人员、设备及时到位。</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lastRenderedPageBreak/>
        <w:t>（四）关联分（40分）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与施工、监理、设计标段评分直接挂钩并计算关联分。</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（五）加分项</w:t>
      </w:r>
    </w:p>
    <w:p w:rsidR="00D22B3A" w:rsidRDefault="00D22B3A" w:rsidP="00E23BF0">
      <w:pPr>
        <w:adjustRightInd w:val="0"/>
        <w:snapToGrid w:val="0"/>
        <w:spacing w:line="360" w:lineRule="auto"/>
        <w:ind w:firstLineChars="200" w:firstLine="600"/>
        <w:rPr>
          <w:rFonts w:ascii="仿宋_GB2312" w:eastAsia="仿宋_GB2312"/>
          <w:b/>
          <w:bCs/>
          <w:sz w:val="30"/>
          <w:szCs w:val="30"/>
        </w:rPr>
      </w:pPr>
      <w:r>
        <w:rPr>
          <w:rFonts w:ascii="仿宋_GB2312" w:eastAsia="仿宋_GB2312" w:hint="eastAsia"/>
          <w:b/>
          <w:bCs/>
          <w:sz w:val="30"/>
          <w:szCs w:val="30"/>
        </w:rPr>
        <w:t>对管理、融资等方面创新且成效较好的予以加分鼓励。</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各从业单位对检查中发现的履约、进度、质量和安全文明生产、标准化等各种问题隐患，必须在一个月内及时落实整改并反馈检查单位；不能及时全部整改到位的，应在反馈报告中说明原因及申请延长整改的时限、责任人。</w:t>
      </w:r>
    </w:p>
    <w:p w:rsidR="00D22B3A" w:rsidRDefault="00D22B3A" w:rsidP="00E23BF0">
      <w:pPr>
        <w:tabs>
          <w:tab w:val="left" w:pos="1620"/>
        </w:tabs>
        <w:adjustRightInd w:val="0"/>
        <w:snapToGrid w:val="0"/>
        <w:spacing w:beforeLines="100" w:afterLines="100" w:line="360" w:lineRule="auto"/>
        <w:jc w:val="center"/>
        <w:rPr>
          <w:rFonts w:ascii="宋体" w:hAnsi="宋体"/>
          <w:b/>
          <w:bCs/>
          <w:sz w:val="30"/>
          <w:szCs w:val="30"/>
        </w:rPr>
      </w:pPr>
      <w:r>
        <w:rPr>
          <w:rFonts w:ascii="宋体" w:hAnsi="宋体" w:hint="eastAsia"/>
          <w:b/>
          <w:bCs/>
          <w:sz w:val="30"/>
          <w:szCs w:val="30"/>
        </w:rPr>
        <w:t>第四章   附则</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参与从业单位及其主要人员信用考核综合评分的工作人员，应本着公平、公正、客观的原则，认真开展信用考核工作，并严格遵守有关廉政规定。</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本办法由省公路局负责解释。</w:t>
      </w:r>
    </w:p>
    <w:p w:rsidR="00D22B3A" w:rsidRDefault="00D22B3A" w:rsidP="00D22B3A">
      <w:pPr>
        <w:numPr>
          <w:ilvl w:val="0"/>
          <w:numId w:val="1"/>
        </w:numPr>
        <w:tabs>
          <w:tab w:val="clear" w:pos="2625"/>
          <w:tab w:val="left" w:pos="0"/>
          <w:tab w:val="left" w:pos="1560"/>
        </w:tabs>
        <w:adjustRightInd w:val="0"/>
        <w:snapToGrid w:val="0"/>
        <w:spacing w:line="360" w:lineRule="auto"/>
        <w:ind w:left="0" w:firstLineChars="189" w:firstLine="567"/>
        <w:jc w:val="left"/>
        <w:rPr>
          <w:rFonts w:ascii="仿宋_GB2312" w:eastAsia="仿宋_GB2312"/>
          <w:sz w:val="30"/>
          <w:szCs w:val="30"/>
        </w:rPr>
      </w:pPr>
      <w:r>
        <w:rPr>
          <w:rFonts w:ascii="仿宋_GB2312" w:eastAsia="仿宋_GB2312" w:hint="eastAsia"/>
          <w:sz w:val="30"/>
          <w:szCs w:val="30"/>
        </w:rPr>
        <w:t xml:space="preserve"> 本办法自下发之日起施行，原办法同时废止。</w:t>
      </w:r>
    </w:p>
    <w:p w:rsidR="00D22B3A" w:rsidRDefault="00D22B3A" w:rsidP="00D22B3A">
      <w:pPr>
        <w:adjustRightInd w:val="0"/>
        <w:snapToGrid w:val="0"/>
        <w:spacing w:line="360" w:lineRule="auto"/>
        <w:rPr>
          <w:rFonts w:ascii="仿宋_GB2312" w:eastAsia="仿宋_GB2312"/>
          <w:sz w:val="30"/>
          <w:szCs w:val="30"/>
        </w:rPr>
      </w:pPr>
    </w:p>
    <w:p w:rsidR="00D22B3A" w:rsidRDefault="00D22B3A" w:rsidP="00D22B3A">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lastRenderedPageBreak/>
        <w:t>附表1：福建省普通国省干线公路建设项目施工单位信用考核综合评分表</w:t>
      </w:r>
    </w:p>
    <w:p w:rsidR="00D22B3A" w:rsidRDefault="00D22B3A" w:rsidP="00D22B3A">
      <w:pPr>
        <w:adjustRightInd w:val="0"/>
        <w:snapToGrid w:val="0"/>
        <w:spacing w:line="360" w:lineRule="auto"/>
        <w:ind w:firstLineChars="200" w:firstLine="600"/>
        <w:jc w:val="left"/>
        <w:rPr>
          <w:rFonts w:ascii="仿宋_GB2312" w:eastAsia="仿宋_GB2312"/>
          <w:sz w:val="30"/>
          <w:szCs w:val="30"/>
        </w:rPr>
      </w:pPr>
      <w:r>
        <w:rPr>
          <w:rFonts w:ascii="仿宋_GB2312" w:eastAsia="仿宋_GB2312" w:hint="eastAsia"/>
          <w:sz w:val="30"/>
          <w:szCs w:val="30"/>
        </w:rPr>
        <w:t>附表2：福建省普通国省干线公路建设项目监理单位信用考核综合评分表</w:t>
      </w:r>
    </w:p>
    <w:p w:rsidR="00D22B3A" w:rsidRDefault="00D22B3A" w:rsidP="00D22B3A">
      <w:pPr>
        <w:adjustRightInd w:val="0"/>
        <w:snapToGrid w:val="0"/>
        <w:spacing w:line="360" w:lineRule="auto"/>
        <w:ind w:firstLineChars="200" w:firstLine="600"/>
        <w:jc w:val="left"/>
        <w:rPr>
          <w:rFonts w:ascii="仿宋_GB2312" w:eastAsia="仿宋_GB2312"/>
          <w:sz w:val="30"/>
          <w:szCs w:val="30"/>
        </w:rPr>
      </w:pPr>
      <w:r>
        <w:rPr>
          <w:rFonts w:ascii="仿宋_GB2312" w:eastAsia="仿宋_GB2312" w:hint="eastAsia"/>
          <w:sz w:val="30"/>
          <w:szCs w:val="30"/>
        </w:rPr>
        <w:t>附表3：福建省普通国省干线公路建设项目勘察设计单位信用考核综合评分表</w:t>
      </w:r>
    </w:p>
    <w:p w:rsidR="00D22B3A" w:rsidRDefault="00D22B3A" w:rsidP="00D22B3A">
      <w:pPr>
        <w:pStyle w:val="a6"/>
        <w:ind w:firstLine="600"/>
        <w:rPr>
          <w:sz w:val="30"/>
          <w:szCs w:val="30"/>
        </w:rPr>
      </w:pPr>
      <w:r>
        <w:rPr>
          <w:rFonts w:hint="eastAsia"/>
          <w:sz w:val="30"/>
          <w:szCs w:val="30"/>
        </w:rPr>
        <w:t>附表4：福建省普通国省干线公路建设项目建设单位信用考核综合评分表</w:t>
      </w:r>
    </w:p>
    <w:p w:rsidR="00D22B3A" w:rsidRDefault="00D22B3A" w:rsidP="00D22B3A">
      <w:pPr>
        <w:pStyle w:val="a6"/>
        <w:ind w:firstLine="600"/>
        <w:rPr>
          <w:sz w:val="30"/>
          <w:szCs w:val="30"/>
        </w:rPr>
      </w:pPr>
      <w:r>
        <w:rPr>
          <w:rFonts w:hint="eastAsia"/>
          <w:sz w:val="30"/>
          <w:szCs w:val="30"/>
        </w:rPr>
        <w:br w:type="page"/>
      </w:r>
    </w:p>
    <w:tbl>
      <w:tblPr>
        <w:tblW w:w="0" w:type="auto"/>
        <w:jc w:val="center"/>
        <w:tblLayout w:type="fixed"/>
        <w:tblCellMar>
          <w:left w:w="0" w:type="dxa"/>
          <w:right w:w="0" w:type="dxa"/>
        </w:tblCellMar>
        <w:tblLook w:val="0000"/>
      </w:tblPr>
      <w:tblGrid>
        <w:gridCol w:w="475"/>
        <w:gridCol w:w="658"/>
        <w:gridCol w:w="906"/>
        <w:gridCol w:w="6162"/>
        <w:gridCol w:w="1084"/>
      </w:tblGrid>
      <w:tr w:rsidR="00D22B3A" w:rsidTr="005E6124">
        <w:trPr>
          <w:trHeight w:val="619"/>
          <w:jc w:val="center"/>
        </w:trPr>
        <w:tc>
          <w:tcPr>
            <w:tcW w:w="9285" w:type="dxa"/>
            <w:gridSpan w:val="5"/>
            <w:tcBorders>
              <w:top w:val="nil"/>
              <w:left w:val="nil"/>
              <w:bottom w:val="nil"/>
              <w:right w:val="nil"/>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sz w:val="28"/>
                <w:szCs w:val="28"/>
              </w:rPr>
            </w:pPr>
            <w:r>
              <w:rPr>
                <w:rFonts w:ascii="宋体" w:hAnsi="宋体" w:cs="宋体" w:hint="eastAsia"/>
                <w:b/>
                <w:kern w:val="0"/>
                <w:sz w:val="28"/>
                <w:szCs w:val="28"/>
              </w:rPr>
              <w:lastRenderedPageBreak/>
              <w:t>福建省普通国省干线公路建设项目信用考核评分标准（施工单位）</w:t>
            </w:r>
          </w:p>
        </w:tc>
      </w:tr>
      <w:tr w:rsidR="00D22B3A" w:rsidTr="005E6124">
        <w:trPr>
          <w:trHeight w:val="582"/>
          <w:jc w:val="center"/>
        </w:trPr>
        <w:tc>
          <w:tcPr>
            <w:tcW w:w="475" w:type="dxa"/>
            <w:tcBorders>
              <w:top w:val="single" w:sz="12"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sz w:val="20"/>
                <w:szCs w:val="20"/>
              </w:rPr>
            </w:pPr>
            <w:r>
              <w:rPr>
                <w:rFonts w:ascii="宋体" w:hAnsi="宋体" w:cs="宋体" w:hint="eastAsia"/>
                <w:b/>
                <w:kern w:val="0"/>
                <w:sz w:val="20"/>
                <w:szCs w:val="20"/>
              </w:rPr>
              <w:t>序号</w:t>
            </w:r>
          </w:p>
        </w:tc>
        <w:tc>
          <w:tcPr>
            <w:tcW w:w="1564" w:type="dxa"/>
            <w:gridSpan w:val="2"/>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sz w:val="20"/>
                <w:szCs w:val="20"/>
              </w:rPr>
            </w:pPr>
            <w:r>
              <w:rPr>
                <w:rFonts w:ascii="宋体" w:hAnsi="宋体" w:cs="宋体" w:hint="eastAsia"/>
                <w:b/>
                <w:kern w:val="0"/>
                <w:sz w:val="20"/>
                <w:szCs w:val="20"/>
              </w:rPr>
              <w:t>考评项目</w:t>
            </w:r>
          </w:p>
        </w:tc>
        <w:tc>
          <w:tcPr>
            <w:tcW w:w="6162" w:type="dxa"/>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sz w:val="20"/>
                <w:szCs w:val="20"/>
              </w:rPr>
            </w:pPr>
            <w:r>
              <w:rPr>
                <w:rFonts w:ascii="宋体" w:hAnsi="宋体" w:cs="宋体" w:hint="eastAsia"/>
                <w:b/>
                <w:kern w:val="0"/>
                <w:sz w:val="20"/>
                <w:szCs w:val="20"/>
              </w:rPr>
              <w:t>考评标准</w:t>
            </w:r>
          </w:p>
        </w:tc>
        <w:tc>
          <w:tcPr>
            <w:tcW w:w="1084" w:type="dxa"/>
            <w:tcBorders>
              <w:top w:val="single" w:sz="12"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sz w:val="20"/>
                <w:szCs w:val="20"/>
              </w:rPr>
            </w:pPr>
            <w:r>
              <w:rPr>
                <w:rFonts w:ascii="宋体" w:hAnsi="宋体" w:cs="宋体" w:hint="eastAsia"/>
                <w:b/>
                <w:kern w:val="0"/>
                <w:sz w:val="20"/>
                <w:szCs w:val="20"/>
              </w:rPr>
              <w:t>扣分或加分</w:t>
            </w:r>
          </w:p>
        </w:tc>
      </w:tr>
      <w:tr w:rsidR="00D22B3A" w:rsidTr="005E6124">
        <w:trPr>
          <w:trHeight w:val="1800"/>
          <w:jc w:val="center"/>
        </w:trPr>
        <w:tc>
          <w:tcPr>
            <w:tcW w:w="475" w:type="dxa"/>
            <w:vMerge w:val="restart"/>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sz w:val="20"/>
                <w:szCs w:val="20"/>
              </w:rPr>
            </w:pPr>
            <w:r>
              <w:rPr>
                <w:rFonts w:ascii="宋体" w:hAnsi="宋体" w:cs="宋体" w:hint="eastAsia"/>
                <w:b/>
                <w:kern w:val="0"/>
                <w:sz w:val="20"/>
                <w:szCs w:val="20"/>
              </w:rPr>
              <w:t>1</w:t>
            </w:r>
          </w:p>
        </w:tc>
        <w:tc>
          <w:tcPr>
            <w:tcW w:w="6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人员履职（15分）</w:t>
            </w: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人员到岗（5分）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Fonts w:ascii="宋体" w:hAnsi="宋体" w:cs="宋体" w:hint="eastAsia"/>
                <w:kern w:val="0"/>
                <w:sz w:val="20"/>
                <w:szCs w:val="20"/>
              </w:rPr>
              <w:t>主要管理人员应到岗履职，若需更换，必须报业主批准。</w:t>
            </w:r>
            <w:r>
              <w:rPr>
                <w:rFonts w:ascii="宋体" w:hAnsi="宋体" w:cs="宋体" w:hint="eastAsia"/>
                <w:kern w:val="0"/>
                <w:sz w:val="20"/>
                <w:szCs w:val="20"/>
              </w:rPr>
              <w:br/>
              <w:t>1、更换人员资格条件低于投标文件承诺的，或未经业主批准更换，主要人员每人次扣2分，其他人员每人次扣0.5分；</w:t>
            </w:r>
            <w:r>
              <w:rPr>
                <w:rFonts w:ascii="宋体" w:hAnsi="宋体" w:cs="宋体" w:hint="eastAsia"/>
                <w:kern w:val="0"/>
                <w:sz w:val="20"/>
                <w:szCs w:val="20"/>
              </w:rPr>
              <w:br/>
              <w:t>2、项目经理、技术负责人未到岗履职，每人次扣1分（现场提供业主批复同意请假的除外）；</w:t>
            </w:r>
            <w:r>
              <w:rPr>
                <w:rFonts w:ascii="宋体" w:hAnsi="宋体" w:cs="宋体" w:hint="eastAsia"/>
                <w:kern w:val="0"/>
                <w:sz w:val="20"/>
                <w:szCs w:val="20"/>
              </w:rPr>
              <w:br/>
              <w:t>3、专业工程师进场人数少于投标承诺的（专业工程师按照施工阶段进场），每人次扣0.5分。</w:t>
            </w:r>
          </w:p>
        </w:tc>
        <w:tc>
          <w:tcPr>
            <w:tcW w:w="1084"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b/>
                <w:sz w:val="20"/>
                <w:szCs w:val="20"/>
              </w:rPr>
            </w:pPr>
          </w:p>
        </w:tc>
      </w:tr>
      <w:tr w:rsidR="00D22B3A" w:rsidTr="005E6124">
        <w:trPr>
          <w:trHeight w:val="780"/>
          <w:jc w:val="center"/>
        </w:trPr>
        <w:tc>
          <w:tcPr>
            <w:tcW w:w="475"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b/>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履职实效（10分）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b/>
                <w:sz w:val="20"/>
                <w:szCs w:val="20"/>
              </w:rPr>
            </w:pPr>
            <w:r>
              <w:rPr>
                <w:rFonts w:ascii="宋体" w:hAnsi="宋体" w:cs="宋体" w:hint="eastAsia"/>
                <w:b/>
                <w:kern w:val="0"/>
                <w:sz w:val="20"/>
                <w:szCs w:val="20"/>
              </w:rPr>
              <w:t>履职实效分=10*[除人员履职及进度管理考核项外的总得分（含加分项）]/70</w:t>
            </w:r>
          </w:p>
        </w:tc>
        <w:tc>
          <w:tcPr>
            <w:tcW w:w="1084"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b/>
                <w:sz w:val="20"/>
                <w:szCs w:val="20"/>
              </w:rPr>
            </w:pPr>
          </w:p>
        </w:tc>
      </w:tr>
      <w:tr w:rsidR="00D22B3A" w:rsidTr="005E6124">
        <w:trPr>
          <w:trHeight w:val="1120"/>
          <w:jc w:val="center"/>
        </w:trPr>
        <w:tc>
          <w:tcPr>
            <w:tcW w:w="475" w:type="dxa"/>
            <w:vMerge w:val="restart"/>
            <w:tcBorders>
              <w:top w:val="single" w:sz="4" w:space="0" w:color="000000"/>
              <w:left w:val="single" w:sz="12" w:space="0" w:color="000000"/>
              <w:bottom w:val="nil"/>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2</w:t>
            </w:r>
          </w:p>
        </w:tc>
        <w:tc>
          <w:tcPr>
            <w:tcW w:w="6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进度管理（15分）</w:t>
            </w: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进度计划编制与调整（3分）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Fonts w:ascii="宋体" w:hAnsi="宋体" w:cs="宋体" w:hint="eastAsia"/>
                <w:kern w:val="0"/>
                <w:sz w:val="20"/>
                <w:szCs w:val="20"/>
              </w:rPr>
              <w:t>1、未按要求编制总体、年、月、控制性工程施工进度计划及调整进度计划、节后复工施工计划等资料的，每项扣1分；</w:t>
            </w:r>
            <w:r>
              <w:rPr>
                <w:rFonts w:ascii="宋体" w:hAnsi="宋体" w:cs="宋体" w:hint="eastAsia"/>
                <w:kern w:val="0"/>
                <w:sz w:val="20"/>
                <w:szCs w:val="20"/>
              </w:rPr>
              <w:br/>
              <w:t>2、进度计划编制与现场实际比对，不符合项目实际，扣0.5分；或未体现施工组织及人、料、机计划工作内容、流于形式的，扣0.5分。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r>
      <w:tr w:rsidR="00D22B3A" w:rsidTr="005E6124">
        <w:trPr>
          <w:trHeight w:val="1590"/>
          <w:jc w:val="center"/>
        </w:trPr>
        <w:tc>
          <w:tcPr>
            <w:tcW w:w="475" w:type="dxa"/>
            <w:vMerge/>
            <w:tcBorders>
              <w:top w:val="single" w:sz="4" w:space="0" w:color="000000"/>
              <w:left w:val="single" w:sz="12" w:space="0" w:color="000000"/>
              <w:bottom w:val="nil"/>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实际进度（12分）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b/>
                <w:sz w:val="20"/>
                <w:szCs w:val="20"/>
              </w:rPr>
            </w:pPr>
            <w:r>
              <w:rPr>
                <w:rStyle w:val="font01"/>
                <w:rFonts w:hint="default"/>
                <w:color w:val="auto"/>
              </w:rPr>
              <w:t>进度总体正常、控制性工程进度可控，或进度滞后但积极采取相关进度补救措施，加大施工要素投入力度并调整进度计划，取得实效的得12分</w:t>
            </w:r>
            <w:r>
              <w:rPr>
                <w:rStyle w:val="font61"/>
                <w:rFonts w:hint="default"/>
                <w:color w:val="auto"/>
              </w:rPr>
              <w:t>，若出现以下情形的：</w:t>
            </w:r>
            <w:r>
              <w:rPr>
                <w:rStyle w:val="font61"/>
                <w:rFonts w:hint="default"/>
                <w:color w:val="auto"/>
              </w:rPr>
              <w:br/>
              <w:t>1、因施工单位投入不足，与总体进度计划相比，关键节点进度明显滞后的，扣3-5分。</w:t>
            </w:r>
            <w:r>
              <w:rPr>
                <w:rStyle w:val="font61"/>
                <w:rFonts w:hint="default"/>
                <w:color w:val="auto"/>
              </w:rPr>
              <w:br/>
              <w:t>2、超合同工期进度，每超1个月扣0.5分,封顶扣5分（现场提供业主相关证明材料，同意延期的不扣分）。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r>
      <w:tr w:rsidR="00D22B3A" w:rsidTr="005E6124">
        <w:trPr>
          <w:trHeight w:val="3280"/>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2"/>
                <w:szCs w:val="22"/>
              </w:rPr>
            </w:pPr>
            <w:r>
              <w:rPr>
                <w:rFonts w:ascii="宋体" w:hAnsi="宋体" w:cs="宋体" w:hint="eastAsia"/>
                <w:kern w:val="0"/>
                <w:sz w:val="22"/>
                <w:szCs w:val="22"/>
              </w:rPr>
              <w:t>3</w:t>
            </w:r>
          </w:p>
        </w:tc>
        <w:tc>
          <w:tcPr>
            <w:tcW w:w="65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工地建设标准化（满分10分）</w:t>
            </w:r>
          </w:p>
        </w:tc>
        <w:tc>
          <w:tcPr>
            <w:tcW w:w="906"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Style w:val="font61"/>
                <w:rFonts w:hint="default"/>
                <w:color w:val="auto"/>
              </w:rPr>
              <w:t>分梁片集中预制、钢筋集中</w:t>
            </w:r>
            <w:r>
              <w:rPr>
                <w:rStyle w:val="font41"/>
                <w:rFonts w:hint="default"/>
                <w:color w:val="auto"/>
              </w:rPr>
              <w:t>加工</w:t>
            </w:r>
            <w:r>
              <w:rPr>
                <w:rStyle w:val="font61"/>
                <w:rFonts w:hint="default"/>
                <w:color w:val="auto"/>
              </w:rPr>
              <w:t>、混凝土集中拌和、中小构件集中预制、</w:t>
            </w:r>
            <w:r>
              <w:rPr>
                <w:rStyle w:val="font61"/>
                <w:rFonts w:hint="default"/>
                <w:color w:val="auto"/>
              </w:rPr>
              <w:lastRenderedPageBreak/>
              <w:t>数据集中管控及驻地标准化建设等5大类，</w:t>
            </w:r>
            <w:r>
              <w:rPr>
                <w:rStyle w:val="font61"/>
                <w:rFonts w:hint="default"/>
                <w:b/>
                <w:bCs/>
                <w:color w:val="auto"/>
              </w:rPr>
              <w:t>各分项满分均为10分，最后取所检查项得分算术平均分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Style w:val="font61"/>
                <w:rFonts w:hint="default"/>
                <w:color w:val="auto"/>
              </w:rPr>
              <w:lastRenderedPageBreak/>
              <w:t>梁片集中预制（10分）：</w:t>
            </w:r>
            <w:r>
              <w:rPr>
                <w:rStyle w:val="font61"/>
                <w:rFonts w:hint="default"/>
                <w:color w:val="auto"/>
              </w:rPr>
              <w:br/>
              <w:t xml:space="preserve">1.未落实梁片集中预制，或桥梁张拉未采用智能张拉施工工艺的，本项不得分（外购除外）。 </w:t>
            </w:r>
            <w:r>
              <w:rPr>
                <w:rStyle w:val="font61"/>
                <w:rFonts w:hint="default"/>
                <w:color w:val="auto"/>
              </w:rPr>
              <w:br/>
              <w:t>2.预制内、外模未采用钢模板，各扣3分</w:t>
            </w:r>
            <w:r>
              <w:rPr>
                <w:rStyle w:val="font61"/>
                <w:rFonts w:hint="default"/>
                <w:color w:val="auto"/>
              </w:rPr>
              <w:br/>
              <w:t>3.预制场地硬化面积不符合要求，扣2分</w:t>
            </w:r>
            <w:r>
              <w:rPr>
                <w:rStyle w:val="font61"/>
                <w:rFonts w:hint="default"/>
                <w:color w:val="auto"/>
              </w:rPr>
              <w:br/>
              <w:t>4.预制梁骨架钢筋安装时未采用定位架，扣1分；未按设计要求采用预应力管道定位钢筋，扣1分；钢筋保护层垫块设置不符合要求，扣1分；未采用自动喷淋养生设施，或喷淋养生不到位，扣1分。</w:t>
            </w:r>
            <w:r>
              <w:rPr>
                <w:rStyle w:val="font61"/>
                <w:rFonts w:hint="default"/>
                <w:color w:val="auto"/>
              </w:rPr>
              <w:br/>
            </w:r>
            <w:r>
              <w:rPr>
                <w:rStyle w:val="font61"/>
                <w:rFonts w:hint="default"/>
                <w:color w:val="auto"/>
              </w:rPr>
              <w:lastRenderedPageBreak/>
              <w:t>5.场地积水或排水不畅；梁片湿接缝凿毛不到位；预应力索张拉不及时或端头未采取保护措施；预制台座未采用混凝土浇筑；梁身未喷涂统一标识或贴二维码、信息标识不完善，每项扣</w:t>
            </w:r>
            <w:r>
              <w:rPr>
                <w:rStyle w:val="font41"/>
                <w:rFonts w:hint="default"/>
                <w:color w:val="auto"/>
              </w:rPr>
              <w:t>1分。</w:t>
            </w:r>
            <w:r>
              <w:rPr>
                <w:rStyle w:val="font61"/>
                <w:rFonts w:hint="default"/>
                <w:color w:val="auto"/>
              </w:rPr>
              <w:br/>
              <w:t>6.其他不符合梁片集中预制标准化行为，每项扣</w:t>
            </w:r>
            <w:r>
              <w:rPr>
                <w:rStyle w:val="font41"/>
                <w:rFonts w:hint="default"/>
                <w:color w:val="auto"/>
              </w:rPr>
              <w:t>1分，扣完为止</w:t>
            </w:r>
            <w:r>
              <w:rPr>
                <w:rStyle w:val="font61"/>
                <w:rFonts w:hint="default"/>
                <w:color w:val="auto"/>
              </w:rPr>
              <w:t>。</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r>
      <w:tr w:rsidR="00D22B3A" w:rsidTr="005E6124">
        <w:trPr>
          <w:trHeight w:val="2800"/>
          <w:jc w:val="center"/>
        </w:trPr>
        <w:tc>
          <w:tcPr>
            <w:tcW w:w="4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2"/>
                <w:szCs w:val="22"/>
              </w:rPr>
            </w:pPr>
          </w:p>
        </w:tc>
        <w:tc>
          <w:tcPr>
            <w:tcW w:w="6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Style w:val="font61"/>
                <w:rFonts w:hint="default"/>
                <w:color w:val="auto"/>
              </w:rPr>
              <w:t>钢筋集中</w:t>
            </w:r>
            <w:r>
              <w:rPr>
                <w:rStyle w:val="font41"/>
                <w:rFonts w:hint="default"/>
                <w:color w:val="auto"/>
              </w:rPr>
              <w:t>加工</w:t>
            </w:r>
            <w:r>
              <w:rPr>
                <w:rStyle w:val="font61"/>
                <w:rFonts w:hint="default"/>
                <w:color w:val="auto"/>
              </w:rPr>
              <w:t>（10分）</w:t>
            </w:r>
            <w:r>
              <w:rPr>
                <w:rStyle w:val="font61"/>
                <w:rFonts w:hint="default"/>
                <w:color w:val="auto"/>
              </w:rPr>
              <w:br/>
              <w:t>1.未落实钢筋集中加工配送，本项不得分</w:t>
            </w:r>
            <w:r>
              <w:rPr>
                <w:rStyle w:val="font61"/>
                <w:rFonts w:hint="default"/>
                <w:color w:val="auto"/>
              </w:rPr>
              <w:br/>
              <w:t>2.钢筋加工棚面积不符合要求，扣2分</w:t>
            </w:r>
            <w:r>
              <w:rPr>
                <w:rStyle w:val="font61"/>
                <w:rFonts w:hint="default"/>
                <w:color w:val="auto"/>
              </w:rPr>
              <w:br/>
              <w:t>3.结构物钢筋加工总量1千吨以上的未采用数控加工，或2千吨以上的未采用“双数控”加工，</w:t>
            </w:r>
            <w:r>
              <w:rPr>
                <w:rStyle w:val="font41"/>
                <w:rFonts w:hint="default"/>
                <w:color w:val="auto"/>
              </w:rPr>
              <w:t>扣2分</w:t>
            </w:r>
            <w:r>
              <w:rPr>
                <w:rStyle w:val="font61"/>
                <w:rFonts w:hint="default"/>
                <w:color w:val="auto"/>
              </w:rPr>
              <w:br/>
              <w:t>4.场地积水或排水不畅；原材料、半成品或成品未分区堆放；未悬挂对应的钢筋大样图；未按要求设置钢筋标识标牌：钢筋焊接未采用二氧化碳气体保护焊；钢筋机械连接头</w:t>
            </w:r>
            <w:r>
              <w:rPr>
                <w:rStyle w:val="font41"/>
                <w:rFonts w:hint="default"/>
                <w:color w:val="auto"/>
              </w:rPr>
              <w:t>未按规定钝粗</w:t>
            </w:r>
            <w:r>
              <w:rPr>
                <w:rStyle w:val="font61"/>
                <w:rFonts w:hint="default"/>
                <w:color w:val="auto"/>
              </w:rPr>
              <w:t>或未标识套筒位置，每项扣</w:t>
            </w:r>
            <w:r>
              <w:rPr>
                <w:rStyle w:val="font41"/>
                <w:rFonts w:hint="default"/>
                <w:color w:val="auto"/>
              </w:rPr>
              <w:t>1分。</w:t>
            </w:r>
            <w:r>
              <w:rPr>
                <w:rStyle w:val="font61"/>
                <w:rFonts w:hint="default"/>
                <w:color w:val="auto"/>
              </w:rPr>
              <w:br/>
              <w:t>5. 其他不符合钢筋集中加工标准化行为，每项</w:t>
            </w:r>
            <w:r>
              <w:rPr>
                <w:rStyle w:val="font41"/>
                <w:rFonts w:hint="default"/>
                <w:color w:val="auto"/>
              </w:rPr>
              <w:t>扣1分，扣完为止</w:t>
            </w:r>
            <w:r>
              <w:rPr>
                <w:rStyle w:val="font61"/>
                <w:rFonts w:hint="default"/>
                <w:color w:val="auto"/>
              </w:rPr>
              <w:t>。</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r>
      <w:tr w:rsidR="00D22B3A" w:rsidTr="005E6124">
        <w:trPr>
          <w:trHeight w:val="2180"/>
          <w:jc w:val="center"/>
        </w:trPr>
        <w:tc>
          <w:tcPr>
            <w:tcW w:w="4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2"/>
                <w:szCs w:val="22"/>
              </w:rPr>
            </w:pPr>
          </w:p>
        </w:tc>
        <w:tc>
          <w:tcPr>
            <w:tcW w:w="6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Style w:val="font61"/>
                <w:rFonts w:hint="default"/>
                <w:color w:val="auto"/>
              </w:rPr>
              <w:t>混凝土集中拌和（10分）：</w:t>
            </w:r>
            <w:r>
              <w:rPr>
                <w:rStyle w:val="font61"/>
                <w:rFonts w:hint="default"/>
                <w:color w:val="auto"/>
              </w:rPr>
              <w:br/>
              <w:t>1.未落实混凝土集中拌和，本项不得分（商砼除外）</w:t>
            </w:r>
            <w:r>
              <w:rPr>
                <w:rStyle w:val="font61"/>
                <w:rFonts w:hint="default"/>
                <w:color w:val="auto"/>
              </w:rPr>
              <w:br/>
              <w:t>2.砂石料场及拌和站场地硬化面积不符合要求，扣2分</w:t>
            </w:r>
            <w:r>
              <w:rPr>
                <w:rStyle w:val="font61"/>
                <w:rFonts w:hint="default"/>
                <w:color w:val="auto"/>
              </w:rPr>
              <w:br/>
              <w:t>3.未采用自动计量及强制式拌和机，扣1分</w:t>
            </w:r>
            <w:r>
              <w:rPr>
                <w:rStyle w:val="font61"/>
                <w:rFonts w:hint="default"/>
                <w:color w:val="auto"/>
              </w:rPr>
              <w:br/>
              <w:t>4.场地积水或排水不畅；碎石粒径不符合规范要求或砂含泥量偏大；砂石料分仓不到位或露天堆放；未按要求设置原材及配合比标识标牌，每项</w:t>
            </w:r>
            <w:r>
              <w:rPr>
                <w:rStyle w:val="font41"/>
                <w:rFonts w:hint="default"/>
                <w:color w:val="auto"/>
              </w:rPr>
              <w:t>扣1分。</w:t>
            </w:r>
            <w:r>
              <w:rPr>
                <w:rStyle w:val="font61"/>
                <w:rFonts w:hint="default"/>
                <w:color w:val="auto"/>
              </w:rPr>
              <w:br/>
              <w:t>5.其他不符合砼集中拌和标准化行为，每项扣</w:t>
            </w:r>
            <w:r>
              <w:rPr>
                <w:rStyle w:val="font41"/>
                <w:rFonts w:hint="default"/>
                <w:color w:val="auto"/>
              </w:rPr>
              <w:t>1分，扣完为止</w:t>
            </w:r>
            <w:r>
              <w:rPr>
                <w:rStyle w:val="font61"/>
                <w:rFonts w:hint="default"/>
                <w:color w:val="auto"/>
              </w:rPr>
              <w:t>。</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r>
      <w:tr w:rsidR="00D22B3A" w:rsidTr="005E6124">
        <w:trPr>
          <w:trHeight w:val="1960"/>
          <w:jc w:val="center"/>
        </w:trPr>
        <w:tc>
          <w:tcPr>
            <w:tcW w:w="4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2"/>
                <w:szCs w:val="22"/>
              </w:rPr>
            </w:pPr>
          </w:p>
        </w:tc>
        <w:tc>
          <w:tcPr>
            <w:tcW w:w="6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Style w:val="font61"/>
                <w:rFonts w:hint="default"/>
                <w:color w:val="auto"/>
              </w:rPr>
              <w:t>中小构件集中预制（10分）：</w:t>
            </w:r>
            <w:r>
              <w:rPr>
                <w:rStyle w:val="font61"/>
                <w:rFonts w:hint="default"/>
                <w:color w:val="auto"/>
              </w:rPr>
              <w:br/>
              <w:t>1.未落实中小构件集中预制，本项不得分（外购除外）</w:t>
            </w:r>
            <w:r>
              <w:rPr>
                <w:rStyle w:val="font61"/>
                <w:rFonts w:hint="default"/>
                <w:color w:val="auto"/>
              </w:rPr>
              <w:br/>
              <w:t>2.预制场地硬化面积不符合要求，扣2分</w:t>
            </w:r>
            <w:r>
              <w:rPr>
                <w:rStyle w:val="font61"/>
                <w:rFonts w:hint="default"/>
                <w:color w:val="auto"/>
              </w:rPr>
              <w:br/>
              <w:t>3.场地积水或排水不畅；预制件养护不到位；成品外观质量差、蜂窝麻面等明显缺陷的，每项扣1分</w:t>
            </w:r>
            <w:r>
              <w:rPr>
                <w:rStyle w:val="font61"/>
                <w:rFonts w:hint="default"/>
                <w:color w:val="auto"/>
              </w:rPr>
              <w:br/>
            </w:r>
            <w:r>
              <w:rPr>
                <w:rStyle w:val="font61"/>
                <w:rFonts w:hint="default"/>
                <w:color w:val="auto"/>
              </w:rPr>
              <w:lastRenderedPageBreak/>
              <w:t>4.其他不符合中小构件集中预制标准化行为，每项</w:t>
            </w:r>
            <w:r>
              <w:rPr>
                <w:rStyle w:val="font41"/>
                <w:rFonts w:hint="default"/>
                <w:color w:val="auto"/>
              </w:rPr>
              <w:t>扣1分，扣完为止。</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r>
      <w:tr w:rsidR="00D22B3A" w:rsidTr="005E6124">
        <w:trPr>
          <w:trHeight w:val="6405"/>
          <w:jc w:val="center"/>
        </w:trPr>
        <w:tc>
          <w:tcPr>
            <w:tcW w:w="4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2"/>
                <w:szCs w:val="22"/>
              </w:rPr>
            </w:pPr>
          </w:p>
        </w:tc>
        <w:tc>
          <w:tcPr>
            <w:tcW w:w="6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162" w:type="dxa"/>
            <w:tcBorders>
              <w:top w:val="single" w:sz="4" w:space="0" w:color="000000"/>
              <w:left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Style w:val="font61"/>
                <w:rFonts w:hint="default"/>
                <w:color w:val="auto"/>
              </w:rPr>
            </w:pPr>
            <w:r>
              <w:rPr>
                <w:rStyle w:val="font61"/>
                <w:rFonts w:hint="default"/>
                <w:color w:val="auto"/>
              </w:rPr>
              <w:t>数据集中管控及驻地建设标准化（10分）：</w:t>
            </w:r>
            <w:r>
              <w:rPr>
                <w:rStyle w:val="font61"/>
                <w:rFonts w:hint="default"/>
                <w:color w:val="auto"/>
              </w:rPr>
              <w:br/>
              <w:t>1.未落实关键数据集中管控（合同价小于1亿元的标段除外），本项不得分</w:t>
            </w:r>
            <w:r>
              <w:rPr>
                <w:rStyle w:val="font61"/>
                <w:rFonts w:hint="default"/>
                <w:color w:val="auto"/>
              </w:rPr>
              <w:br/>
              <w:t>2.合同价2亿元以上的标段每月未采用无人机拍摄全线施工现场（因空域管控不允许无人机飞行除外），本项不得分</w:t>
            </w:r>
            <w:r>
              <w:rPr>
                <w:rStyle w:val="font61"/>
                <w:rFonts w:hint="default"/>
                <w:color w:val="auto"/>
              </w:rPr>
              <w:br/>
              <w:t>3.预应力张拉数据未集中管控，扣5分</w:t>
            </w:r>
            <w:r>
              <w:rPr>
                <w:rStyle w:val="font61"/>
                <w:rFonts w:hint="default"/>
                <w:color w:val="auto"/>
              </w:rPr>
              <w:br/>
              <w:t>4.合同价1亿元以上的标段，砼试块、钢筋试验数据及混凝土拌合数据未集中管控，未对重要工点进行视频监控，每项</w:t>
            </w:r>
            <w:r>
              <w:rPr>
                <w:rStyle w:val="font41"/>
                <w:rFonts w:hint="default"/>
                <w:color w:val="auto"/>
              </w:rPr>
              <w:t>扣1分</w:t>
            </w:r>
            <w:r>
              <w:rPr>
                <w:rStyle w:val="font61"/>
                <w:rFonts w:hint="default"/>
                <w:color w:val="auto"/>
              </w:rPr>
              <w:t>。</w:t>
            </w:r>
          </w:p>
          <w:p w:rsidR="00D22B3A" w:rsidRDefault="00D22B3A" w:rsidP="005E6124">
            <w:pPr>
              <w:widowControl/>
              <w:spacing w:line="400" w:lineRule="exact"/>
              <w:jc w:val="left"/>
              <w:textAlignment w:val="center"/>
              <w:rPr>
                <w:rFonts w:ascii="宋体" w:hAnsi="宋体" w:cs="宋体"/>
                <w:sz w:val="20"/>
                <w:szCs w:val="20"/>
              </w:rPr>
            </w:pPr>
            <w:r>
              <w:rPr>
                <w:rStyle w:val="font61"/>
                <w:rFonts w:hint="default"/>
                <w:color w:val="auto"/>
              </w:rPr>
              <w:t>5.项目驻地选址不符合标准化设置要求的，或未按标准化要求设置各办公室、会议室的，扣5分； 驻地办公、生活区未分开设置扣2分；驻地环境脏、乱、差，扣3分</w:t>
            </w:r>
            <w:r>
              <w:rPr>
                <w:rStyle w:val="font61"/>
                <w:rFonts w:hint="default"/>
                <w:color w:val="auto"/>
              </w:rPr>
              <w:br/>
              <w:t>6.进度、组织机构、人员职责、安全质量保证体系、晴雨表等图表未上墙；施工路口未设置工程简介牌、安全标示标牌；施工计划管理制度、工程技术管理制度、工程质量管理制度、施工安全管理制度、文明环保施工管理制度、试验检测管理制度等管理制度未上墙，每项扣</w:t>
            </w:r>
            <w:r>
              <w:rPr>
                <w:rStyle w:val="font41"/>
                <w:rFonts w:hint="default"/>
                <w:color w:val="auto"/>
              </w:rPr>
              <w:t>1分</w:t>
            </w:r>
            <w:r>
              <w:rPr>
                <w:rStyle w:val="font61"/>
                <w:rFonts w:hint="default"/>
                <w:color w:val="auto"/>
              </w:rPr>
              <w:t>；</w:t>
            </w:r>
            <w:r>
              <w:rPr>
                <w:rStyle w:val="font61"/>
                <w:rFonts w:hint="default"/>
                <w:color w:val="auto"/>
              </w:rPr>
              <w:br/>
              <w:t>7、主要管理人员未挂牌上岗，扣2分。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r>
      <w:tr w:rsidR="00D22B3A" w:rsidTr="005E6124">
        <w:trPr>
          <w:trHeight w:val="1860"/>
          <w:jc w:val="center"/>
        </w:trPr>
        <w:tc>
          <w:tcPr>
            <w:tcW w:w="475" w:type="dxa"/>
            <w:vMerge w:val="restart"/>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4</w:t>
            </w:r>
          </w:p>
        </w:tc>
        <w:tc>
          <w:tcPr>
            <w:tcW w:w="6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施工及安全文明生产标准化（45分）</w:t>
            </w:r>
          </w:p>
        </w:tc>
        <w:tc>
          <w:tcPr>
            <w:tcW w:w="90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总体要求（25分）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Style w:val="font61"/>
                <w:rFonts w:hint="default"/>
                <w:color w:val="auto"/>
              </w:rPr>
            </w:pPr>
            <w:r>
              <w:rPr>
                <w:rStyle w:val="font01"/>
                <w:rFonts w:hint="default"/>
                <w:color w:val="auto"/>
              </w:rPr>
              <w:t>质量安全总体可控，未发生质量或安全责任事故，得基本分25分</w:t>
            </w:r>
            <w:r>
              <w:rPr>
                <w:rStyle w:val="font61"/>
                <w:rFonts w:hint="default"/>
                <w:color w:val="auto"/>
              </w:rPr>
              <w:t>。若存在以下情况的：</w:t>
            </w:r>
            <w:r>
              <w:rPr>
                <w:rStyle w:val="font61"/>
                <w:rFonts w:hint="default"/>
                <w:color w:val="auto"/>
              </w:rPr>
              <w:br/>
              <w:t>（1）停工待检，扣3分。</w:t>
            </w:r>
            <w:r>
              <w:rPr>
                <w:rStyle w:val="font61"/>
                <w:rFonts w:hint="default"/>
                <w:color w:val="auto"/>
              </w:rPr>
              <w:br/>
              <w:t>（2）对省级通知、通报的问题拒不整改或屡通报不改，每次扣3分。</w:t>
            </w:r>
            <w:r>
              <w:rPr>
                <w:rStyle w:val="font61"/>
                <w:rFonts w:hint="default"/>
                <w:color w:val="auto"/>
              </w:rPr>
              <w:br/>
              <w:t>（3）被省级组织质量检测抽检通报批评的，每次扣3分。</w:t>
            </w:r>
            <w:r>
              <w:rPr>
                <w:rStyle w:val="font61"/>
                <w:rFonts w:hint="default"/>
                <w:color w:val="auto"/>
              </w:rPr>
              <w:br/>
              <w:t>（4）发现使用禁止类淘汰施工工艺的，每项次扣3分，违规使用限制类淘汰工艺的，每项次扣2分。</w:t>
            </w:r>
          </w:p>
          <w:p w:rsidR="00D22B3A" w:rsidRDefault="00D22B3A" w:rsidP="005E6124">
            <w:pPr>
              <w:widowControl/>
              <w:spacing w:line="400" w:lineRule="exact"/>
              <w:jc w:val="left"/>
              <w:textAlignment w:val="center"/>
              <w:rPr>
                <w:rStyle w:val="font61"/>
                <w:rFonts w:hint="default"/>
                <w:color w:val="auto"/>
              </w:rPr>
            </w:pPr>
            <w:r>
              <w:rPr>
                <w:rStyle w:val="font61"/>
                <w:rFonts w:hint="default"/>
                <w:color w:val="auto"/>
              </w:rPr>
              <w:t>（5）施工现场脏乱差，道路泥泞、积水严重，安全文明施工措施不落实的，扣5分。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r>
      <w:tr w:rsidR="00D22B3A" w:rsidTr="005E6124">
        <w:trPr>
          <w:trHeight w:val="2500"/>
          <w:jc w:val="center"/>
        </w:trPr>
        <w:tc>
          <w:tcPr>
            <w:tcW w:w="475" w:type="dxa"/>
            <w:vMerge/>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Style w:val="font61"/>
                <w:rFonts w:hint="default"/>
                <w:color w:val="auto"/>
              </w:rPr>
              <w:t>质量安全实效（满分20分）</w:t>
            </w:r>
            <w:r>
              <w:rPr>
                <w:rStyle w:val="font61"/>
                <w:rFonts w:hint="default"/>
                <w:color w:val="auto"/>
              </w:rPr>
              <w:br/>
              <w:t>分路基、路面、桥梁、隧道等四大类，</w:t>
            </w:r>
            <w:r>
              <w:rPr>
                <w:rStyle w:val="font61"/>
                <w:rFonts w:hint="default"/>
                <w:b/>
                <w:bCs/>
                <w:color w:val="auto"/>
              </w:rPr>
              <w:t>各分项满分均为20分，</w:t>
            </w:r>
            <w:r>
              <w:rPr>
                <w:rStyle w:val="font01"/>
                <w:rFonts w:hint="default"/>
                <w:color w:val="auto"/>
              </w:rPr>
              <w:t>最后取所检查项得分算术平均分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Fonts w:ascii="宋体" w:hAnsi="宋体" w:cs="宋体" w:hint="eastAsia"/>
                <w:kern w:val="0"/>
                <w:sz w:val="20"/>
                <w:szCs w:val="20"/>
              </w:rPr>
              <w:t>路基工程（20分）：</w:t>
            </w:r>
            <w:r>
              <w:rPr>
                <w:rFonts w:ascii="宋体" w:hAnsi="宋体" w:cs="宋体" w:hint="eastAsia"/>
                <w:kern w:val="0"/>
                <w:sz w:val="20"/>
                <w:szCs w:val="20"/>
              </w:rPr>
              <w:br/>
              <w:t>1、对挡墙、涵洞、护栏混凝土结构物施工未采用钢模板，扣3分。</w:t>
            </w:r>
            <w:r>
              <w:rPr>
                <w:rFonts w:ascii="宋体" w:hAnsi="宋体" w:cs="宋体" w:hint="eastAsia"/>
                <w:kern w:val="0"/>
                <w:sz w:val="20"/>
                <w:szCs w:val="20"/>
              </w:rPr>
              <w:br/>
              <w:t>2、路基未采用平地机整平,路基填筑未按要求设置台阶的,三背回填未采用透水性材料,路基分层厚度、平整度、路拱度、路基填料不符合要求，每项扣2分；</w:t>
            </w:r>
            <w:r>
              <w:rPr>
                <w:rFonts w:ascii="宋体" w:hAnsi="宋体" w:cs="宋体" w:hint="eastAsia"/>
                <w:kern w:val="0"/>
                <w:sz w:val="20"/>
                <w:szCs w:val="20"/>
              </w:rPr>
              <w:br/>
              <w:t>3、无临时排水措施；混凝土挡墙表面跑模错台、蜂窝麻面、未按设计规定设置泄水孔、沉降缝；片石砼片石含量或尺寸不符合要求、浆砌片（块）石挡墙或护坡砂浆不饱满、边坡防护、路基排水、混凝土防撞护栏及波形防撞护栏等未按设计要求或施工规范要求施工，每项次扣1分；</w:t>
            </w:r>
            <w:r>
              <w:rPr>
                <w:rFonts w:ascii="宋体" w:hAnsi="宋体" w:cs="宋体" w:hint="eastAsia"/>
                <w:kern w:val="0"/>
                <w:sz w:val="20"/>
                <w:szCs w:val="20"/>
              </w:rPr>
              <w:br/>
              <w:t>4、路基施工未落实安全文明及生态环境保护措施，或措施落实不到位的，每项次扣1分。</w:t>
            </w:r>
          </w:p>
        </w:tc>
        <w:tc>
          <w:tcPr>
            <w:tcW w:w="1084" w:type="dxa"/>
            <w:vMerge w:val="restart"/>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sz w:val="20"/>
                <w:szCs w:val="20"/>
              </w:rPr>
            </w:pPr>
          </w:p>
        </w:tc>
      </w:tr>
      <w:tr w:rsidR="00D22B3A" w:rsidTr="005E6124">
        <w:trPr>
          <w:trHeight w:val="2880"/>
          <w:jc w:val="center"/>
        </w:trPr>
        <w:tc>
          <w:tcPr>
            <w:tcW w:w="475" w:type="dxa"/>
            <w:vMerge/>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Fonts w:ascii="宋体" w:hAnsi="宋体" w:cs="宋体" w:hint="eastAsia"/>
                <w:kern w:val="0"/>
                <w:sz w:val="20"/>
                <w:szCs w:val="20"/>
              </w:rPr>
              <w:t>路面工程（20分）：</w:t>
            </w:r>
            <w:r>
              <w:rPr>
                <w:rFonts w:ascii="宋体" w:hAnsi="宋体" w:cs="宋体" w:hint="eastAsia"/>
                <w:kern w:val="0"/>
                <w:sz w:val="20"/>
                <w:szCs w:val="20"/>
              </w:rPr>
              <w:br/>
              <w:t>1、水泥混凝土路面未采用带排插的三辊轴设备，或未采用等同路面设计厚度的钢模板，或沥青混凝土路面未采用摊铺机，扣10分；若因未采用上述设备而存在严重施工质量问题的，本项不得分。</w:t>
            </w:r>
            <w:r>
              <w:rPr>
                <w:rFonts w:ascii="宋体" w:hAnsi="宋体" w:cs="宋体" w:hint="eastAsia"/>
                <w:kern w:val="0"/>
                <w:sz w:val="20"/>
                <w:szCs w:val="20"/>
              </w:rPr>
              <w:br/>
              <w:t>2、路面结构层厚度不足的，扣5分；未铺设200米以上试验段的，扣3分；路面结构层压实度、平整度不满足要求的，每项扣3分；路面标线材料不符合要求的，扣5分。</w:t>
            </w:r>
            <w:r>
              <w:rPr>
                <w:rFonts w:ascii="宋体" w:hAnsi="宋体" w:cs="宋体" w:hint="eastAsia"/>
                <w:kern w:val="0"/>
                <w:sz w:val="20"/>
                <w:szCs w:val="20"/>
              </w:rPr>
              <w:br/>
              <w:t>3、水稳层、沥青面层碾压不到位，离析或松散；水稳层、水泥面层养生不到位，或养生期内保护不到位；沥青混合料摊铺过程受污染；沥青封层、粘层、透层未按规范要求施工；水泥路面拉杆或传力杆、接缝深度、填缝料、构造深度不符合规范要求、排水设施等未按设计要求或施工规范要求施工的，每项次扣2分；</w:t>
            </w:r>
            <w:r>
              <w:rPr>
                <w:rFonts w:ascii="宋体" w:hAnsi="宋体" w:cs="宋体" w:hint="eastAsia"/>
                <w:kern w:val="0"/>
                <w:sz w:val="20"/>
                <w:szCs w:val="20"/>
              </w:rPr>
              <w:br/>
              <w:t>4、路面施工未落实安全文明及生态环境保护措施，或措施落实不到位的，每项次扣1分。</w:t>
            </w:r>
          </w:p>
        </w:tc>
        <w:tc>
          <w:tcPr>
            <w:tcW w:w="1084" w:type="dxa"/>
            <w:vMerge/>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sz w:val="20"/>
                <w:szCs w:val="20"/>
              </w:rPr>
            </w:pPr>
          </w:p>
        </w:tc>
      </w:tr>
      <w:tr w:rsidR="00D22B3A" w:rsidTr="005E6124">
        <w:trPr>
          <w:trHeight w:val="840"/>
          <w:jc w:val="center"/>
        </w:trPr>
        <w:tc>
          <w:tcPr>
            <w:tcW w:w="475" w:type="dxa"/>
            <w:vMerge/>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Fonts w:ascii="宋体" w:hAnsi="宋体" w:cs="宋体" w:hint="eastAsia"/>
                <w:kern w:val="0"/>
                <w:sz w:val="20"/>
                <w:szCs w:val="20"/>
              </w:rPr>
              <w:t>桥梁工程（20分）：</w:t>
            </w:r>
            <w:r>
              <w:rPr>
                <w:rFonts w:ascii="宋体" w:hAnsi="宋体" w:cs="宋体" w:hint="eastAsia"/>
                <w:kern w:val="0"/>
                <w:sz w:val="20"/>
                <w:szCs w:val="20"/>
              </w:rPr>
              <w:br/>
              <w:t>1、桥梁未按照经批准的专项施工方案施工的，本项不得分。桥台、墩柱等混凝土结构物施工未采用钢模板的，扣5分。</w:t>
            </w:r>
            <w:r>
              <w:rPr>
                <w:rFonts w:ascii="宋体" w:hAnsi="宋体" w:cs="宋体" w:hint="eastAsia"/>
                <w:kern w:val="0"/>
                <w:sz w:val="20"/>
                <w:szCs w:val="20"/>
              </w:rPr>
              <w:br/>
              <w:t>2、结构物混凝土表面跑模错台或蜂窝麻面、露筋；钢筋锈蚀严重；保护层厚度控制不严；混凝土养生不到位；桥梁钢筋未按施工设计图纸或</w:t>
            </w:r>
            <w:r>
              <w:rPr>
                <w:rFonts w:ascii="宋体" w:hAnsi="宋体" w:cs="宋体" w:hint="eastAsia"/>
                <w:kern w:val="0"/>
                <w:sz w:val="20"/>
                <w:szCs w:val="20"/>
              </w:rPr>
              <w:lastRenderedPageBreak/>
              <w:t>施工规范加工或施工；桥梁满堂支架、脚手架或大型模板支撑体系不符合要求；桩基施工钢护筒超出地面高度不符合要求；打桩记录不及时、不真实；现场未保留取样；泥浆不符合规范要求；打桩机机况较差、固定不牢靠、油污严重；桩基施工现场脏乱差等未按设计要求或施工规范要求施工的，每项次扣2分；</w:t>
            </w:r>
            <w:r>
              <w:rPr>
                <w:rFonts w:ascii="宋体" w:hAnsi="宋体" w:cs="宋体" w:hint="eastAsia"/>
                <w:kern w:val="0"/>
                <w:sz w:val="20"/>
                <w:szCs w:val="20"/>
              </w:rPr>
              <w:br/>
              <w:t>3、桥梁施工未落实安全文明及生态环境保护措施，或措施落实不到位的，每项次扣1分。</w:t>
            </w:r>
          </w:p>
        </w:tc>
        <w:tc>
          <w:tcPr>
            <w:tcW w:w="1084" w:type="dxa"/>
            <w:vMerge/>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sz w:val="20"/>
                <w:szCs w:val="20"/>
              </w:rPr>
            </w:pPr>
          </w:p>
        </w:tc>
      </w:tr>
      <w:tr w:rsidR="00D22B3A" w:rsidTr="005E6124">
        <w:trPr>
          <w:trHeight w:val="2580"/>
          <w:jc w:val="center"/>
        </w:trPr>
        <w:tc>
          <w:tcPr>
            <w:tcW w:w="475" w:type="dxa"/>
            <w:vMerge/>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9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sz w:val="20"/>
                <w:szCs w:val="20"/>
              </w:rPr>
            </w:pPr>
          </w:p>
        </w:tc>
        <w:tc>
          <w:tcPr>
            <w:tcW w:w="6162" w:type="dxa"/>
            <w:tcBorders>
              <w:top w:val="single" w:sz="4" w:space="0" w:color="000000"/>
              <w:left w:val="single" w:sz="4" w:space="0" w:color="000000"/>
              <w:bottom w:val="single" w:sz="12"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sz w:val="20"/>
                <w:szCs w:val="20"/>
              </w:rPr>
            </w:pPr>
            <w:r>
              <w:rPr>
                <w:rFonts w:ascii="宋体" w:hAnsi="宋体" w:cs="宋体" w:hint="eastAsia"/>
                <w:kern w:val="0"/>
                <w:sz w:val="20"/>
                <w:szCs w:val="20"/>
              </w:rPr>
              <w:t>隧道工程（20分）：</w:t>
            </w:r>
            <w:r>
              <w:rPr>
                <w:rFonts w:ascii="宋体" w:hAnsi="宋体" w:cs="宋体" w:hint="eastAsia"/>
                <w:kern w:val="0"/>
                <w:sz w:val="20"/>
                <w:szCs w:val="20"/>
              </w:rPr>
              <w:br/>
              <w:t>1、对隧道二衬未采用整体式衬砌台车，或隧道未按照经批准的专项施工方案施工的，本项不得分。</w:t>
            </w:r>
            <w:r>
              <w:rPr>
                <w:rFonts w:ascii="宋体" w:hAnsi="宋体" w:cs="宋体" w:hint="eastAsia"/>
                <w:kern w:val="0"/>
                <w:sz w:val="20"/>
                <w:szCs w:val="20"/>
              </w:rPr>
              <w:br/>
              <w:t>2、支护滞后，安全步距超标；结构物混凝土表面跑模错台或蜂窝麻面、露筋；超、欠挖严重，二衬厚度不足、光面爆破效果差、钢筋绑扎不到位；未实施超前地质预报及监控量测等隧道未按设计要求或施工规范要求施工的，每项次扣2分；</w:t>
            </w:r>
            <w:r>
              <w:rPr>
                <w:rFonts w:ascii="宋体" w:hAnsi="宋体" w:cs="宋体" w:hint="eastAsia"/>
                <w:kern w:val="0"/>
                <w:sz w:val="20"/>
                <w:szCs w:val="20"/>
              </w:rPr>
              <w:br/>
              <w:t>3、隧道施工未落实安全文明及生态环境保护措施，或措施落实不到位的，每项次扣1分。</w:t>
            </w:r>
          </w:p>
        </w:tc>
        <w:tc>
          <w:tcPr>
            <w:tcW w:w="1084" w:type="dxa"/>
            <w:vMerge/>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sz w:val="20"/>
                <w:szCs w:val="20"/>
              </w:rPr>
            </w:pPr>
          </w:p>
        </w:tc>
      </w:tr>
      <w:tr w:rsidR="00D22B3A" w:rsidTr="005E6124">
        <w:trPr>
          <w:trHeight w:val="465"/>
          <w:jc w:val="center"/>
        </w:trPr>
        <w:tc>
          <w:tcPr>
            <w:tcW w:w="475"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5</w:t>
            </w:r>
          </w:p>
        </w:tc>
        <w:tc>
          <w:tcPr>
            <w:tcW w:w="1564"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sz w:val="20"/>
                <w:szCs w:val="20"/>
              </w:rPr>
            </w:pPr>
            <w:r>
              <w:rPr>
                <w:rFonts w:ascii="宋体" w:hAnsi="宋体" w:cs="宋体" w:hint="eastAsia"/>
                <w:b/>
                <w:kern w:val="0"/>
                <w:sz w:val="20"/>
                <w:szCs w:val="20"/>
              </w:rPr>
              <w:t>内业管理</w:t>
            </w:r>
            <w:r>
              <w:rPr>
                <w:rFonts w:ascii="宋体" w:hAnsi="宋体" w:cs="宋体" w:hint="eastAsia"/>
                <w:b/>
                <w:kern w:val="0"/>
                <w:sz w:val="20"/>
                <w:szCs w:val="20"/>
              </w:rPr>
              <w:br/>
              <w:t>（15分）</w:t>
            </w:r>
          </w:p>
        </w:tc>
        <w:tc>
          <w:tcPr>
            <w:tcW w:w="61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Style w:val="font61"/>
                <w:rFonts w:hint="default"/>
                <w:color w:val="auto"/>
              </w:rPr>
            </w:pPr>
            <w:r>
              <w:rPr>
                <w:rStyle w:val="font61"/>
                <w:rFonts w:hint="default"/>
                <w:color w:val="auto"/>
              </w:rPr>
              <w:t>1、未准备项目标段实时进度、质量、安全、履约、标准化等情况文字材料的，扣5分；材料准备不认真，内容流于形式，马虎应付的，扣3分。</w:t>
            </w:r>
          </w:p>
          <w:p w:rsidR="00D22B3A" w:rsidRDefault="00D22B3A" w:rsidP="005E6124">
            <w:pPr>
              <w:widowControl/>
              <w:spacing w:line="400" w:lineRule="exact"/>
              <w:jc w:val="left"/>
              <w:textAlignment w:val="center"/>
              <w:rPr>
                <w:rStyle w:val="font61"/>
                <w:rFonts w:hint="default"/>
                <w:color w:val="auto"/>
              </w:rPr>
            </w:pPr>
            <w:r>
              <w:rPr>
                <w:rStyle w:val="font61"/>
                <w:rFonts w:hint="default"/>
                <w:color w:val="auto"/>
              </w:rPr>
              <w:t>2、将下列施工管理内业资料及时上传至内业资料平台进行评分（或根据实际情况，组织现场内业资料考核评分）：</w:t>
            </w:r>
            <w:r>
              <w:rPr>
                <w:rStyle w:val="font61"/>
                <w:rFonts w:hint="default"/>
                <w:color w:val="auto"/>
              </w:rPr>
              <w:br/>
              <w:t>（1）标准化管理资料，包括标准化实施方案、场地建设专项验收表、项目部内部标准化宣贯学习记录；</w:t>
            </w:r>
            <w:r>
              <w:rPr>
                <w:rStyle w:val="font61"/>
                <w:rFonts w:hint="default"/>
                <w:color w:val="auto"/>
              </w:rPr>
              <w:br/>
              <w:t>（2）各分部工程首件分析资料；</w:t>
            </w:r>
            <w:r>
              <w:rPr>
                <w:rStyle w:val="font61"/>
                <w:rFonts w:hint="default"/>
                <w:color w:val="auto"/>
              </w:rPr>
              <w:br/>
              <w:t>（3）农民工工资管理资料；</w:t>
            </w:r>
            <w:r>
              <w:rPr>
                <w:rStyle w:val="font61"/>
                <w:rFonts w:hint="default"/>
                <w:color w:val="auto"/>
              </w:rPr>
              <w:br/>
              <w:t>（4）施工组织设计；</w:t>
            </w:r>
            <w:r>
              <w:rPr>
                <w:rStyle w:val="font61"/>
                <w:rFonts w:hint="default"/>
                <w:color w:val="auto"/>
              </w:rPr>
              <w:br/>
              <w:t>（5）各级主管部门通报整改反馈资料；</w:t>
            </w:r>
            <w:r>
              <w:rPr>
                <w:rStyle w:val="font61"/>
                <w:rFonts w:hint="default"/>
                <w:color w:val="auto"/>
              </w:rPr>
              <w:br/>
              <w:t>（6）安全教育、培训、技术交底、责任状资料及动态台账；</w:t>
            </w:r>
            <w:r>
              <w:rPr>
                <w:rStyle w:val="font61"/>
                <w:rFonts w:hint="default"/>
                <w:color w:val="auto"/>
              </w:rPr>
              <w:br/>
              <w:t>（7）特种设备、特殊工种人员台账；</w:t>
            </w:r>
            <w:r>
              <w:rPr>
                <w:rStyle w:val="font61"/>
                <w:rFonts w:hint="default"/>
                <w:color w:val="auto"/>
              </w:rPr>
              <w:br/>
              <w:t>（8）安全专项经费使用计划、计量支付资料；</w:t>
            </w:r>
            <w:r>
              <w:rPr>
                <w:rStyle w:val="font61"/>
                <w:rFonts w:hint="default"/>
                <w:color w:val="auto"/>
              </w:rPr>
              <w:br/>
              <w:t>（9）项目部每月安全检查资料；</w:t>
            </w:r>
            <w:r>
              <w:rPr>
                <w:rStyle w:val="font61"/>
                <w:rFonts w:hint="default"/>
                <w:color w:val="auto"/>
              </w:rPr>
              <w:br/>
            </w:r>
            <w:r>
              <w:rPr>
                <w:rStyle w:val="font61"/>
                <w:rFonts w:hint="default"/>
                <w:color w:val="auto"/>
              </w:rPr>
              <w:lastRenderedPageBreak/>
              <w:t>（10）公司每半年一次对工地安全生产专项检查资料。</w:t>
            </w:r>
            <w:r>
              <w:rPr>
                <w:rStyle w:val="font61"/>
                <w:rFonts w:hint="default"/>
                <w:color w:val="auto"/>
              </w:rPr>
              <w:br/>
              <w:t>上述资料未上传，每项扣</w:t>
            </w:r>
            <w:r>
              <w:rPr>
                <w:rStyle w:val="font41"/>
                <w:rFonts w:hint="default"/>
                <w:color w:val="auto"/>
              </w:rPr>
              <w:t>1分</w:t>
            </w:r>
            <w:r>
              <w:rPr>
                <w:rStyle w:val="font61"/>
                <w:rFonts w:hint="default"/>
                <w:color w:val="auto"/>
              </w:rPr>
              <w:t>；上传资料内容不完整或流于形式，每项扣</w:t>
            </w:r>
            <w:r>
              <w:rPr>
                <w:rStyle w:val="font41"/>
                <w:rFonts w:hint="default"/>
                <w:color w:val="auto"/>
              </w:rPr>
              <w:t>0.5分</w:t>
            </w:r>
            <w:r>
              <w:rPr>
                <w:rStyle w:val="font61"/>
                <w:rFonts w:hint="default"/>
                <w:color w:val="auto"/>
              </w:rPr>
              <w:t>。</w:t>
            </w:r>
          </w:p>
          <w:p w:rsidR="00D22B3A" w:rsidRDefault="00D22B3A" w:rsidP="005E6124">
            <w:pPr>
              <w:widowControl/>
              <w:spacing w:line="400" w:lineRule="exact"/>
              <w:jc w:val="left"/>
              <w:textAlignment w:val="center"/>
              <w:rPr>
                <w:rStyle w:val="font61"/>
                <w:rFonts w:hint="default"/>
                <w:color w:val="auto"/>
              </w:rPr>
            </w:pPr>
            <w:r>
              <w:rPr>
                <w:rStyle w:val="font61"/>
                <w:rFonts w:hint="default"/>
                <w:color w:val="auto"/>
              </w:rPr>
              <w:t>3、按要求每月25日前上传施工月报至内业资料平台，未上传的，扣1分/月；逾期上传的扣0.5分/月；上传的施工月报内容与项目实际不符，马虎应付的，扣0.3分/月。</w:t>
            </w:r>
          </w:p>
        </w:tc>
        <w:tc>
          <w:tcPr>
            <w:tcW w:w="1084"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sz w:val="20"/>
                <w:szCs w:val="20"/>
              </w:rPr>
            </w:pPr>
          </w:p>
        </w:tc>
      </w:tr>
      <w:tr w:rsidR="00D22B3A" w:rsidTr="005E6124">
        <w:trPr>
          <w:trHeight w:val="2660"/>
          <w:jc w:val="center"/>
        </w:trPr>
        <w:tc>
          <w:tcPr>
            <w:tcW w:w="475"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lastRenderedPageBreak/>
              <w:t>6</w:t>
            </w:r>
          </w:p>
        </w:tc>
        <w:tc>
          <w:tcPr>
            <w:tcW w:w="1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sz w:val="20"/>
                <w:szCs w:val="20"/>
              </w:rPr>
            </w:pPr>
            <w:r>
              <w:rPr>
                <w:rFonts w:ascii="宋体" w:hAnsi="宋体" w:cs="宋体" w:hint="eastAsia"/>
                <w:kern w:val="0"/>
                <w:sz w:val="20"/>
                <w:szCs w:val="20"/>
              </w:rPr>
              <w:t>加分项</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numPr>
                <w:ilvl w:val="0"/>
                <w:numId w:val="3"/>
              </w:numPr>
              <w:spacing w:line="400" w:lineRule="exact"/>
              <w:jc w:val="left"/>
              <w:textAlignment w:val="center"/>
              <w:rPr>
                <w:rStyle w:val="font61"/>
                <w:rFonts w:hint="default"/>
                <w:color w:val="auto"/>
              </w:rPr>
            </w:pPr>
            <w:r>
              <w:rPr>
                <w:rStyle w:val="font61"/>
                <w:rFonts w:hint="default"/>
                <w:color w:val="auto"/>
              </w:rPr>
              <w:t>承办当年度省级标准化现场会的，加1分；承办当年度省级其它各类专项现场会的，加0.5分；承办市级标准化现场会的，加0.5分；在当年度省级标准化现场会上经验交流介绍的，加0.2分；</w:t>
            </w:r>
            <w:r>
              <w:rPr>
                <w:rStyle w:val="font61"/>
                <w:rFonts w:hint="default"/>
                <w:color w:val="auto"/>
              </w:rPr>
              <w:br/>
              <w:t>2、被列入为部、省级品质工程、绿色公路、施工标准化、省局主推的信息化等示范项目的，</w:t>
            </w:r>
            <w:r>
              <w:rPr>
                <w:rStyle w:val="font41"/>
                <w:rFonts w:hint="default"/>
                <w:color w:val="auto"/>
              </w:rPr>
              <w:t>根据实际内容，达到</w:t>
            </w:r>
            <w:r>
              <w:rPr>
                <w:rStyle w:val="font61"/>
                <w:rFonts w:hint="default"/>
                <w:color w:val="auto"/>
              </w:rPr>
              <w:t>部级示范加2分，省级示范加1分；</w:t>
            </w:r>
            <w:r>
              <w:rPr>
                <w:rStyle w:val="font61"/>
                <w:rFonts w:hint="default"/>
                <w:color w:val="auto"/>
                <w:highlight w:val="yellow"/>
              </w:rPr>
              <w:br/>
            </w:r>
            <w:r>
              <w:rPr>
                <w:rStyle w:val="font61"/>
                <w:rFonts w:hint="default"/>
                <w:color w:val="auto"/>
              </w:rPr>
              <w:t>3、工地党建标准化达标加0.2分，优胜党支部加0.3分。</w:t>
            </w:r>
            <w:r>
              <w:rPr>
                <w:rStyle w:val="font61"/>
                <w:rFonts w:hint="default"/>
                <w:color w:val="auto"/>
              </w:rPr>
              <w:br/>
              <w:t>4、较合同工期提前3个月以上主体完工的，加0.5分。</w:t>
            </w:r>
          </w:p>
          <w:p w:rsidR="00D22B3A" w:rsidRDefault="00D22B3A" w:rsidP="005E6124">
            <w:pPr>
              <w:widowControl/>
              <w:spacing w:line="400" w:lineRule="exact"/>
              <w:jc w:val="left"/>
              <w:textAlignment w:val="center"/>
              <w:rPr>
                <w:rFonts w:ascii="宋体" w:hAnsi="宋体" w:cs="宋体"/>
                <w:sz w:val="20"/>
                <w:szCs w:val="20"/>
              </w:rPr>
            </w:pPr>
            <w:r>
              <w:rPr>
                <w:rStyle w:val="font61"/>
                <w:rFonts w:hint="default"/>
                <w:color w:val="auto"/>
              </w:rPr>
              <w:t>5、使用经省局认可的新工艺、工法或新技术设备的，加0.3分。</w:t>
            </w:r>
            <w:r>
              <w:rPr>
                <w:rStyle w:val="font61"/>
                <w:rFonts w:hint="default"/>
                <w:color w:val="auto"/>
              </w:rPr>
              <w:br/>
              <w:t>（加分项评分待年底测算标段总分时，统一加分）。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sz w:val="20"/>
                <w:szCs w:val="20"/>
              </w:rPr>
            </w:pPr>
          </w:p>
        </w:tc>
      </w:tr>
    </w:tbl>
    <w:p w:rsidR="00D22B3A" w:rsidRDefault="00D22B3A" w:rsidP="00D22B3A">
      <w:r>
        <w:rPr>
          <w:rFonts w:hint="eastAsia"/>
        </w:rPr>
        <w:br w:type="page"/>
      </w:r>
    </w:p>
    <w:tbl>
      <w:tblPr>
        <w:tblW w:w="0" w:type="auto"/>
        <w:jc w:val="center"/>
        <w:tblLayout w:type="fixed"/>
        <w:tblCellMar>
          <w:left w:w="0" w:type="dxa"/>
          <w:right w:w="0" w:type="dxa"/>
        </w:tblCellMar>
        <w:tblLook w:val="0000"/>
      </w:tblPr>
      <w:tblGrid>
        <w:gridCol w:w="418"/>
        <w:gridCol w:w="764"/>
        <w:gridCol w:w="933"/>
        <w:gridCol w:w="5612"/>
        <w:gridCol w:w="1147"/>
      </w:tblGrid>
      <w:tr w:rsidR="00D22B3A" w:rsidTr="005E6124">
        <w:trPr>
          <w:trHeight w:val="559"/>
          <w:jc w:val="center"/>
        </w:trPr>
        <w:tc>
          <w:tcPr>
            <w:tcW w:w="8874" w:type="dxa"/>
            <w:gridSpan w:val="5"/>
            <w:tcBorders>
              <w:top w:val="nil"/>
              <w:left w:val="nil"/>
              <w:bottom w:val="nil"/>
              <w:right w:val="nil"/>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8"/>
                <w:szCs w:val="28"/>
              </w:rPr>
            </w:pPr>
            <w:r>
              <w:rPr>
                <w:rFonts w:ascii="宋体" w:hAnsi="宋体" w:cs="宋体" w:hint="eastAsia"/>
                <w:b/>
                <w:color w:val="000000"/>
                <w:kern w:val="0"/>
                <w:sz w:val="28"/>
                <w:szCs w:val="28"/>
              </w:rPr>
              <w:lastRenderedPageBreak/>
              <w:t>福建省普通国省干线公路建设项目信用考核评分标准（监理单位）</w:t>
            </w:r>
          </w:p>
        </w:tc>
      </w:tr>
      <w:tr w:rsidR="00D22B3A" w:rsidTr="005E6124">
        <w:trPr>
          <w:trHeight w:val="679"/>
          <w:jc w:val="center"/>
        </w:trPr>
        <w:tc>
          <w:tcPr>
            <w:tcW w:w="418" w:type="dxa"/>
            <w:tcBorders>
              <w:top w:val="single" w:sz="12"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序号</w:t>
            </w:r>
          </w:p>
        </w:tc>
        <w:tc>
          <w:tcPr>
            <w:tcW w:w="1697" w:type="dxa"/>
            <w:gridSpan w:val="2"/>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考评项目</w:t>
            </w:r>
          </w:p>
        </w:tc>
        <w:tc>
          <w:tcPr>
            <w:tcW w:w="5612" w:type="dxa"/>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考评标准</w:t>
            </w:r>
          </w:p>
        </w:tc>
        <w:tc>
          <w:tcPr>
            <w:tcW w:w="1147" w:type="dxa"/>
            <w:tcBorders>
              <w:top w:val="single" w:sz="12"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扣分或加分</w:t>
            </w:r>
          </w:p>
        </w:tc>
      </w:tr>
      <w:tr w:rsidR="00D22B3A" w:rsidTr="005E6124">
        <w:trPr>
          <w:trHeight w:val="2040"/>
          <w:jc w:val="center"/>
        </w:trPr>
        <w:tc>
          <w:tcPr>
            <w:tcW w:w="418" w:type="dxa"/>
            <w:vMerge w:val="restart"/>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7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人员履职（15分）</w:t>
            </w:r>
          </w:p>
        </w:tc>
        <w:tc>
          <w:tcPr>
            <w:tcW w:w="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人员到岗（5分）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主要管理人员应到岗履职，相关人员的资历、数量应与投标承诺相一致，若需更换，必须报业主批准：</w:t>
            </w:r>
            <w:r>
              <w:rPr>
                <w:rFonts w:ascii="宋体" w:hAnsi="宋体" w:cs="宋体" w:hint="eastAsia"/>
                <w:color w:val="000000"/>
                <w:kern w:val="0"/>
                <w:sz w:val="20"/>
                <w:szCs w:val="20"/>
              </w:rPr>
              <w:br/>
              <w:t>1、更换人员资格条件低于投标文件承诺的，或未经业主批准更换，总监、试验室主任每人次扣3分，其他人员每人次扣1分；</w:t>
            </w:r>
            <w:r>
              <w:rPr>
                <w:rFonts w:ascii="宋体" w:hAnsi="宋体" w:cs="宋体" w:hint="eastAsia"/>
                <w:color w:val="000000"/>
                <w:kern w:val="0"/>
                <w:sz w:val="20"/>
                <w:szCs w:val="20"/>
              </w:rPr>
              <w:br/>
              <w:t>2、总监未到岗履职，每次扣2分（现场提供业主批复同意请假的除外）；</w:t>
            </w:r>
            <w:r>
              <w:rPr>
                <w:rFonts w:ascii="宋体" w:hAnsi="宋体" w:cs="宋体" w:hint="eastAsia"/>
                <w:color w:val="000000"/>
                <w:kern w:val="0"/>
                <w:sz w:val="20"/>
                <w:szCs w:val="20"/>
              </w:rPr>
              <w:br/>
              <w:t>3、专业监理工程师进场人数少于投标承诺的（专业工程师按照施工阶段进场），每人次扣1分。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840"/>
          <w:jc w:val="center"/>
        </w:trPr>
        <w:tc>
          <w:tcPr>
            <w:tcW w:w="418"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7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履职实效（10分）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b/>
                <w:color w:val="000000"/>
                <w:sz w:val="20"/>
                <w:szCs w:val="20"/>
              </w:rPr>
            </w:pPr>
            <w:r>
              <w:rPr>
                <w:rFonts w:ascii="宋体" w:hAnsi="宋体" w:cs="宋体" w:hint="eastAsia"/>
                <w:b/>
                <w:color w:val="000000"/>
                <w:kern w:val="0"/>
                <w:sz w:val="20"/>
                <w:szCs w:val="20"/>
              </w:rPr>
              <w:t>履职实效=10*[除人员履职及进度管理考核项外的总得分]/80</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2239"/>
          <w:jc w:val="center"/>
        </w:trPr>
        <w:tc>
          <w:tcPr>
            <w:tcW w:w="418"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进度管理</w:t>
            </w:r>
            <w:r>
              <w:rPr>
                <w:rFonts w:ascii="宋体" w:hAnsi="宋体" w:cs="宋体" w:hint="eastAsia"/>
                <w:color w:val="000000"/>
                <w:kern w:val="0"/>
                <w:sz w:val="20"/>
                <w:szCs w:val="20"/>
              </w:rPr>
              <w:br/>
              <w:t>（5分）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及时审批施工单位总体进度计划、年度及月度计划，对进度滞后原因进行分析并提出整改措施：</w:t>
            </w:r>
            <w:r>
              <w:rPr>
                <w:rFonts w:ascii="宋体" w:hAnsi="宋体" w:cs="宋体" w:hint="eastAsia"/>
                <w:color w:val="000000"/>
                <w:kern w:val="0"/>
                <w:sz w:val="20"/>
                <w:szCs w:val="20"/>
              </w:rPr>
              <w:br/>
              <w:t>1、未及时审批施工单位总体进度计划、年度及月度进度计划，总体进度计划、年度计划每项扣2分，月进度计划每次扣1分。</w:t>
            </w:r>
            <w:r>
              <w:rPr>
                <w:rFonts w:ascii="宋体" w:hAnsi="宋体" w:cs="宋体" w:hint="eastAsia"/>
                <w:color w:val="000000"/>
                <w:kern w:val="0"/>
                <w:sz w:val="20"/>
                <w:szCs w:val="20"/>
              </w:rPr>
              <w:br/>
              <w:t>2、对进度计划审批把关不严，流于形式，扣0.5分。</w:t>
            </w:r>
            <w:r>
              <w:rPr>
                <w:rFonts w:ascii="宋体" w:hAnsi="宋体" w:cs="宋体" w:hint="eastAsia"/>
                <w:color w:val="000000"/>
                <w:kern w:val="0"/>
                <w:sz w:val="20"/>
                <w:szCs w:val="20"/>
              </w:rPr>
              <w:br/>
              <w:t>3、未对进度滞后原因进行分析并督促施工单位采取相应措施，未分析扣2分，分析不到位扣1分；未督促扣2分，督促不到位扣1分。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color w:val="000000"/>
                <w:sz w:val="20"/>
                <w:szCs w:val="20"/>
              </w:rPr>
            </w:pPr>
          </w:p>
        </w:tc>
      </w:tr>
      <w:tr w:rsidR="00D22B3A" w:rsidTr="005E6124">
        <w:trPr>
          <w:trHeight w:val="1890"/>
          <w:jc w:val="center"/>
        </w:trPr>
        <w:tc>
          <w:tcPr>
            <w:tcW w:w="418"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质量安全管理</w:t>
            </w:r>
            <w:r>
              <w:rPr>
                <w:rFonts w:ascii="宋体" w:hAnsi="宋体" w:cs="宋体" w:hint="eastAsia"/>
                <w:color w:val="000000"/>
                <w:kern w:val="0"/>
                <w:sz w:val="20"/>
                <w:szCs w:val="20"/>
              </w:rPr>
              <w:br/>
              <w:t>（10分）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按规定开展监理工作，及时发现施工过程中存在的质量安全问题并督促整改反馈：</w:t>
            </w:r>
            <w:r>
              <w:rPr>
                <w:rFonts w:ascii="宋体" w:hAnsi="宋体" w:cs="宋体" w:hint="eastAsia"/>
                <w:color w:val="000000"/>
                <w:kern w:val="0"/>
                <w:sz w:val="20"/>
                <w:szCs w:val="20"/>
              </w:rPr>
              <w:br/>
              <w:t>1、对上级通知、通报的问题拒不整改或屡报不改、整改造假，每次扣5分；</w:t>
            </w:r>
            <w:r>
              <w:rPr>
                <w:rFonts w:ascii="宋体" w:hAnsi="宋体" w:cs="宋体" w:hint="eastAsia"/>
                <w:color w:val="000000"/>
                <w:kern w:val="0"/>
                <w:sz w:val="20"/>
                <w:szCs w:val="20"/>
              </w:rPr>
              <w:br/>
              <w:t>2、对项目安全生产管理不到位，存在安全隐患无应对措施，未督促整改的，扣5分。</w:t>
            </w:r>
            <w:r>
              <w:rPr>
                <w:rFonts w:ascii="宋体" w:hAnsi="宋体" w:cs="宋体" w:hint="eastAsia"/>
                <w:color w:val="000000"/>
                <w:kern w:val="0"/>
                <w:sz w:val="20"/>
                <w:szCs w:val="20"/>
              </w:rPr>
              <w:br/>
              <w:t>3、对施工单位存在偷工减料、关键工序未按施工图或施工规范要求施工、对工序把关不严等行为无应对措施，未督促整改的，每项次扣2分；</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4、对施工单位标准化实施方案把关不严的，扣2分；</w:t>
            </w:r>
            <w:r>
              <w:rPr>
                <w:rFonts w:ascii="宋体" w:hAnsi="宋体" w:cs="宋体" w:hint="eastAsia"/>
                <w:color w:val="000000"/>
                <w:kern w:val="0"/>
                <w:sz w:val="20"/>
                <w:szCs w:val="20"/>
              </w:rPr>
              <w:br/>
              <w:t>5、对施工单位首件分析督促落实不到位，扣2分；</w:t>
            </w:r>
            <w:r>
              <w:rPr>
                <w:rFonts w:ascii="宋体" w:hAnsi="宋体" w:cs="宋体" w:hint="eastAsia"/>
                <w:color w:val="000000"/>
                <w:kern w:val="0"/>
                <w:sz w:val="20"/>
                <w:szCs w:val="20"/>
              </w:rPr>
              <w:br/>
              <w:t>6、未按要求落实监理旁站、巡视制度，扣3分；</w:t>
            </w:r>
            <w:r>
              <w:rPr>
                <w:rFonts w:ascii="宋体" w:hAnsi="宋体" w:cs="宋体" w:hint="eastAsia"/>
                <w:color w:val="000000"/>
                <w:kern w:val="0"/>
                <w:sz w:val="20"/>
                <w:szCs w:val="20"/>
              </w:rPr>
              <w:br/>
              <w:t>7、未按要求记录监理日志，扣2分。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color w:val="000000"/>
                <w:sz w:val="20"/>
                <w:szCs w:val="20"/>
              </w:rPr>
            </w:pPr>
          </w:p>
        </w:tc>
      </w:tr>
      <w:tr w:rsidR="00D22B3A" w:rsidTr="005E6124">
        <w:trPr>
          <w:trHeight w:val="1560"/>
          <w:jc w:val="center"/>
        </w:trPr>
        <w:tc>
          <w:tcPr>
            <w:tcW w:w="418" w:type="dxa"/>
            <w:vMerge w:val="restart"/>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4</w:t>
            </w:r>
          </w:p>
        </w:tc>
        <w:tc>
          <w:tcPr>
            <w:tcW w:w="7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场地建设</w:t>
            </w:r>
            <w:r>
              <w:rPr>
                <w:rFonts w:ascii="宋体" w:hAnsi="宋体" w:cs="宋体" w:hint="eastAsia"/>
                <w:color w:val="000000"/>
                <w:kern w:val="0"/>
                <w:sz w:val="20"/>
                <w:szCs w:val="20"/>
              </w:rPr>
              <w:br/>
              <w:t>（5分）</w:t>
            </w:r>
          </w:p>
        </w:tc>
        <w:tc>
          <w:tcPr>
            <w:tcW w:w="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驻地建设（2分）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监理驻地与施工项目部须分开设置，满足办公、生活需要，上墙图表完整：</w:t>
            </w:r>
            <w:r>
              <w:rPr>
                <w:rFonts w:ascii="宋体" w:hAnsi="宋体" w:cs="宋体" w:hint="eastAsia"/>
                <w:color w:val="000000"/>
                <w:kern w:val="0"/>
                <w:sz w:val="20"/>
                <w:szCs w:val="20"/>
              </w:rPr>
              <w:br/>
              <w:t>1、驻地与施工单位驻地未分开设置，本项不得分；</w:t>
            </w:r>
            <w:r>
              <w:rPr>
                <w:rFonts w:ascii="宋体" w:hAnsi="宋体" w:cs="宋体" w:hint="eastAsia"/>
                <w:color w:val="000000"/>
                <w:kern w:val="0"/>
                <w:sz w:val="20"/>
                <w:szCs w:val="20"/>
              </w:rPr>
              <w:br/>
              <w:t>2、总监办驻地不满足办公、生活需要，扣1分；</w:t>
            </w:r>
            <w:r>
              <w:rPr>
                <w:rFonts w:ascii="宋体" w:hAnsi="宋体" w:cs="宋体" w:hint="eastAsia"/>
                <w:color w:val="000000"/>
                <w:kern w:val="0"/>
                <w:sz w:val="20"/>
                <w:szCs w:val="20"/>
              </w:rPr>
              <w:br/>
              <w:t>3、进度、制度、机构人员、职责等图表上墙不全，扣0.5分；</w:t>
            </w:r>
            <w:r>
              <w:rPr>
                <w:rFonts w:ascii="宋体" w:hAnsi="宋体" w:cs="宋体" w:hint="eastAsia"/>
                <w:color w:val="000000"/>
                <w:kern w:val="0"/>
                <w:sz w:val="20"/>
                <w:szCs w:val="20"/>
              </w:rPr>
              <w:br/>
              <w:t>4、管理人员未挂牌上岗，扣0.5分。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color w:val="000000"/>
                <w:sz w:val="20"/>
                <w:szCs w:val="20"/>
              </w:rPr>
            </w:pPr>
          </w:p>
        </w:tc>
      </w:tr>
      <w:tr w:rsidR="00D22B3A" w:rsidTr="005E6124">
        <w:trPr>
          <w:trHeight w:val="1459"/>
          <w:jc w:val="center"/>
        </w:trPr>
        <w:tc>
          <w:tcPr>
            <w:tcW w:w="418"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7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试验室</w:t>
            </w:r>
          </w:p>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监理须独立开展试验检测，试验设施及审批手续、抽检资料完整：</w:t>
            </w:r>
            <w:r>
              <w:rPr>
                <w:rFonts w:ascii="宋体" w:hAnsi="宋体" w:cs="宋体" w:hint="eastAsia"/>
                <w:color w:val="000000"/>
                <w:kern w:val="0"/>
                <w:sz w:val="20"/>
                <w:szCs w:val="20"/>
              </w:rPr>
              <w:br/>
              <w:t>1、现场设立监理工地试验室，得3分；</w:t>
            </w:r>
            <w:r>
              <w:rPr>
                <w:rFonts w:ascii="宋体" w:hAnsi="宋体" w:cs="宋体" w:hint="eastAsia"/>
                <w:color w:val="000000"/>
                <w:kern w:val="0"/>
                <w:sz w:val="20"/>
                <w:szCs w:val="20"/>
              </w:rPr>
              <w:br/>
              <w:t>2、监理试验检测外委，外委审批手续齐全、现场有设立标养室的，得2分（其中外委审批手续、现场标养室每项各1分，不满足不得分）。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color w:val="000000"/>
                <w:sz w:val="20"/>
                <w:szCs w:val="20"/>
              </w:rPr>
            </w:pPr>
          </w:p>
        </w:tc>
      </w:tr>
      <w:tr w:rsidR="00D22B3A" w:rsidTr="005E6124">
        <w:trPr>
          <w:trHeight w:val="835"/>
          <w:jc w:val="center"/>
        </w:trPr>
        <w:tc>
          <w:tcPr>
            <w:tcW w:w="418"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6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内业管理</w:t>
            </w:r>
            <w:r>
              <w:rPr>
                <w:rFonts w:ascii="宋体" w:hAnsi="宋体" w:cs="宋体" w:hint="eastAsia"/>
                <w:b/>
                <w:color w:val="000000"/>
                <w:kern w:val="0"/>
                <w:sz w:val="20"/>
                <w:szCs w:val="20"/>
              </w:rPr>
              <w:br/>
              <w:t>（15分）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w:t>
            </w:r>
            <w:r>
              <w:rPr>
                <w:rStyle w:val="font61"/>
                <w:rFonts w:hint="default"/>
                <w:color w:val="auto"/>
              </w:rPr>
              <w:t>未准备项目标段实时进度、质量、安全、履约、标准化等情况文字材料的，扣5分；材料准备不认真，内容流于形式，马虎应付的，扣3分。</w:t>
            </w:r>
          </w:p>
          <w:p w:rsidR="00D22B3A" w:rsidRDefault="00D22B3A" w:rsidP="005E6124">
            <w:pPr>
              <w:widowControl/>
              <w:spacing w:line="400" w:lineRule="exact"/>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2、将下列监理管理内业资料及时上传至内业资料平台进行评分</w:t>
            </w:r>
            <w:r>
              <w:rPr>
                <w:rStyle w:val="font61"/>
                <w:rFonts w:hint="default"/>
                <w:color w:val="auto"/>
              </w:rPr>
              <w:t>（或根据实际情况，组织现场内业资料考核评分）</w:t>
            </w:r>
            <w:r>
              <w:rPr>
                <w:rFonts w:ascii="宋体" w:hAnsi="宋体" w:cs="宋体" w:hint="eastAsia"/>
                <w:color w:val="000000"/>
                <w:kern w:val="0"/>
                <w:sz w:val="20"/>
                <w:szCs w:val="20"/>
              </w:rPr>
              <w:t>：</w:t>
            </w:r>
            <w:r>
              <w:rPr>
                <w:rFonts w:ascii="宋体" w:hAnsi="宋体" w:cs="宋体" w:hint="eastAsia"/>
                <w:color w:val="000000"/>
                <w:kern w:val="0"/>
                <w:sz w:val="20"/>
                <w:szCs w:val="20"/>
              </w:rPr>
              <w:br/>
              <w:t>（1）监理计划及监理细则（1分）：未上传每项扣0.5分，内容不完善或与项目实际不符每项扣0.2分；</w:t>
            </w:r>
            <w:r>
              <w:rPr>
                <w:rFonts w:ascii="宋体" w:hAnsi="宋体" w:cs="宋体" w:hint="eastAsia"/>
                <w:color w:val="000000"/>
                <w:kern w:val="0"/>
                <w:sz w:val="20"/>
                <w:szCs w:val="20"/>
              </w:rPr>
              <w:br/>
              <w:t>（2）工地例会纪要（3分）：未上传每月次扣1分（扣完为止），上传内容不完整或纪要内容流于形式，每月次扣0.5分；</w:t>
            </w:r>
            <w:r>
              <w:rPr>
                <w:rFonts w:ascii="宋体" w:hAnsi="宋体" w:cs="宋体" w:hint="eastAsia"/>
                <w:color w:val="000000"/>
                <w:kern w:val="0"/>
                <w:sz w:val="20"/>
                <w:szCs w:val="20"/>
              </w:rPr>
              <w:br/>
              <w:t>（3）监理月报（3分）：未上传每月次扣1分（扣完为止），内容不完善每月次扣0.5分；</w:t>
            </w:r>
            <w:r>
              <w:rPr>
                <w:rFonts w:ascii="宋体" w:hAnsi="宋体" w:cs="宋体" w:hint="eastAsia"/>
                <w:color w:val="000000"/>
                <w:kern w:val="0"/>
                <w:sz w:val="20"/>
                <w:szCs w:val="20"/>
              </w:rPr>
              <w:br/>
              <w:t>（4）整改反馈，包括监理指令、通知单、上级主管部门通报（2分）：未上传扣2分，上传不完整扣1分，未建立台账扣0.5分，内容不完善每项扣0.5分；</w:t>
            </w:r>
            <w:r>
              <w:rPr>
                <w:rFonts w:ascii="宋体" w:hAnsi="宋体" w:cs="宋体" w:hint="eastAsia"/>
                <w:color w:val="000000"/>
                <w:kern w:val="0"/>
                <w:sz w:val="20"/>
                <w:szCs w:val="20"/>
              </w:rPr>
              <w:br/>
              <w:t>（5）计量支付（1分）：未上传扣1分，上传不齐全扣0.5分；</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（6）安全生产费（2分）：未审核审查安全生产费用的扣2分，审核审查不严格扣1分；</w:t>
            </w:r>
            <w:r>
              <w:rPr>
                <w:rFonts w:ascii="宋体" w:hAnsi="宋体" w:cs="宋体" w:hint="eastAsia"/>
                <w:color w:val="000000"/>
                <w:kern w:val="0"/>
                <w:sz w:val="20"/>
                <w:szCs w:val="20"/>
              </w:rPr>
              <w:br/>
              <w:t>（7）安全生产月例会（2分）：未上传每月次扣0.2分（扣完为止），上传内容不完整或纪要内容流于形式，每月次扣0.1分。</w:t>
            </w:r>
            <w:r>
              <w:rPr>
                <w:rFonts w:ascii="宋体" w:hAnsi="宋体" w:cs="宋体" w:hint="eastAsia"/>
                <w:color w:val="000000"/>
                <w:kern w:val="0"/>
                <w:sz w:val="20"/>
                <w:szCs w:val="20"/>
              </w:rPr>
              <w:br/>
              <w:t>（8）未组织总监办内部标准化宣贯学习，扣1；组织学习不到位或流于形式，扣0.5分。</w:t>
            </w:r>
          </w:p>
          <w:p w:rsidR="00D22B3A" w:rsidRDefault="00D22B3A" w:rsidP="005E6124">
            <w:pPr>
              <w:widowControl/>
              <w:spacing w:line="400" w:lineRule="exact"/>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w:t>
            </w:r>
            <w:r>
              <w:rPr>
                <w:rStyle w:val="font61"/>
                <w:rFonts w:hint="default"/>
                <w:color w:val="auto"/>
              </w:rPr>
              <w:t>按要求每月25日前上传监理月报至内业资料平台，未上传的，扣1分/月；逾期上传的扣0.5分/月；上传的施工月报内容与项目实际不符，马虎应付的，扣0.3分/月。</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color w:val="000000"/>
                <w:sz w:val="20"/>
                <w:szCs w:val="20"/>
              </w:rPr>
            </w:pPr>
          </w:p>
        </w:tc>
      </w:tr>
      <w:tr w:rsidR="00D22B3A" w:rsidTr="005E6124">
        <w:trPr>
          <w:trHeight w:val="799"/>
          <w:jc w:val="center"/>
        </w:trPr>
        <w:tc>
          <w:tcPr>
            <w:tcW w:w="418"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6</w:t>
            </w:r>
          </w:p>
        </w:tc>
        <w:tc>
          <w:tcPr>
            <w:tcW w:w="16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管理实效</w:t>
            </w:r>
            <w:r>
              <w:rPr>
                <w:rFonts w:ascii="宋体" w:hAnsi="宋体" w:cs="宋体" w:hint="eastAsia"/>
                <w:color w:val="000000"/>
                <w:kern w:val="0"/>
                <w:sz w:val="20"/>
                <w:szCs w:val="20"/>
              </w:rPr>
              <w:br/>
              <w:t>（50分）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本项实得分X=50/100×（A1+A2+…+An）/n</w:t>
            </w:r>
            <w:r>
              <w:rPr>
                <w:rFonts w:ascii="宋体" w:hAnsi="宋体" w:cs="宋体" w:hint="eastAsia"/>
                <w:color w:val="000000"/>
                <w:kern w:val="0"/>
                <w:sz w:val="20"/>
                <w:szCs w:val="20"/>
              </w:rPr>
              <w:br/>
              <w:t>（A1、A2…为各施工标段综合得分，n为标段数）</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color w:val="000000"/>
                <w:sz w:val="20"/>
                <w:szCs w:val="20"/>
              </w:rPr>
            </w:pPr>
          </w:p>
        </w:tc>
      </w:tr>
    </w:tbl>
    <w:p w:rsidR="00D22B3A" w:rsidRDefault="00D22B3A" w:rsidP="00D22B3A">
      <w:r>
        <w:rPr>
          <w:rFonts w:hint="eastAsia"/>
        </w:rPr>
        <w:br w:type="page"/>
      </w:r>
    </w:p>
    <w:tbl>
      <w:tblPr>
        <w:tblW w:w="0" w:type="auto"/>
        <w:jc w:val="center"/>
        <w:tblLayout w:type="fixed"/>
        <w:tblCellMar>
          <w:left w:w="0" w:type="dxa"/>
          <w:right w:w="0" w:type="dxa"/>
        </w:tblCellMar>
        <w:tblLook w:val="0000"/>
      </w:tblPr>
      <w:tblGrid>
        <w:gridCol w:w="512"/>
        <w:gridCol w:w="631"/>
        <w:gridCol w:w="762"/>
        <w:gridCol w:w="6213"/>
        <w:gridCol w:w="1200"/>
      </w:tblGrid>
      <w:tr w:rsidR="00D22B3A" w:rsidTr="005E6124">
        <w:trPr>
          <w:trHeight w:val="619"/>
          <w:jc w:val="center"/>
        </w:trPr>
        <w:tc>
          <w:tcPr>
            <w:tcW w:w="9318" w:type="dxa"/>
            <w:gridSpan w:val="5"/>
            <w:tcBorders>
              <w:top w:val="nil"/>
              <w:left w:val="nil"/>
              <w:bottom w:val="nil"/>
              <w:right w:val="nil"/>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8"/>
                <w:szCs w:val="28"/>
              </w:rPr>
            </w:pPr>
            <w:r>
              <w:rPr>
                <w:rFonts w:ascii="宋体" w:hAnsi="宋体" w:cs="宋体" w:hint="eastAsia"/>
                <w:b/>
                <w:color w:val="000000"/>
                <w:kern w:val="0"/>
                <w:sz w:val="28"/>
                <w:szCs w:val="28"/>
              </w:rPr>
              <w:lastRenderedPageBreak/>
              <w:t>福建省普通国省干线公路建设项目信用考核评分标准（设计单位）</w:t>
            </w:r>
          </w:p>
        </w:tc>
      </w:tr>
      <w:tr w:rsidR="00D22B3A" w:rsidTr="005E6124">
        <w:trPr>
          <w:trHeight w:val="559"/>
          <w:jc w:val="center"/>
        </w:trPr>
        <w:tc>
          <w:tcPr>
            <w:tcW w:w="512" w:type="dxa"/>
            <w:tcBorders>
              <w:top w:val="single" w:sz="12"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序号</w:t>
            </w:r>
          </w:p>
        </w:tc>
        <w:tc>
          <w:tcPr>
            <w:tcW w:w="1393" w:type="dxa"/>
            <w:gridSpan w:val="2"/>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考评项目</w:t>
            </w:r>
          </w:p>
        </w:tc>
        <w:tc>
          <w:tcPr>
            <w:tcW w:w="6213" w:type="dxa"/>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考评标准</w:t>
            </w:r>
          </w:p>
        </w:tc>
        <w:tc>
          <w:tcPr>
            <w:tcW w:w="1200" w:type="dxa"/>
            <w:tcBorders>
              <w:top w:val="single" w:sz="12"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扣分或加分</w:t>
            </w:r>
          </w:p>
        </w:tc>
      </w:tr>
      <w:tr w:rsidR="00D22B3A" w:rsidTr="005E6124">
        <w:trPr>
          <w:trHeight w:val="136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31"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设计前期（40分）</w:t>
            </w:r>
          </w:p>
        </w:tc>
        <w:tc>
          <w:tcPr>
            <w:tcW w:w="7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设计前期基本分（25分）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b/>
                <w:color w:val="000000"/>
                <w:sz w:val="20"/>
                <w:szCs w:val="20"/>
              </w:rPr>
            </w:pPr>
            <w:r>
              <w:rPr>
                <w:rFonts w:ascii="宋体" w:hAnsi="宋体" w:cs="宋体" w:hint="eastAsia"/>
                <w:b/>
                <w:color w:val="000000"/>
                <w:kern w:val="0"/>
                <w:sz w:val="20"/>
                <w:szCs w:val="20"/>
              </w:rPr>
              <w:t>满足设计文件基本编制办法,顺利通过审批,得基本分25分。</w:t>
            </w:r>
            <w:r>
              <w:rPr>
                <w:rFonts w:ascii="宋体" w:hAnsi="宋体" w:cs="宋体" w:hint="eastAsia"/>
                <w:color w:val="000000"/>
                <w:kern w:val="0"/>
                <w:sz w:val="20"/>
                <w:szCs w:val="20"/>
              </w:rPr>
              <w:br/>
              <w:t>若存在以下情况：</w:t>
            </w:r>
            <w:r>
              <w:rPr>
                <w:rFonts w:ascii="宋体" w:hAnsi="宋体" w:cs="宋体" w:hint="eastAsia"/>
                <w:color w:val="000000"/>
                <w:kern w:val="0"/>
                <w:sz w:val="20"/>
                <w:szCs w:val="20"/>
              </w:rPr>
              <w:br/>
              <w:t>1、未积极配合审批单位、建设单位解答设计问题，扣10分。</w:t>
            </w:r>
            <w:r>
              <w:rPr>
                <w:rFonts w:ascii="宋体" w:hAnsi="宋体" w:cs="宋体" w:hint="eastAsia"/>
                <w:color w:val="000000"/>
                <w:kern w:val="0"/>
                <w:sz w:val="20"/>
                <w:szCs w:val="20"/>
              </w:rPr>
              <w:br/>
              <w:t>2、因设计单位原因，设计文件退回修改3次及以上的，扣10分。</w:t>
            </w:r>
          </w:p>
        </w:tc>
        <w:tc>
          <w:tcPr>
            <w:tcW w:w="1200"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162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7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设计方案（5分）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1、平纵面技术指标满足运行速度一致性要求，不符合每处扣0.5分，最高累计扣1分。</w:t>
            </w:r>
            <w:r>
              <w:rPr>
                <w:rFonts w:ascii="宋体" w:hAnsi="宋体" w:cs="宋体" w:hint="eastAsia"/>
                <w:color w:val="000000"/>
                <w:kern w:val="0"/>
                <w:sz w:val="20"/>
                <w:szCs w:val="20"/>
              </w:rPr>
              <w:br/>
              <w:t>2、原则上比较线里程应不少于本项目路线长度的30%，不足的扣1分。</w:t>
            </w:r>
            <w:r>
              <w:rPr>
                <w:rFonts w:ascii="宋体" w:hAnsi="宋体" w:cs="宋体" w:hint="eastAsia"/>
                <w:color w:val="000000"/>
                <w:kern w:val="0"/>
                <w:sz w:val="20"/>
                <w:szCs w:val="20"/>
              </w:rPr>
              <w:br/>
              <w:t>3、高填深挖路段是否与桥隧方案进行对比，未比选的扣1分。</w:t>
            </w:r>
            <w:r>
              <w:rPr>
                <w:rFonts w:ascii="宋体" w:hAnsi="宋体" w:cs="宋体" w:hint="eastAsia"/>
                <w:color w:val="000000"/>
                <w:kern w:val="0"/>
                <w:sz w:val="20"/>
                <w:szCs w:val="20"/>
              </w:rPr>
              <w:br/>
              <w:t>4、桥梁方案比选是否充分、合理，未比选或推荐方案不合理扣1分。</w:t>
            </w:r>
          </w:p>
        </w:tc>
        <w:tc>
          <w:tcPr>
            <w:tcW w:w="1200"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264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7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主体设计（5分）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1、存在一处中心挖方大于30米的高路堑，无合理理由或未经经济技术比较扣0.5分，累计扣分，最高扣1分。</w:t>
            </w:r>
            <w:r>
              <w:rPr>
                <w:rFonts w:ascii="宋体" w:hAnsi="宋体" w:cs="宋体" w:hint="eastAsia"/>
                <w:color w:val="000000"/>
                <w:kern w:val="0"/>
                <w:sz w:val="20"/>
                <w:szCs w:val="20"/>
              </w:rPr>
              <w:br/>
              <w:t>2、存在一处中心填方大于20米的高路堤，无合理理由或未经经济技术比较扣0.5分，累计扣分，最高扣1分。</w:t>
            </w:r>
            <w:r>
              <w:rPr>
                <w:rFonts w:ascii="宋体" w:hAnsi="宋体" w:cs="宋体" w:hint="eastAsia"/>
                <w:color w:val="000000"/>
                <w:kern w:val="0"/>
                <w:sz w:val="20"/>
                <w:szCs w:val="20"/>
              </w:rPr>
              <w:br/>
              <w:t>3、同一路段桥梁的桥型、跨径、墩柱等设计应尽量标准化统一化（除现浇桥梁及特大桥主桥外），同一桥梁的跨径布置原则上不得超过两种，桥台尽量避免高台高填，桩基等配筋率合理。无合理理由未执行扣1分。</w:t>
            </w:r>
            <w:r>
              <w:rPr>
                <w:rFonts w:ascii="宋体" w:hAnsi="宋体" w:cs="宋体" w:hint="eastAsia"/>
                <w:color w:val="000000"/>
                <w:kern w:val="0"/>
                <w:sz w:val="20"/>
                <w:szCs w:val="20"/>
              </w:rPr>
              <w:br/>
              <w:t>4、落实土石方平衡，少借方、零弃方。弃方（不含非适用土）3%-5%以内扣0.1分，之后每增1%增扣0.1分，扣完为止；借方扣分参照弃方。（1分）</w:t>
            </w:r>
            <w:r>
              <w:rPr>
                <w:rFonts w:ascii="宋体" w:hAnsi="宋体" w:cs="宋体" w:hint="eastAsia"/>
                <w:color w:val="000000"/>
                <w:kern w:val="0"/>
                <w:sz w:val="20"/>
                <w:szCs w:val="20"/>
              </w:rPr>
              <w:br/>
              <w:t>5、应逐条落实专家意见进行修编、反馈。未按要求修改，且编制单位无合理解释的，每处扣0.2分。（1分）</w:t>
            </w:r>
          </w:p>
        </w:tc>
        <w:tc>
          <w:tcPr>
            <w:tcW w:w="1200"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1280"/>
          <w:jc w:val="center"/>
        </w:trPr>
        <w:tc>
          <w:tcPr>
            <w:tcW w:w="512" w:type="dxa"/>
            <w:tcBorders>
              <w:top w:val="nil"/>
              <w:left w:val="single" w:sz="12" w:space="0" w:color="000000"/>
              <w:bottom w:val="single" w:sz="8"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631" w:type="dxa"/>
            <w:vMerge/>
            <w:tcBorders>
              <w:top w:val="nil"/>
              <w:left w:val="single" w:sz="4" w:space="0" w:color="000000"/>
              <w:bottom w:val="single" w:sz="8"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7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概（预）算（5分）</w:t>
            </w:r>
          </w:p>
        </w:tc>
        <w:tc>
          <w:tcPr>
            <w:tcW w:w="6213"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1、概（预）算与估算之差是否控制在估算的10%以内，超出的本项不得分。</w:t>
            </w:r>
            <w:r>
              <w:rPr>
                <w:rFonts w:ascii="宋体" w:hAnsi="宋体" w:cs="宋体" w:hint="eastAsia"/>
                <w:color w:val="000000"/>
                <w:kern w:val="0"/>
                <w:sz w:val="20"/>
                <w:szCs w:val="20"/>
              </w:rPr>
              <w:br/>
              <w:t>2、概（预）算建安费送审金额与审定后金额相差控制在5%以内，每增加1%以内扣1分，即相差在6%以内的，扣1分，以此类推，最高扣5分。</w:t>
            </w:r>
          </w:p>
        </w:tc>
        <w:tc>
          <w:tcPr>
            <w:tcW w:w="1200" w:type="dxa"/>
            <w:tcBorders>
              <w:top w:val="nil"/>
              <w:left w:val="single" w:sz="4" w:space="0" w:color="000000"/>
              <w:bottom w:val="single" w:sz="8"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2860"/>
          <w:jc w:val="center"/>
        </w:trPr>
        <w:tc>
          <w:tcPr>
            <w:tcW w:w="512" w:type="dxa"/>
            <w:tcBorders>
              <w:top w:val="single" w:sz="8" w:space="0" w:color="000000"/>
              <w:left w:val="single" w:sz="12" w:space="0" w:color="000000"/>
              <w:bottom w:val="single" w:sz="8"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5</w:t>
            </w:r>
          </w:p>
        </w:tc>
        <w:tc>
          <w:tcPr>
            <w:tcW w:w="631" w:type="dxa"/>
            <w:vMerge w:val="restart"/>
            <w:tcBorders>
              <w:top w:val="single" w:sz="8" w:space="0" w:color="000000"/>
              <w:left w:val="single" w:sz="4" w:space="0" w:color="000000"/>
              <w:bottom w:val="single" w:sz="8"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后期服务（60分）</w:t>
            </w:r>
          </w:p>
        </w:tc>
        <w:tc>
          <w:tcPr>
            <w:tcW w:w="762" w:type="dxa"/>
            <w:tcBorders>
              <w:top w:val="single" w:sz="8" w:space="0" w:color="000000"/>
              <w:left w:val="single" w:sz="4" w:space="0" w:color="000000"/>
              <w:bottom w:val="single" w:sz="8"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后期服务基本分（20分）</w:t>
            </w:r>
          </w:p>
        </w:tc>
        <w:tc>
          <w:tcPr>
            <w:tcW w:w="6213" w:type="dxa"/>
            <w:tcBorders>
              <w:top w:val="single" w:sz="8" w:space="0" w:color="000000"/>
              <w:left w:val="single" w:sz="4" w:space="0" w:color="000000"/>
              <w:bottom w:val="single" w:sz="8"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b/>
                <w:color w:val="000000"/>
                <w:sz w:val="20"/>
                <w:szCs w:val="20"/>
              </w:rPr>
            </w:pPr>
            <w:r>
              <w:rPr>
                <w:rFonts w:ascii="宋体" w:hAnsi="宋体" w:cs="宋体" w:hint="eastAsia"/>
                <w:b/>
                <w:color w:val="000000"/>
                <w:kern w:val="0"/>
                <w:sz w:val="20"/>
                <w:szCs w:val="20"/>
              </w:rPr>
              <w:t>未因设计单位责任发生质量、安全责任事故，服务及时，设计总体到位，得基本分20分。</w:t>
            </w:r>
            <w:r>
              <w:rPr>
                <w:rFonts w:ascii="宋体" w:hAnsi="宋体" w:cs="宋体" w:hint="eastAsia"/>
                <w:color w:val="000000"/>
                <w:kern w:val="0"/>
                <w:sz w:val="20"/>
                <w:szCs w:val="20"/>
              </w:rPr>
              <w:t>若存在以下情况的，予以扣分：</w:t>
            </w:r>
            <w:r>
              <w:rPr>
                <w:rFonts w:ascii="宋体" w:hAnsi="宋体" w:cs="宋体" w:hint="eastAsia"/>
                <w:color w:val="000000"/>
                <w:kern w:val="0"/>
                <w:sz w:val="20"/>
                <w:szCs w:val="20"/>
              </w:rPr>
              <w:br/>
              <w:t>1、因设计单位原因造成设计变更处理不及时，每延期1周扣1分。导致工程延期或进度滞后，扣15分；</w:t>
            </w:r>
            <w:r>
              <w:rPr>
                <w:rFonts w:ascii="宋体" w:hAnsi="宋体" w:cs="宋体" w:hint="eastAsia"/>
                <w:color w:val="000000"/>
                <w:kern w:val="0"/>
                <w:sz w:val="20"/>
                <w:szCs w:val="20"/>
              </w:rPr>
              <w:br/>
              <w:t xml:space="preserve">2、被交通主管部门书面通报点名批评的，省级通报批评一次扣5分，市级通报批评一次扣3分。 </w:t>
            </w:r>
            <w:r>
              <w:rPr>
                <w:rFonts w:ascii="宋体" w:hAnsi="宋体" w:cs="宋体" w:hint="eastAsia"/>
                <w:color w:val="000000"/>
                <w:kern w:val="0"/>
                <w:sz w:val="20"/>
                <w:szCs w:val="20"/>
              </w:rPr>
              <w:br/>
              <w:t>3、未参加工地例会，每次扣1分。</w:t>
            </w:r>
            <w:r>
              <w:rPr>
                <w:rFonts w:ascii="宋体" w:hAnsi="宋体" w:cs="宋体" w:hint="eastAsia"/>
                <w:color w:val="000000"/>
                <w:kern w:val="0"/>
                <w:sz w:val="20"/>
                <w:szCs w:val="20"/>
              </w:rPr>
              <w:br/>
              <w:t>4、项目交工前，设计单位未及时或不出具设计复核报告，本项不得分。</w:t>
            </w:r>
          </w:p>
        </w:tc>
        <w:tc>
          <w:tcPr>
            <w:tcW w:w="1200" w:type="dxa"/>
            <w:tcBorders>
              <w:top w:val="single" w:sz="8" w:space="0" w:color="000000"/>
              <w:left w:val="single" w:sz="4" w:space="0" w:color="000000"/>
              <w:bottom w:val="single" w:sz="8"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1800"/>
          <w:jc w:val="center"/>
        </w:trPr>
        <w:tc>
          <w:tcPr>
            <w:tcW w:w="512" w:type="dxa"/>
            <w:tcBorders>
              <w:top w:val="single" w:sz="8"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631"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7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人员履约（3分）</w:t>
            </w:r>
          </w:p>
        </w:tc>
        <w:tc>
          <w:tcPr>
            <w:tcW w:w="621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设计代表应按合同要求到岗履职，若需更换，必须报建设单位批准：</w:t>
            </w:r>
            <w:r>
              <w:rPr>
                <w:rFonts w:ascii="宋体" w:hAnsi="宋体" w:cs="宋体" w:hint="eastAsia"/>
                <w:color w:val="000000"/>
                <w:kern w:val="0"/>
                <w:sz w:val="20"/>
                <w:szCs w:val="20"/>
              </w:rPr>
              <w:br/>
              <w:t>1、设计代表未按合同要求派驻现场的，每人次扣2分；</w:t>
            </w:r>
            <w:r>
              <w:rPr>
                <w:rFonts w:ascii="宋体" w:hAnsi="宋体" w:cs="宋体" w:hint="eastAsia"/>
                <w:color w:val="000000"/>
                <w:kern w:val="0"/>
                <w:sz w:val="20"/>
                <w:szCs w:val="20"/>
              </w:rPr>
              <w:br/>
              <w:t>2、设计代表人员资质、职称等条件不满足合同要求，每人次扣2分；派驻现场的人员未经建设单位审批，本项不得分。</w:t>
            </w:r>
            <w:r>
              <w:rPr>
                <w:rFonts w:ascii="宋体" w:hAnsi="宋体" w:cs="宋体" w:hint="eastAsia"/>
                <w:color w:val="000000"/>
                <w:kern w:val="0"/>
                <w:sz w:val="20"/>
                <w:szCs w:val="20"/>
              </w:rPr>
              <w:br/>
              <w:t xml:space="preserve">3、设计代表到岗未履职，每人次扣1分。                                    </w:t>
            </w:r>
          </w:p>
        </w:tc>
        <w:tc>
          <w:tcPr>
            <w:tcW w:w="1200" w:type="dxa"/>
            <w:tcBorders>
              <w:top w:val="single" w:sz="8"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220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7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设计资料准确性与设计变更（22分）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1、设计资料存在漏项、设计资料不完整，包括地质钻探、地形测量、中桩控制资料不准确，外业调查不到位、调查资料不准确（如征地拆迁面积偏差较大，高压线、电杆、水渠等构造物调查资料不准确）。构造物、特殊工点（特殊路基、大中型不良地质、软土路段）未提供专项工程地质勘察报告，地质钻探资料虚假或钻孔资料与实际差异大等，每项次扣2分。</w:t>
            </w:r>
            <w:r>
              <w:rPr>
                <w:rFonts w:ascii="宋体" w:hAnsi="宋体" w:cs="宋体" w:hint="eastAsia"/>
                <w:color w:val="000000"/>
                <w:kern w:val="0"/>
                <w:sz w:val="20"/>
                <w:szCs w:val="20"/>
              </w:rPr>
              <w:br/>
              <w:t>2、设计不合理、过度设计或因勘察、勘测或设计工作深度不足导致设计条件与实施条件发生较大偏差，导致改渠、增减涵洞、挡墙设置、涵底标高严重失准、边坡坡率、截水沟及排水沟与实际不符，软基处理、滑坡体处置、基础处理方案等与实际不符的，每项次扣2分。</w:t>
            </w:r>
          </w:p>
        </w:tc>
        <w:tc>
          <w:tcPr>
            <w:tcW w:w="1200" w:type="dxa"/>
            <w:vMerge w:val="restart"/>
            <w:tcBorders>
              <w:top w:val="nil"/>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1336"/>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b/>
                <w:color w:val="000000"/>
                <w:sz w:val="20"/>
                <w:szCs w:val="20"/>
              </w:rPr>
            </w:pP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因勘察、勘测或设计工作深度不足导致各种设计变更，按以下扣分：                                            1、有利于项目实施、或节省投资、或有更加科学方案的合理变更，而拒不变更的，扣10分。</w:t>
            </w:r>
            <w:r>
              <w:rPr>
                <w:rFonts w:ascii="宋体" w:hAnsi="宋体" w:cs="宋体" w:hint="eastAsia"/>
                <w:color w:val="000000"/>
                <w:kern w:val="0"/>
                <w:sz w:val="20"/>
                <w:szCs w:val="20"/>
              </w:rPr>
              <w:br/>
              <w:t>2、因设计单位原因导致的较大设计变更每处扣1分，重大设计变更每处扣2分（以设计变更台账为依据，台账未提供但实际已发生变更，加倍扣分，以下同）。</w:t>
            </w:r>
            <w:r>
              <w:rPr>
                <w:rFonts w:ascii="宋体" w:hAnsi="宋体" w:cs="宋体" w:hint="eastAsia"/>
                <w:color w:val="000000"/>
                <w:kern w:val="0"/>
                <w:sz w:val="20"/>
                <w:szCs w:val="20"/>
              </w:rPr>
              <w:br/>
              <w:t>3、路线变更长度超200米或总长度10%，扣1分，每增加100米或2%，增扣1分。桥梁跨径增加或减少1跨，扣2分。项目中隧道围岩级别总</w:t>
            </w:r>
            <w:r>
              <w:rPr>
                <w:rFonts w:ascii="宋体" w:hAnsi="宋体" w:cs="宋体" w:hint="eastAsia"/>
                <w:color w:val="000000"/>
                <w:kern w:val="0"/>
                <w:sz w:val="20"/>
                <w:szCs w:val="20"/>
              </w:rPr>
              <w:lastRenderedPageBreak/>
              <w:t>量变化（绝对值）超10%以上的扣2分，超20%以上的扣4分，超30%以上的扣6分。                                                        4、单项变更增加造价超过原对应工程量造价20%或累计总工程量的5%扣1分，每增加1%扣1分/处。</w:t>
            </w:r>
          </w:p>
          <w:p w:rsidR="00D22B3A" w:rsidRDefault="00D22B3A" w:rsidP="005E6124">
            <w:pPr>
              <w:widowControl/>
              <w:spacing w:line="400" w:lineRule="exact"/>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5、累计节约造价占累计工程量的5%，加2分，每增加节约1%，增1分，封顶加5分。</w:t>
            </w:r>
          </w:p>
        </w:tc>
        <w:tc>
          <w:tcPr>
            <w:tcW w:w="1200" w:type="dxa"/>
            <w:vMerge/>
            <w:tcBorders>
              <w:top w:val="nil"/>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218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9</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内业管理（15分）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1、未能及时进行设计技术及安全交底（以交底会议纪要或工地会议纪要为依据），每项次扣3分；未提供设计交底提纲扣3分。</w:t>
            </w:r>
            <w:r>
              <w:rPr>
                <w:rFonts w:ascii="宋体" w:hAnsi="宋体" w:cs="宋体" w:hint="eastAsia"/>
                <w:color w:val="000000"/>
                <w:kern w:val="0"/>
                <w:sz w:val="20"/>
                <w:szCs w:val="20"/>
              </w:rPr>
              <w:br/>
              <w:t>2、未建立设计变更台账，扣5分，台账未提供变更时限、变更金额数据，每项扣3分。</w:t>
            </w:r>
            <w:r>
              <w:rPr>
                <w:rFonts w:ascii="宋体" w:hAnsi="宋体" w:cs="宋体" w:hint="eastAsia"/>
                <w:color w:val="000000"/>
                <w:kern w:val="0"/>
                <w:sz w:val="20"/>
                <w:szCs w:val="20"/>
              </w:rPr>
              <w:br/>
              <w:t>3、设计代表未按要求填写《设计代表工作日记》，扣8分。</w:t>
            </w:r>
            <w:r>
              <w:rPr>
                <w:rFonts w:ascii="宋体" w:hAnsi="宋体" w:cs="宋体" w:hint="eastAsia"/>
                <w:color w:val="000000"/>
                <w:kern w:val="0"/>
                <w:sz w:val="20"/>
                <w:szCs w:val="20"/>
              </w:rPr>
              <w:br/>
              <w:t>（本项资料上传至内业资料考核平台评分；</w:t>
            </w:r>
            <w:r>
              <w:rPr>
                <w:rStyle w:val="font61"/>
                <w:rFonts w:hint="default"/>
                <w:color w:val="auto"/>
              </w:rPr>
              <w:t>或根据实际情况，组织现场内业资料考核评分</w:t>
            </w:r>
            <w:r>
              <w:rPr>
                <w:rFonts w:ascii="宋体" w:hAnsi="宋体" w:cs="宋体" w:hint="eastAsia"/>
                <w:color w:val="000000"/>
                <w:kern w:val="0"/>
                <w:sz w:val="20"/>
                <w:szCs w:val="20"/>
              </w:rPr>
              <w:t>）</w:t>
            </w:r>
          </w:p>
        </w:tc>
        <w:tc>
          <w:tcPr>
            <w:tcW w:w="1200"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680"/>
          <w:jc w:val="center"/>
        </w:trPr>
        <w:tc>
          <w:tcPr>
            <w:tcW w:w="9318" w:type="dxa"/>
            <w:gridSpan w:val="5"/>
            <w:tcBorders>
              <w:top w:val="nil"/>
              <w:left w:val="nil"/>
              <w:bottom w:val="nil"/>
              <w:right w:val="nil"/>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注：1、设计前期由地方审批项目，省公路局对设计单位标段评分=设计前期基本分得分+75分*（后期服务得分/60）；</w:t>
            </w:r>
          </w:p>
          <w:p w:rsidR="00D22B3A" w:rsidRDefault="00D22B3A" w:rsidP="005E6124">
            <w:pPr>
              <w:widowControl/>
              <w:spacing w:line="400" w:lineRule="exact"/>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2、本表适用于由省级审批项目的设计单位综合评分。</w:t>
            </w:r>
          </w:p>
        </w:tc>
      </w:tr>
    </w:tbl>
    <w:p w:rsidR="00D22B3A" w:rsidRDefault="00D22B3A" w:rsidP="00D22B3A">
      <w:r>
        <w:rPr>
          <w:rFonts w:hint="eastAsia"/>
        </w:rPr>
        <w:br w:type="page"/>
      </w:r>
    </w:p>
    <w:tbl>
      <w:tblPr>
        <w:tblW w:w="0" w:type="auto"/>
        <w:jc w:val="center"/>
        <w:tblLayout w:type="fixed"/>
        <w:tblCellMar>
          <w:left w:w="0" w:type="dxa"/>
          <w:right w:w="0" w:type="dxa"/>
        </w:tblCellMar>
        <w:tblLook w:val="0000"/>
      </w:tblPr>
      <w:tblGrid>
        <w:gridCol w:w="625"/>
        <w:gridCol w:w="625"/>
        <w:gridCol w:w="1396"/>
        <w:gridCol w:w="5259"/>
        <w:gridCol w:w="1215"/>
      </w:tblGrid>
      <w:tr w:rsidR="00D22B3A" w:rsidTr="005E6124">
        <w:trPr>
          <w:trHeight w:val="840"/>
          <w:jc w:val="center"/>
        </w:trPr>
        <w:tc>
          <w:tcPr>
            <w:tcW w:w="9120" w:type="dxa"/>
            <w:gridSpan w:val="5"/>
            <w:tcBorders>
              <w:top w:val="nil"/>
              <w:left w:val="nil"/>
              <w:bottom w:val="nil"/>
              <w:right w:val="nil"/>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8"/>
                <w:szCs w:val="28"/>
              </w:rPr>
            </w:pPr>
            <w:r>
              <w:rPr>
                <w:rFonts w:ascii="宋体" w:hAnsi="宋体" w:cs="宋体" w:hint="eastAsia"/>
                <w:b/>
                <w:color w:val="000000"/>
                <w:kern w:val="0"/>
                <w:sz w:val="28"/>
                <w:szCs w:val="28"/>
              </w:rPr>
              <w:lastRenderedPageBreak/>
              <w:t>福建省普通国省干线公路建设项目信用考核评分标准（建设单位）</w:t>
            </w:r>
          </w:p>
        </w:tc>
      </w:tr>
      <w:tr w:rsidR="00D22B3A" w:rsidTr="005E6124">
        <w:trPr>
          <w:trHeight w:val="679"/>
          <w:jc w:val="center"/>
        </w:trPr>
        <w:tc>
          <w:tcPr>
            <w:tcW w:w="625" w:type="dxa"/>
            <w:tcBorders>
              <w:top w:val="single" w:sz="12"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序号</w:t>
            </w:r>
          </w:p>
        </w:tc>
        <w:tc>
          <w:tcPr>
            <w:tcW w:w="2021" w:type="dxa"/>
            <w:gridSpan w:val="2"/>
            <w:tcBorders>
              <w:top w:val="single" w:sz="12" w:space="0" w:color="000000"/>
              <w:left w:val="nil"/>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考评项目</w:t>
            </w:r>
          </w:p>
        </w:tc>
        <w:tc>
          <w:tcPr>
            <w:tcW w:w="5259" w:type="dxa"/>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考评标准</w:t>
            </w:r>
          </w:p>
        </w:tc>
        <w:tc>
          <w:tcPr>
            <w:tcW w:w="1215" w:type="dxa"/>
            <w:tcBorders>
              <w:top w:val="single" w:sz="12"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扣分或加分</w:t>
            </w:r>
          </w:p>
        </w:tc>
      </w:tr>
      <w:tr w:rsidR="00D22B3A" w:rsidTr="005E6124">
        <w:trPr>
          <w:trHeight w:val="2340"/>
          <w:jc w:val="center"/>
        </w:trPr>
        <w:tc>
          <w:tcPr>
            <w:tcW w:w="625"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021" w:type="dxa"/>
            <w:gridSpan w:val="2"/>
            <w:tcBorders>
              <w:top w:val="single" w:sz="4" w:space="0" w:color="000000"/>
              <w:left w:val="nil"/>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进度质量安全管理基本分（30分）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1、年度进度正常、质量安全总体可控（项目完成投资比例，所管理标段未发生质量或安全责任事故，与省级投资计划中项目序时投资比例相比,相差在±20%以内）得基本分30分。                                            2、进度滞后20%以上，每增5%扣1分，最高扣10分。               3、发生质量或安全责任事故，参照省厅直接定级（C、D级）标准分别扣20分、30分。</w:t>
            </w:r>
            <w:r>
              <w:rPr>
                <w:rFonts w:ascii="宋体" w:hAnsi="宋体" w:cs="宋体" w:hint="eastAsia"/>
                <w:color w:val="000000"/>
                <w:kern w:val="0"/>
                <w:sz w:val="20"/>
                <w:szCs w:val="20"/>
              </w:rPr>
              <w:br/>
              <w:t>4、因建设单位未有效处置工程建设过程中各类事项，导致工程建设过程中出现影响当地稳定安定的群体性事件的，扣30分。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920"/>
          <w:jc w:val="center"/>
        </w:trPr>
        <w:tc>
          <w:tcPr>
            <w:tcW w:w="625" w:type="dxa"/>
            <w:vMerge w:val="restart"/>
            <w:tcBorders>
              <w:top w:val="single" w:sz="4" w:space="0" w:color="000000"/>
              <w:left w:val="single" w:sz="12"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625" w:type="dxa"/>
            <w:vMerge w:val="restart"/>
            <w:tcBorders>
              <w:top w:val="single" w:sz="4" w:space="0" w:color="000000"/>
              <w:left w:val="single" w:sz="4" w:space="0" w:color="000000"/>
              <w:right w:val="nil"/>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管理实效（15分）</w:t>
            </w:r>
          </w:p>
        </w:tc>
        <w:tc>
          <w:tcPr>
            <w:tcW w:w="13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征地拆迁（5分）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未及时完成征地拆迁工作，总体无法确保无障碍施工，扣5分。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920"/>
          <w:jc w:val="center"/>
        </w:trPr>
        <w:tc>
          <w:tcPr>
            <w:tcW w:w="625" w:type="dxa"/>
            <w:vMerge/>
            <w:tcBorders>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625" w:type="dxa"/>
            <w:vMerge/>
            <w:tcBorders>
              <w:left w:val="single" w:sz="4" w:space="0" w:color="000000"/>
              <w:bottom w:val="single" w:sz="4" w:space="0" w:color="000000"/>
              <w:right w:val="nil"/>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13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“五标准五集中”（10分）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未按要求落实“五标准五集中”标准化建设管理，扣10分。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1915"/>
          <w:jc w:val="center"/>
        </w:trPr>
        <w:tc>
          <w:tcPr>
            <w:tcW w:w="625"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r>
              <w:rPr>
                <w:rFonts w:ascii="宋体" w:hAnsi="宋体" w:cs="宋体" w:hint="eastAsia"/>
                <w:color w:val="000000"/>
                <w:sz w:val="20"/>
                <w:szCs w:val="20"/>
              </w:rPr>
              <w:t>3</w:t>
            </w:r>
          </w:p>
        </w:tc>
        <w:tc>
          <w:tcPr>
            <w:tcW w:w="2021"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内业管理（15分）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将下列管理内业资料及时上传至内业资料平台进行评分</w:t>
            </w:r>
            <w:r>
              <w:rPr>
                <w:rStyle w:val="font61"/>
                <w:rFonts w:hint="default"/>
                <w:color w:val="auto"/>
              </w:rPr>
              <w:t>（或根据实际情况，组织现场内业资料考核评分）</w:t>
            </w:r>
            <w:r>
              <w:rPr>
                <w:rFonts w:ascii="宋体" w:hAnsi="宋体" w:cs="宋体" w:hint="eastAsia"/>
                <w:color w:val="000000"/>
                <w:kern w:val="0"/>
                <w:sz w:val="20"/>
                <w:szCs w:val="20"/>
              </w:rPr>
              <w:t>：</w:t>
            </w:r>
            <w:r>
              <w:rPr>
                <w:rFonts w:ascii="宋体" w:hAnsi="宋体" w:cs="宋体" w:hint="eastAsia"/>
                <w:color w:val="000000"/>
                <w:kern w:val="0"/>
                <w:sz w:val="20"/>
                <w:szCs w:val="20"/>
              </w:rPr>
              <w:br/>
              <w:t>1、未对项目开展“一月一检查”并形成通报（以建设单位“一月一检查”通报为准），每次扣1分，5分封顶。</w:t>
            </w:r>
            <w:r>
              <w:rPr>
                <w:rFonts w:ascii="宋体" w:hAnsi="宋体" w:cs="宋体" w:hint="eastAsia"/>
                <w:color w:val="000000"/>
                <w:kern w:val="0"/>
                <w:sz w:val="20"/>
                <w:szCs w:val="20"/>
              </w:rPr>
              <w:br/>
              <w:t>2、未认真对设计、施工、监理等参建单位开展履约管理，施工、监理、设计单位人员到岗率差，人脸识别考勤系统未建立的：</w:t>
            </w:r>
            <w:r>
              <w:rPr>
                <w:rFonts w:ascii="宋体" w:hAnsi="宋体" w:cs="宋体" w:hint="eastAsia"/>
                <w:color w:val="000000"/>
                <w:kern w:val="0"/>
                <w:sz w:val="20"/>
                <w:szCs w:val="20"/>
              </w:rPr>
              <w:br/>
              <w:t>（1）“一月一检查”通报中未体现对设计、施工、监理人员考勤检查情况，扣5分；</w:t>
            </w:r>
            <w:r>
              <w:rPr>
                <w:rFonts w:ascii="宋体" w:hAnsi="宋体" w:cs="宋体" w:hint="eastAsia"/>
                <w:color w:val="000000"/>
                <w:kern w:val="0"/>
                <w:sz w:val="20"/>
                <w:szCs w:val="20"/>
              </w:rPr>
              <w:br/>
              <w:t>（2）设计、施工、监理等参建单位人脸识别考勤系统未建立，扣5分；</w:t>
            </w:r>
            <w:r>
              <w:rPr>
                <w:rFonts w:ascii="宋体" w:hAnsi="宋体" w:cs="宋体" w:hint="eastAsia"/>
                <w:color w:val="000000"/>
                <w:kern w:val="0"/>
                <w:sz w:val="20"/>
                <w:szCs w:val="20"/>
              </w:rPr>
              <w:br/>
              <w:t>（3）施工、监理、设计人员到岗率不足80%，按每单位分别扣10分，扣完为止。</w:t>
            </w:r>
            <w:r>
              <w:rPr>
                <w:rFonts w:ascii="宋体" w:hAnsi="宋体" w:cs="宋体" w:hint="eastAsia"/>
                <w:color w:val="000000"/>
                <w:kern w:val="0"/>
                <w:sz w:val="20"/>
                <w:szCs w:val="20"/>
              </w:rPr>
              <w:br/>
              <w:t>3、质量管理、安全管理、工程计量支付、变更设计、财务管</w:t>
            </w:r>
            <w:r>
              <w:rPr>
                <w:rFonts w:ascii="宋体" w:hAnsi="宋体" w:cs="宋体" w:hint="eastAsia"/>
                <w:color w:val="000000"/>
                <w:kern w:val="0"/>
                <w:sz w:val="20"/>
                <w:szCs w:val="20"/>
              </w:rPr>
              <w:lastRenderedPageBreak/>
              <w:t>理、合同管理、征迁管理、生态文明、廉政建设、防止拖欠农民工工资等管理制度未以正式文件出台，每项扣1分。</w:t>
            </w:r>
            <w:r>
              <w:rPr>
                <w:rFonts w:ascii="宋体" w:hAnsi="宋体" w:cs="宋体" w:hint="eastAsia"/>
                <w:color w:val="000000"/>
                <w:kern w:val="0"/>
                <w:sz w:val="20"/>
                <w:szCs w:val="20"/>
              </w:rPr>
              <w:br/>
              <w:t>4、建设单位管理机构未履行报备手续，扣5分。</w:t>
            </w:r>
            <w:r>
              <w:rPr>
                <w:rFonts w:ascii="宋体" w:hAnsi="宋体" w:cs="宋体" w:hint="eastAsia"/>
                <w:color w:val="000000"/>
                <w:kern w:val="0"/>
                <w:sz w:val="20"/>
                <w:szCs w:val="20"/>
              </w:rPr>
              <w:br/>
              <w:t>5、基建程序不完备，扣5分。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1635"/>
          <w:jc w:val="center"/>
        </w:trPr>
        <w:tc>
          <w:tcPr>
            <w:tcW w:w="625"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4</w:t>
            </w:r>
          </w:p>
        </w:tc>
        <w:tc>
          <w:tcPr>
            <w:tcW w:w="2021" w:type="dxa"/>
            <w:gridSpan w:val="2"/>
            <w:tcBorders>
              <w:top w:val="single" w:sz="4" w:space="0" w:color="000000"/>
              <w:left w:val="nil"/>
              <w:bottom w:val="single" w:sz="4" w:space="0" w:color="000000"/>
              <w:right w:val="nil"/>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关联分（40分）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本项实得分X=20/100×（A1+A2+…+An）/n+10/100×（B1+B2+…+</w:t>
            </w:r>
            <w:proofErr w:type="spellStart"/>
            <w:r>
              <w:rPr>
                <w:rFonts w:ascii="宋体" w:hAnsi="宋体" w:cs="宋体" w:hint="eastAsia"/>
                <w:color w:val="000000"/>
                <w:kern w:val="0"/>
                <w:sz w:val="20"/>
                <w:szCs w:val="20"/>
              </w:rPr>
              <w:t>Bm</w:t>
            </w:r>
            <w:proofErr w:type="spellEnd"/>
            <w:r>
              <w:rPr>
                <w:rFonts w:ascii="宋体" w:hAnsi="宋体" w:cs="宋体" w:hint="eastAsia"/>
                <w:color w:val="000000"/>
                <w:kern w:val="0"/>
                <w:sz w:val="20"/>
                <w:szCs w:val="20"/>
              </w:rPr>
              <w:t>）/m+10/100×（C1+C2+…+</w:t>
            </w:r>
            <w:proofErr w:type="spellStart"/>
            <w:r>
              <w:rPr>
                <w:rFonts w:ascii="宋体" w:hAnsi="宋体" w:cs="宋体" w:hint="eastAsia"/>
                <w:color w:val="000000"/>
                <w:kern w:val="0"/>
                <w:sz w:val="20"/>
                <w:szCs w:val="20"/>
              </w:rPr>
              <w:t>Ci</w:t>
            </w:r>
            <w:proofErr w:type="spellEnd"/>
            <w:r>
              <w:rPr>
                <w:rFonts w:ascii="宋体" w:hAnsi="宋体" w:cs="宋体" w:hint="eastAsia"/>
                <w:color w:val="000000"/>
                <w:kern w:val="0"/>
                <w:sz w:val="20"/>
                <w:szCs w:val="20"/>
              </w:rPr>
              <w:t>）/</w:t>
            </w:r>
            <w:proofErr w:type="spellStart"/>
            <w:r>
              <w:rPr>
                <w:rFonts w:ascii="宋体" w:hAnsi="宋体" w:cs="宋体" w:hint="eastAsia"/>
                <w:color w:val="000000"/>
                <w:kern w:val="0"/>
                <w:sz w:val="20"/>
                <w:szCs w:val="20"/>
              </w:rPr>
              <w:t>i</w:t>
            </w:r>
            <w:proofErr w:type="spellEnd"/>
            <w:r>
              <w:rPr>
                <w:rFonts w:ascii="宋体" w:hAnsi="宋体" w:cs="宋体" w:hint="eastAsia"/>
                <w:color w:val="000000"/>
                <w:kern w:val="0"/>
                <w:sz w:val="20"/>
                <w:szCs w:val="20"/>
              </w:rPr>
              <w:t>；</w:t>
            </w:r>
            <w:r>
              <w:rPr>
                <w:rFonts w:ascii="宋体" w:hAnsi="宋体" w:cs="宋体" w:hint="eastAsia"/>
                <w:color w:val="000000"/>
                <w:kern w:val="0"/>
                <w:sz w:val="20"/>
                <w:szCs w:val="20"/>
              </w:rPr>
              <w:br/>
              <w:t>A1、A2…为各施工标段综合得分，n为施工标段数。</w:t>
            </w:r>
            <w:r>
              <w:rPr>
                <w:rFonts w:ascii="宋体" w:hAnsi="宋体" w:cs="宋体" w:hint="eastAsia"/>
                <w:color w:val="000000"/>
                <w:kern w:val="0"/>
                <w:sz w:val="20"/>
                <w:szCs w:val="20"/>
              </w:rPr>
              <w:br/>
              <w:t>B1、B2…为各监理标段综合得分，m为监理标段数。</w:t>
            </w:r>
            <w:r>
              <w:rPr>
                <w:rFonts w:ascii="宋体" w:hAnsi="宋体" w:cs="宋体" w:hint="eastAsia"/>
                <w:color w:val="000000"/>
                <w:kern w:val="0"/>
                <w:sz w:val="20"/>
                <w:szCs w:val="20"/>
              </w:rPr>
              <w:br/>
              <w:t>C1、C2…为各设计标段综合得分，</w:t>
            </w:r>
            <w:proofErr w:type="spellStart"/>
            <w:r>
              <w:rPr>
                <w:rFonts w:ascii="宋体" w:hAnsi="宋体" w:cs="宋体" w:hint="eastAsia"/>
                <w:color w:val="000000"/>
                <w:kern w:val="0"/>
                <w:sz w:val="20"/>
                <w:szCs w:val="20"/>
              </w:rPr>
              <w:t>i</w:t>
            </w:r>
            <w:proofErr w:type="spellEnd"/>
            <w:r>
              <w:rPr>
                <w:rFonts w:ascii="宋体" w:hAnsi="宋体" w:cs="宋体" w:hint="eastAsia"/>
                <w:color w:val="000000"/>
                <w:kern w:val="0"/>
                <w:sz w:val="20"/>
                <w:szCs w:val="20"/>
              </w:rPr>
              <w:t>为设计标段数。</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left"/>
              <w:rPr>
                <w:rFonts w:ascii="宋体" w:hAnsi="宋体" w:cs="宋体"/>
                <w:color w:val="000000"/>
                <w:sz w:val="20"/>
                <w:szCs w:val="20"/>
              </w:rPr>
            </w:pPr>
          </w:p>
        </w:tc>
      </w:tr>
      <w:tr w:rsidR="00D22B3A" w:rsidTr="005E6124">
        <w:trPr>
          <w:trHeight w:val="460"/>
          <w:jc w:val="center"/>
        </w:trPr>
        <w:tc>
          <w:tcPr>
            <w:tcW w:w="625" w:type="dxa"/>
            <w:vMerge w:val="restart"/>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2021" w:type="dxa"/>
            <w:gridSpan w:val="2"/>
            <w:vMerge w:val="restart"/>
            <w:tcBorders>
              <w:top w:val="single" w:sz="4" w:space="0" w:color="000000"/>
              <w:left w:val="nil"/>
              <w:bottom w:val="single" w:sz="12"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加分项</w:t>
            </w:r>
            <w:r>
              <w:rPr>
                <w:rFonts w:ascii="宋体" w:hAnsi="宋体" w:cs="宋体" w:hint="eastAsia"/>
                <w:color w:val="000000"/>
                <w:kern w:val="0"/>
                <w:sz w:val="20"/>
                <w:szCs w:val="20"/>
              </w:rPr>
              <w:br/>
              <w:t>（管理、融资等方面创新且成效较好）</w:t>
            </w:r>
          </w:p>
        </w:tc>
        <w:tc>
          <w:tcPr>
            <w:tcW w:w="525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承办市级标准化现场会加1分。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460"/>
          <w:jc w:val="center"/>
        </w:trPr>
        <w:tc>
          <w:tcPr>
            <w:tcW w:w="625"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2021" w:type="dxa"/>
            <w:gridSpan w:val="2"/>
            <w:vMerge/>
            <w:tcBorders>
              <w:top w:val="single" w:sz="4" w:space="0" w:color="000000"/>
              <w:left w:val="nil"/>
              <w:bottom w:val="single" w:sz="12"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525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承办省级标准化现场会加3分。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r w:rsidR="00D22B3A" w:rsidTr="005E6124">
        <w:trPr>
          <w:trHeight w:val="460"/>
          <w:jc w:val="center"/>
        </w:trPr>
        <w:tc>
          <w:tcPr>
            <w:tcW w:w="625"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2021" w:type="dxa"/>
            <w:gridSpan w:val="2"/>
            <w:vMerge/>
            <w:tcBorders>
              <w:top w:val="single" w:sz="4" w:space="0" w:color="000000"/>
              <w:left w:val="nil"/>
              <w:bottom w:val="single" w:sz="12" w:space="0" w:color="000000"/>
              <w:right w:val="single" w:sz="4"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c>
          <w:tcPr>
            <w:tcW w:w="5259" w:type="dxa"/>
            <w:tcBorders>
              <w:top w:val="single" w:sz="4" w:space="0" w:color="000000"/>
              <w:left w:val="nil"/>
              <w:bottom w:val="single" w:sz="12" w:space="0" w:color="000000"/>
              <w:right w:val="single" w:sz="4" w:space="0" w:color="000000"/>
            </w:tcBorders>
            <w:tcMar>
              <w:top w:w="15" w:type="dxa"/>
              <w:left w:w="15" w:type="dxa"/>
              <w:right w:w="15" w:type="dxa"/>
            </w:tcMar>
            <w:vAlign w:val="center"/>
          </w:tcPr>
          <w:p w:rsidR="00D22B3A" w:rsidRDefault="00D22B3A" w:rsidP="005E6124">
            <w:pPr>
              <w:widowControl/>
              <w:spacing w:line="4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其他好的建设管理做法、经验被省级推广加2分。</w:t>
            </w:r>
          </w:p>
        </w:tc>
        <w:tc>
          <w:tcPr>
            <w:tcW w:w="1215" w:type="dxa"/>
            <w:tcBorders>
              <w:top w:val="single" w:sz="4" w:space="0" w:color="000000"/>
              <w:left w:val="single" w:sz="4" w:space="0" w:color="000000"/>
              <w:bottom w:val="single" w:sz="12" w:space="0" w:color="000000"/>
              <w:right w:val="single" w:sz="12" w:space="0" w:color="000000"/>
            </w:tcBorders>
            <w:tcMar>
              <w:top w:w="15" w:type="dxa"/>
              <w:left w:w="15" w:type="dxa"/>
              <w:right w:w="15" w:type="dxa"/>
            </w:tcMar>
            <w:vAlign w:val="center"/>
          </w:tcPr>
          <w:p w:rsidR="00D22B3A" w:rsidRDefault="00D22B3A" w:rsidP="005E6124">
            <w:pPr>
              <w:spacing w:line="400" w:lineRule="exact"/>
              <w:jc w:val="center"/>
              <w:rPr>
                <w:rFonts w:ascii="宋体" w:hAnsi="宋体" w:cs="宋体"/>
                <w:color w:val="000000"/>
                <w:sz w:val="20"/>
                <w:szCs w:val="20"/>
              </w:rPr>
            </w:pPr>
          </w:p>
        </w:tc>
      </w:tr>
    </w:tbl>
    <w:p w:rsidR="00D22B3A" w:rsidRDefault="00D22B3A" w:rsidP="00D22B3A">
      <w:pPr>
        <w:pStyle w:val="a6"/>
        <w:ind w:firstLineChars="0" w:firstLine="0"/>
      </w:pPr>
    </w:p>
    <w:p w:rsidR="00D22B3A" w:rsidRDefault="00D22B3A" w:rsidP="00D22B3A">
      <w:pPr>
        <w:ind w:firstLineChars="200" w:firstLine="640"/>
        <w:jc w:val="left"/>
        <w:rPr>
          <w:rFonts w:ascii="仿宋_GB2312" w:eastAsia="仿宋_GB2312" w:hAnsi="仿宋_GB2312" w:cs="仿宋_GB2312"/>
          <w:sz w:val="32"/>
          <w:szCs w:val="32"/>
        </w:rPr>
      </w:pPr>
    </w:p>
    <w:p w:rsidR="00D22B3A" w:rsidRDefault="00D22B3A" w:rsidP="00D22B3A">
      <w:pPr>
        <w:pStyle w:val="a6"/>
        <w:ind w:firstLineChars="0" w:firstLine="0"/>
      </w:pPr>
    </w:p>
    <w:p w:rsidR="00D22B3A" w:rsidRDefault="00D22B3A" w:rsidP="00D22B3A">
      <w:pPr>
        <w:pStyle w:val="a6"/>
        <w:ind w:firstLine="640"/>
      </w:pPr>
    </w:p>
    <w:p w:rsidR="00D22B3A" w:rsidRDefault="00D22B3A" w:rsidP="00D22B3A">
      <w:pPr>
        <w:pStyle w:val="a6"/>
        <w:ind w:firstLineChars="1700" w:firstLine="5440"/>
      </w:pPr>
      <w:r>
        <w:rPr>
          <w:rFonts w:hint="eastAsia"/>
        </w:rPr>
        <w:t>福建省公路管理局</w:t>
      </w:r>
    </w:p>
    <w:p w:rsidR="00D22B3A" w:rsidRDefault="00D22B3A" w:rsidP="00D22B3A">
      <w:pPr>
        <w:pStyle w:val="a6"/>
        <w:ind w:left="1280" w:right="864" w:hangingChars="400" w:hanging="1280"/>
        <w:jc w:val="right"/>
      </w:pPr>
      <w:r>
        <w:rPr>
          <w:rFonts w:hint="eastAsia"/>
        </w:rPr>
        <w:t xml:space="preserve">                                  2019年8月5日</w:t>
      </w:r>
    </w:p>
    <w:p w:rsidR="00D22B3A" w:rsidRDefault="00D22B3A" w:rsidP="00D22B3A">
      <w:pPr>
        <w:pStyle w:val="a6"/>
        <w:ind w:right="1280" w:firstLineChars="0" w:firstLine="560"/>
        <w:jc w:val="both"/>
      </w:pPr>
      <w:r>
        <w:rPr>
          <w:rFonts w:hint="eastAsia"/>
        </w:rPr>
        <w:t>（此件主动公开）</w:t>
      </w:r>
    </w:p>
    <w:p w:rsidR="00D22B3A" w:rsidRDefault="00D22B3A" w:rsidP="00D22B3A">
      <w:pPr>
        <w:pStyle w:val="a6"/>
        <w:ind w:right="1280" w:firstLineChars="0" w:firstLine="560"/>
        <w:jc w:val="both"/>
      </w:pPr>
    </w:p>
    <w:p w:rsidR="00D22B3A" w:rsidRDefault="00D22B3A" w:rsidP="00D22B3A">
      <w:pPr>
        <w:pStyle w:val="a6"/>
        <w:ind w:right="800" w:firstLineChars="0" w:firstLine="0"/>
        <w:jc w:val="right"/>
      </w:pPr>
    </w:p>
    <w:p w:rsidR="00D22B3A" w:rsidRDefault="00E23BF0" w:rsidP="00D22B3A">
      <w:pPr>
        <w:pStyle w:val="a4"/>
        <w:rPr>
          <w:sz w:val="28"/>
          <w:szCs w:val="28"/>
        </w:rPr>
      </w:pPr>
      <w:r>
        <w:rPr>
          <w:sz w:val="28"/>
          <w:szCs w:val="28"/>
        </w:rPr>
        <w:pict>
          <v:line id="直线 6" o:spid="_x0000_s1028" style="position:absolute;z-index:251662336;mso-wrap-style:square" from="1pt,0" to="440pt,0">
            <v:stroke startarrowwidth="wide"/>
          </v:line>
        </w:pict>
      </w:r>
      <w:r w:rsidR="00D22B3A">
        <w:rPr>
          <w:rFonts w:hint="eastAsia"/>
          <w:sz w:val="28"/>
          <w:szCs w:val="28"/>
        </w:rPr>
        <w:t xml:space="preserve">　抄送：厅建管处，局领导，建管处、总工办、规划处、养护处、政法处。</w:t>
      </w:r>
    </w:p>
    <w:p w:rsidR="00D22B3A" w:rsidRDefault="00E23BF0" w:rsidP="00D22B3A">
      <w:pPr>
        <w:pStyle w:val="a4"/>
      </w:pPr>
      <w:r w:rsidRPr="00E23BF0">
        <w:rPr>
          <w:sz w:val="28"/>
          <w:szCs w:val="28"/>
        </w:rPr>
        <w:pict>
          <v:line id="直线 8" o:spid="_x0000_s1030" style="position:absolute;z-index:251664384;mso-wrap-style:square" from="1pt,28pt" to="440pt,28pt">
            <v:stroke startarrowwidth="wide"/>
          </v:line>
        </w:pict>
      </w:r>
      <w:r w:rsidRPr="00E23BF0">
        <w:rPr>
          <w:sz w:val="28"/>
          <w:szCs w:val="28"/>
        </w:rPr>
        <w:pict>
          <v:line id="直线 7" o:spid="_x0000_s1029" style="position:absolute;z-index:251663360;mso-wrap-style:square" from="1pt,0" to="440pt,0">
            <v:stroke startarrowwidth="wide"/>
          </v:line>
        </w:pict>
      </w:r>
      <w:r w:rsidR="00D22B3A">
        <w:rPr>
          <w:rFonts w:hint="eastAsia"/>
          <w:sz w:val="28"/>
          <w:szCs w:val="28"/>
        </w:rPr>
        <w:t xml:space="preserve">　福建省公路管理局办公室　　　　　　　　　</w:t>
      </w:r>
      <w:r w:rsidR="00D22B3A">
        <w:rPr>
          <w:rFonts w:hint="eastAsia"/>
          <w:sz w:val="28"/>
          <w:szCs w:val="28"/>
        </w:rPr>
        <w:t>2019</w:t>
      </w:r>
      <w:r w:rsidR="00D22B3A">
        <w:rPr>
          <w:rFonts w:hint="eastAsia"/>
          <w:sz w:val="28"/>
          <w:szCs w:val="28"/>
        </w:rPr>
        <w:t>年</w:t>
      </w:r>
      <w:r w:rsidR="00D22B3A">
        <w:rPr>
          <w:rFonts w:hint="eastAsia"/>
          <w:sz w:val="28"/>
          <w:szCs w:val="28"/>
        </w:rPr>
        <w:t>8</w:t>
      </w:r>
      <w:r w:rsidR="00D22B3A">
        <w:rPr>
          <w:rFonts w:hint="eastAsia"/>
          <w:sz w:val="28"/>
          <w:szCs w:val="28"/>
        </w:rPr>
        <w:t>月</w:t>
      </w:r>
      <w:r w:rsidR="00D22B3A">
        <w:rPr>
          <w:rFonts w:hint="eastAsia"/>
          <w:sz w:val="28"/>
          <w:szCs w:val="28"/>
        </w:rPr>
        <w:t>5</w:t>
      </w:r>
      <w:r w:rsidR="00D22B3A">
        <w:rPr>
          <w:rFonts w:hint="eastAsia"/>
          <w:sz w:val="28"/>
          <w:szCs w:val="28"/>
        </w:rPr>
        <w:t xml:space="preserve">日印发　</w:t>
      </w:r>
    </w:p>
    <w:p w:rsidR="007F56A4" w:rsidRPr="00D22B3A" w:rsidRDefault="007F56A4"/>
    <w:sectPr w:rsidR="007F56A4" w:rsidRPr="00D22B3A" w:rsidSect="00E23BF0">
      <w:footerReference w:type="even" r:id="rId7"/>
      <w:footerReference w:type="default" r:id="rId8"/>
      <w:pgSz w:w="11906" w:h="16838"/>
      <w:pgMar w:top="2098" w:right="1474" w:bottom="1985" w:left="1588" w:header="851" w:footer="992" w:gutter="0"/>
      <w:pgNumType w:fmt="numberInDash"/>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BF0" w:rsidRDefault="00E23BF0" w:rsidP="00E23BF0">
      <w:r>
        <w:separator/>
      </w:r>
    </w:p>
  </w:endnote>
  <w:endnote w:type="continuationSeparator" w:id="0">
    <w:p w:rsidR="00E23BF0" w:rsidRDefault="00E23BF0" w:rsidP="00E23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0" w:usb1="080E0000" w:usb2="00000010" w:usb3="00000000" w:csb0="00040000" w:csb1="00000000"/>
  </w:font>
  <w:font w:name="文鼎小标宋简">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BF0" w:rsidRDefault="00E23BF0">
    <w:pPr>
      <w:pStyle w:val="a5"/>
      <w:framePr w:wrap="around" w:vAnchor="text" w:hAnchor="margin" w:xAlign="outside" w:y="1"/>
      <w:rPr>
        <w:rStyle w:val="a3"/>
      </w:rPr>
    </w:pPr>
    <w:r>
      <w:fldChar w:fldCharType="begin"/>
    </w:r>
    <w:r w:rsidR="00D22B3A">
      <w:rPr>
        <w:rStyle w:val="a3"/>
      </w:rPr>
      <w:instrText xml:space="preserve">PAGE  </w:instrText>
    </w:r>
    <w:r>
      <w:fldChar w:fldCharType="end"/>
    </w:r>
  </w:p>
  <w:p w:rsidR="00E23BF0" w:rsidRDefault="00E23BF0">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BF0" w:rsidRDefault="00E23BF0">
    <w:pPr>
      <w:pStyle w:val="a5"/>
      <w:framePr w:wrap="around" w:vAnchor="text" w:hAnchor="margin" w:xAlign="outside" w:y="1"/>
      <w:rPr>
        <w:rStyle w:val="a3"/>
        <w:rFonts w:ascii="宋体" w:hAnsi="宋体"/>
        <w:sz w:val="28"/>
        <w:szCs w:val="28"/>
      </w:rPr>
    </w:pPr>
    <w:r>
      <w:rPr>
        <w:rFonts w:ascii="宋体" w:hAnsi="宋体"/>
        <w:sz w:val="28"/>
        <w:szCs w:val="28"/>
      </w:rPr>
      <w:fldChar w:fldCharType="begin"/>
    </w:r>
    <w:r w:rsidR="00D22B3A">
      <w:rPr>
        <w:rStyle w:val="a3"/>
        <w:rFonts w:ascii="宋体" w:hAnsi="宋体"/>
        <w:sz w:val="28"/>
        <w:szCs w:val="28"/>
      </w:rPr>
      <w:instrText xml:space="preserve">PAGE  </w:instrText>
    </w:r>
    <w:r>
      <w:rPr>
        <w:rFonts w:ascii="宋体" w:hAnsi="宋体"/>
        <w:sz w:val="28"/>
        <w:szCs w:val="28"/>
      </w:rPr>
      <w:fldChar w:fldCharType="separate"/>
    </w:r>
    <w:r w:rsidR="0025759F">
      <w:rPr>
        <w:rStyle w:val="a3"/>
        <w:rFonts w:ascii="宋体" w:hAnsi="宋体"/>
        <w:noProof/>
        <w:sz w:val="28"/>
        <w:szCs w:val="28"/>
      </w:rPr>
      <w:t>- 1 -</w:t>
    </w:r>
    <w:r>
      <w:rPr>
        <w:rFonts w:ascii="宋体" w:hAnsi="宋体"/>
        <w:sz w:val="28"/>
        <w:szCs w:val="28"/>
      </w:rPr>
      <w:fldChar w:fldCharType="end"/>
    </w:r>
  </w:p>
  <w:p w:rsidR="00E23BF0" w:rsidRDefault="00E23BF0">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BF0" w:rsidRDefault="00E23BF0" w:rsidP="00E23BF0">
      <w:r>
        <w:separator/>
      </w:r>
    </w:p>
  </w:footnote>
  <w:footnote w:type="continuationSeparator" w:id="0">
    <w:p w:rsidR="00E23BF0" w:rsidRDefault="00E23BF0" w:rsidP="00E23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186FFD"/>
    <w:multiLevelType w:val="singleLevel"/>
    <w:tmpl w:val="97186FFD"/>
    <w:lvl w:ilvl="0">
      <w:start w:val="3"/>
      <w:numFmt w:val="chineseCounting"/>
      <w:suff w:val="nothing"/>
      <w:lvlText w:val="（%1）"/>
      <w:lvlJc w:val="left"/>
      <w:rPr>
        <w:rFonts w:hint="eastAsia"/>
      </w:rPr>
    </w:lvl>
  </w:abstractNum>
  <w:abstractNum w:abstractNumId="1">
    <w:nsid w:val="9EB1E4F2"/>
    <w:multiLevelType w:val="singleLevel"/>
    <w:tmpl w:val="9EB1E4F2"/>
    <w:lvl w:ilvl="0">
      <w:start w:val="1"/>
      <w:numFmt w:val="decimal"/>
      <w:suff w:val="nothing"/>
      <w:lvlText w:val="%1、"/>
      <w:lvlJc w:val="left"/>
    </w:lvl>
  </w:abstractNum>
  <w:abstractNum w:abstractNumId="2">
    <w:nsid w:val="4D23753C"/>
    <w:multiLevelType w:val="multilevel"/>
    <w:tmpl w:val="4D23753C"/>
    <w:lvl w:ilvl="0">
      <w:start w:val="1"/>
      <w:numFmt w:val="japaneseCounting"/>
      <w:lvlText w:val="第%1条"/>
      <w:lvlJc w:val="left"/>
      <w:pPr>
        <w:tabs>
          <w:tab w:val="num" w:pos="2625"/>
        </w:tabs>
        <w:ind w:left="2625" w:hanging="1545"/>
      </w:pPr>
      <w:rPr>
        <w:rFonts w:ascii="宋体" w:eastAsia="宋体" w:hAnsi="宋体" w:hint="eastAsia"/>
        <w:b/>
        <w:lang w:val="en-US"/>
      </w:rPr>
    </w:lvl>
    <w:lvl w:ilvl="1">
      <w:start w:val="1"/>
      <w:numFmt w:val="lowerLetter"/>
      <w:lvlText w:val="%2)"/>
      <w:lvlJc w:val="left"/>
      <w:pPr>
        <w:tabs>
          <w:tab w:val="num" w:pos="1920"/>
        </w:tabs>
        <w:ind w:left="1920" w:hanging="420"/>
      </w:pPr>
    </w:lvl>
    <w:lvl w:ilvl="2">
      <w:start w:val="1"/>
      <w:numFmt w:val="lowerRoman"/>
      <w:lvlText w:val="%3."/>
      <w:lvlJc w:val="right"/>
      <w:pPr>
        <w:tabs>
          <w:tab w:val="num" w:pos="2340"/>
        </w:tabs>
        <w:ind w:left="2340" w:hanging="420"/>
      </w:pPr>
    </w:lvl>
    <w:lvl w:ilvl="3">
      <w:start w:val="1"/>
      <w:numFmt w:val="decimal"/>
      <w:lvlText w:val="%4."/>
      <w:lvlJc w:val="left"/>
      <w:pPr>
        <w:tabs>
          <w:tab w:val="num" w:pos="2760"/>
        </w:tabs>
        <w:ind w:left="2760" w:hanging="420"/>
      </w:pPr>
    </w:lvl>
    <w:lvl w:ilvl="4">
      <w:start w:val="1"/>
      <w:numFmt w:val="lowerLetter"/>
      <w:lvlText w:val="%5)"/>
      <w:lvlJc w:val="left"/>
      <w:pPr>
        <w:tabs>
          <w:tab w:val="num" w:pos="3180"/>
        </w:tabs>
        <w:ind w:left="3180" w:hanging="420"/>
      </w:pPr>
    </w:lvl>
    <w:lvl w:ilvl="5">
      <w:start w:val="1"/>
      <w:numFmt w:val="lowerRoman"/>
      <w:lvlText w:val="%6."/>
      <w:lvlJc w:val="right"/>
      <w:pPr>
        <w:tabs>
          <w:tab w:val="num" w:pos="3600"/>
        </w:tabs>
        <w:ind w:left="3600" w:hanging="420"/>
      </w:pPr>
    </w:lvl>
    <w:lvl w:ilvl="6">
      <w:start w:val="1"/>
      <w:numFmt w:val="decimal"/>
      <w:lvlText w:val="%7."/>
      <w:lvlJc w:val="left"/>
      <w:pPr>
        <w:tabs>
          <w:tab w:val="num" w:pos="4020"/>
        </w:tabs>
        <w:ind w:left="4020" w:hanging="420"/>
      </w:pPr>
    </w:lvl>
    <w:lvl w:ilvl="7">
      <w:start w:val="1"/>
      <w:numFmt w:val="lowerLetter"/>
      <w:lvlText w:val="%8)"/>
      <w:lvlJc w:val="left"/>
      <w:pPr>
        <w:tabs>
          <w:tab w:val="num" w:pos="4440"/>
        </w:tabs>
        <w:ind w:left="4440" w:hanging="420"/>
      </w:pPr>
    </w:lvl>
    <w:lvl w:ilvl="8">
      <w:start w:val="1"/>
      <w:numFmt w:val="lowerRoman"/>
      <w:lvlText w:val="%9."/>
      <w:lvlJc w:val="right"/>
      <w:pPr>
        <w:tabs>
          <w:tab w:val="num" w:pos="4860"/>
        </w:tabs>
        <w:ind w:left="486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2B3A"/>
    <w:rsid w:val="0025759F"/>
    <w:rsid w:val="007F56A4"/>
    <w:rsid w:val="00D22B3A"/>
    <w:rsid w:val="00E23B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B3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22B3A"/>
  </w:style>
  <w:style w:type="character" w:customStyle="1" w:styleId="font01">
    <w:name w:val="font01"/>
    <w:basedOn w:val="a0"/>
    <w:rsid w:val="00D22B3A"/>
    <w:rPr>
      <w:rFonts w:ascii="宋体" w:eastAsia="宋体" w:hAnsi="宋体" w:cs="宋体" w:hint="eastAsia"/>
      <w:b/>
      <w:color w:val="000000"/>
      <w:sz w:val="20"/>
      <w:szCs w:val="20"/>
      <w:u w:val="none"/>
    </w:rPr>
  </w:style>
  <w:style w:type="character" w:customStyle="1" w:styleId="Char">
    <w:name w:val="小标题（仿宋） Char"/>
    <w:basedOn w:val="a0"/>
    <w:link w:val="a4"/>
    <w:rsid w:val="00D22B3A"/>
    <w:rPr>
      <w:rFonts w:ascii="Times New Roman" w:eastAsia="仿宋_GB2312" w:hAnsi="Times New Roman" w:cs="Times New Roman"/>
      <w:sz w:val="32"/>
      <w:szCs w:val="24"/>
    </w:rPr>
  </w:style>
  <w:style w:type="character" w:customStyle="1" w:styleId="font41">
    <w:name w:val="font41"/>
    <w:basedOn w:val="a0"/>
    <w:rsid w:val="00D22B3A"/>
    <w:rPr>
      <w:rFonts w:ascii="宋体" w:eastAsia="宋体" w:hAnsi="宋体" w:cs="宋体" w:hint="eastAsia"/>
      <w:color w:val="FF0000"/>
      <w:sz w:val="20"/>
      <w:szCs w:val="20"/>
      <w:u w:val="none"/>
    </w:rPr>
  </w:style>
  <w:style w:type="character" w:customStyle="1" w:styleId="font61">
    <w:name w:val="font61"/>
    <w:basedOn w:val="a0"/>
    <w:rsid w:val="00D22B3A"/>
    <w:rPr>
      <w:rFonts w:ascii="宋体" w:eastAsia="宋体" w:hAnsi="宋体" w:cs="宋体" w:hint="eastAsia"/>
      <w:color w:val="000000"/>
      <w:sz w:val="20"/>
      <w:szCs w:val="20"/>
      <w:u w:val="none"/>
    </w:rPr>
  </w:style>
  <w:style w:type="paragraph" w:styleId="a5">
    <w:name w:val="footer"/>
    <w:basedOn w:val="a"/>
    <w:link w:val="Char0"/>
    <w:rsid w:val="00D22B3A"/>
    <w:pPr>
      <w:tabs>
        <w:tab w:val="center" w:pos="4153"/>
        <w:tab w:val="right" w:pos="8306"/>
      </w:tabs>
      <w:snapToGrid w:val="0"/>
      <w:jc w:val="left"/>
    </w:pPr>
    <w:rPr>
      <w:sz w:val="18"/>
      <w:szCs w:val="18"/>
    </w:rPr>
  </w:style>
  <w:style w:type="character" w:customStyle="1" w:styleId="Char0">
    <w:name w:val="页脚 Char"/>
    <w:basedOn w:val="a0"/>
    <w:link w:val="a5"/>
    <w:rsid w:val="00D22B3A"/>
    <w:rPr>
      <w:rFonts w:ascii="Calibri" w:eastAsia="宋体" w:hAnsi="Calibri" w:cs="Times New Roman"/>
      <w:sz w:val="18"/>
      <w:szCs w:val="18"/>
    </w:rPr>
  </w:style>
  <w:style w:type="paragraph" w:customStyle="1" w:styleId="a6">
    <w:name w:val="公文正文"/>
    <w:rsid w:val="00D22B3A"/>
    <w:pPr>
      <w:ind w:firstLineChars="200" w:firstLine="200"/>
    </w:pPr>
    <w:rPr>
      <w:rFonts w:ascii="仿宋_GB2312" w:eastAsia="仿宋_GB2312" w:hAnsi="仿宋_GB2312" w:cs="仿宋_GB2312"/>
      <w:sz w:val="32"/>
      <w:szCs w:val="32"/>
    </w:rPr>
  </w:style>
  <w:style w:type="paragraph" w:customStyle="1" w:styleId="a7">
    <w:name w:val="公文标题"/>
    <w:rsid w:val="00D22B3A"/>
    <w:pPr>
      <w:jc w:val="center"/>
    </w:pPr>
    <w:rPr>
      <w:rFonts w:ascii="宋体" w:eastAsia="文鼎小标宋简" w:hAnsi="宋体" w:cs="宋体"/>
      <w:sz w:val="38"/>
      <w:szCs w:val="36"/>
    </w:rPr>
  </w:style>
  <w:style w:type="paragraph" w:customStyle="1" w:styleId="a8">
    <w:name w:val="主送"/>
    <w:rsid w:val="00D22B3A"/>
    <w:rPr>
      <w:rFonts w:ascii="Calibri" w:eastAsia="仿宋_GB2312" w:hAnsi="Calibri" w:cs="Times New Roman"/>
      <w:vanish/>
      <w:sz w:val="32"/>
      <w:szCs w:val="21"/>
    </w:rPr>
  </w:style>
  <w:style w:type="paragraph" w:customStyle="1" w:styleId="a9">
    <w:name w:val="小标题"/>
    <w:rsid w:val="00D22B3A"/>
    <w:rPr>
      <w:rFonts w:ascii="黑体" w:eastAsia="黑体" w:hAnsi="黑体" w:cs="黑体"/>
      <w:bCs/>
      <w:sz w:val="32"/>
      <w:szCs w:val="32"/>
    </w:rPr>
  </w:style>
  <w:style w:type="paragraph" w:customStyle="1" w:styleId="a4">
    <w:name w:val="小标题（仿宋）"/>
    <w:link w:val="Char"/>
    <w:rsid w:val="00D22B3A"/>
    <w:rPr>
      <w:rFonts w:ascii="Times New Roman"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2052</Words>
  <Characters>11702</Characters>
  <Application>Microsoft Office Word</Application>
  <DocSecurity>4</DocSecurity>
  <Lines>97</Lines>
  <Paragraphs>27</Paragraphs>
  <ScaleCrop>false</ScaleCrop>
  <Company/>
  <LinksUpToDate>false</LinksUpToDate>
  <CharactersWithSpaces>13727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周凯</dc:creator>
  <cp:lastModifiedBy>Administrator</cp:lastModifiedBy>
  <cp:revision>2</cp:revision>
  <dcterms:created xsi:type="dcterms:W3CDTF">2019-10-15T01:27:00Z</dcterms:created>
  <dcterms:modified xsi:type="dcterms:W3CDTF">2019-10-15T01:27:00Z</dcterms:modified>
</cp:coreProperties>
</file>