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61E32">
      <w:pPr>
        <w:spacing w:line="700" w:lineRule="exact"/>
        <w:jc w:val="center"/>
        <w:rPr>
          <w:rFonts w:ascii="黑体" w:eastAsia="黑体" w:cs="仿宋_GB2312"/>
          <w:bCs/>
          <w:color w:val="000000" w:themeColor="text1"/>
          <w:sz w:val="44"/>
          <w:szCs w:val="44"/>
        </w:rPr>
      </w:pPr>
      <w:bookmarkStart w:id="0" w:name="_GoBack"/>
      <w:bookmarkEnd w:id="0"/>
      <w:r>
        <w:rPr>
          <w:rFonts w:hint="eastAsia" w:ascii="黑体" w:eastAsia="黑体" w:cs="仿宋_GB2312"/>
          <w:bCs/>
          <w:color w:val="000000" w:themeColor="text1"/>
          <w:sz w:val="44"/>
          <w:szCs w:val="44"/>
        </w:rPr>
        <w:t>工程建设项目招标代理机构不规范行为</w:t>
      </w:r>
    </w:p>
    <w:p w14:paraId="12BFD618">
      <w:pPr>
        <w:spacing w:line="700" w:lineRule="exact"/>
        <w:jc w:val="center"/>
        <w:rPr>
          <w:rFonts w:ascii="黑体" w:hAnsi="仿宋" w:eastAsia="黑体" w:cs="仿宋"/>
          <w:color w:val="000000" w:themeColor="text1"/>
          <w:sz w:val="30"/>
          <w:szCs w:val="30"/>
        </w:rPr>
      </w:pPr>
      <w:r>
        <w:rPr>
          <w:rFonts w:hint="eastAsia" w:ascii="黑体" w:eastAsia="黑体" w:cs="仿宋_GB2312"/>
          <w:bCs/>
          <w:color w:val="000000" w:themeColor="text1"/>
          <w:sz w:val="44"/>
          <w:szCs w:val="44"/>
        </w:rPr>
        <w:t>信息采集通报工作规定</w:t>
      </w:r>
    </w:p>
    <w:p w14:paraId="61764E5F">
      <w:pPr>
        <w:spacing w:line="600" w:lineRule="exact"/>
        <w:ind w:firstLine="600" w:firstLineChars="200"/>
        <w:jc w:val="center"/>
        <w:rPr>
          <w:rFonts w:ascii="黑体" w:hAnsi="仿宋" w:eastAsia="黑体" w:cs="仿宋"/>
          <w:color w:val="000000" w:themeColor="text1"/>
          <w:sz w:val="30"/>
          <w:szCs w:val="30"/>
        </w:rPr>
      </w:pPr>
    </w:p>
    <w:p w14:paraId="141DB8F1">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尤溪县公共资源交易中心（以下简称“交易中心”）为做好进入中心场地进行工程建设项目招标代理机构（以下简称“招标代理机构”）入场代理不规范行为的信息采集通报工作，参照《福建省工程建设项目招标代理机构信用综合评价办法》</w:t>
      </w:r>
      <w:r>
        <w:rPr>
          <w:rFonts w:hint="eastAsia" w:ascii="仿宋_GB2312" w:hAnsi="仿宋" w:eastAsia="仿宋_GB2312" w:cs="仿宋"/>
          <w:color w:val="000000" w:themeColor="text1"/>
          <w:sz w:val="32"/>
          <w:szCs w:val="32"/>
          <w:lang w:eastAsia="zh-CN"/>
        </w:rPr>
        <w:t>、</w:t>
      </w:r>
      <w:r>
        <w:rPr>
          <w:rFonts w:hint="eastAsia" w:ascii="仿宋_GB2312" w:hAnsi="仿宋" w:eastAsia="仿宋_GB2312" w:cs="仿宋"/>
          <w:color w:val="000000" w:themeColor="text1"/>
          <w:sz w:val="32"/>
          <w:szCs w:val="32"/>
        </w:rPr>
        <w:t>《福建省房屋建筑和市政基础设施工程招标代理机构管理办法》等要求，制定本规定。</w:t>
      </w:r>
    </w:p>
    <w:p w14:paraId="3C171BA0">
      <w:pPr>
        <w:numPr>
          <w:ilvl w:val="0"/>
          <w:numId w:val="1"/>
        </w:num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本规定适用于在交易中心从事依法必须招标的工程建设项目（含房屋建筑、市政基础设施、园林绿化、交通、水利、渔港、工业、信息化等项目，以下筒称“工程建设项目”）招标代理业务的招标代理机构入场代理不规范行为信息采集和通报工作。</w:t>
      </w:r>
    </w:p>
    <w:p w14:paraId="1099DDC3">
      <w:pPr>
        <w:numPr>
          <w:ilvl w:val="0"/>
          <w:numId w:val="1"/>
        </w:num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招标代理机构不规范行为信息采集通报是指交易中心参照评价办法和评价标准，进行开标、评标不规范行为核实确认，信息通报、异议受理、结果告知、材料归档、廉政防控等衔接工作。</w:t>
      </w:r>
    </w:p>
    <w:p w14:paraId="671B8992">
      <w:pPr>
        <w:numPr>
          <w:ilvl w:val="0"/>
          <w:numId w:val="1"/>
        </w:num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交易中心负责对招标代理机构在交易中心组织开标、评标活动实施不规范行为信息采集和通报工作。</w:t>
      </w:r>
    </w:p>
    <w:p w14:paraId="45579401">
      <w:pPr>
        <w:numPr>
          <w:ilvl w:val="0"/>
          <w:numId w:val="1"/>
        </w:num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交易中心交易现场管理人员发现招标代理机构在开、评标活动中存在以下不规范行为时，应及时进行核实，相关人员按要求签字确认，并按规定填写《入场代理不规范行为登记表》（附件1），相关负责人员应在3个工作日内完成通报文书（附件2）编制，经交易中心分管领导同意后，在三明市公共资源交易中心门户网站（网址：https://smggzy.sm.gov.cn/smwz/），公示5个工作日，同时书面通报相关行政监督部门。具体情形为：</w:t>
      </w:r>
    </w:p>
    <w:p w14:paraId="0F4E67F3">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（一）进场的项目组成员不属于本单位人员或不属于事先报备的人员（以省行政监督平台报备的为准；若有变更，应在开标前提供招标人统一变更的证明材料）；</w:t>
      </w:r>
    </w:p>
    <w:p w14:paraId="0E55544A">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（二）进场的项目组成员数量少于报备；</w:t>
      </w:r>
    </w:p>
    <w:p w14:paraId="2A0DC932">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（三）项目负责人未到交易中心组织开、评标活动；</w:t>
      </w:r>
    </w:p>
    <w:p w14:paraId="01E71B68">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（四）未落实规定的开标程序和要求，导致开标秩序混乱；</w:t>
      </w:r>
    </w:p>
    <w:p w14:paraId="7C9EEA2A">
      <w:pPr>
        <w:spacing w:line="600" w:lineRule="exact"/>
        <w:ind w:left="420" w:left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（五）进场的项目组成员未按规定时间在交易中心签到或漏签到；</w:t>
      </w:r>
    </w:p>
    <w:p w14:paraId="45697544">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（六）将通讯工具、存储介质及与评标无关的物品带入评标区；</w:t>
      </w:r>
    </w:p>
    <w:p w14:paraId="227B6A0E">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（七）</w:t>
      </w:r>
      <w:r>
        <w:rPr>
          <w:rFonts w:hint="eastAsia" w:ascii="仿宋_GB2312" w:hAnsi="仿宋" w:eastAsia="仿宋_GB2312" w:cs="仿宋"/>
          <w:color w:val="000000" w:themeColor="text1"/>
          <w:sz w:val="32"/>
          <w:szCs w:val="32"/>
        </w:rPr>
        <w:tab/>
      </w:r>
      <w:r>
        <w:rPr>
          <w:rFonts w:hint="eastAsia" w:ascii="仿宋_GB2312" w:hAnsi="仿宋" w:eastAsia="仿宋_GB2312" w:cs="仿宋"/>
          <w:color w:val="000000" w:themeColor="text1"/>
          <w:sz w:val="32"/>
          <w:szCs w:val="32"/>
        </w:rPr>
        <w:t>收集评标专家个人信息；</w:t>
      </w:r>
    </w:p>
    <w:p w14:paraId="169C5801">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（八）干预评标专家评审工作，倾向性诱导和误导评标委员会的评标工作；</w:t>
      </w:r>
    </w:p>
    <w:p w14:paraId="6FDE5D51">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（九）</w:t>
      </w:r>
      <w:r>
        <w:rPr>
          <w:rFonts w:hint="eastAsia" w:ascii="仿宋_GB2312" w:hAnsi="仿宋" w:eastAsia="仿宋_GB2312" w:cs="仿宋"/>
          <w:color w:val="000000" w:themeColor="text1"/>
          <w:sz w:val="32"/>
          <w:szCs w:val="32"/>
        </w:rPr>
        <w:tab/>
      </w:r>
      <w:r>
        <w:rPr>
          <w:rFonts w:hint="eastAsia" w:ascii="仿宋_GB2312" w:hAnsi="仿宋" w:eastAsia="仿宋_GB2312" w:cs="仿宋"/>
          <w:color w:val="000000" w:themeColor="text1"/>
          <w:sz w:val="32"/>
          <w:szCs w:val="32"/>
        </w:rPr>
        <w:t>对外透露评标委员会的评标情况或与评标活动有关的事项；</w:t>
      </w:r>
    </w:p>
    <w:p w14:paraId="324C5A24">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（十）私自复制评标相关资料，将与评标有关的资料带出评标区；</w:t>
      </w:r>
    </w:p>
    <w:p w14:paraId="48F5FBEE">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（十一）评标结束后，未将评标过程中的所有资料进行封存；</w:t>
      </w:r>
    </w:p>
    <w:p w14:paraId="10E9735B">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（十二）在电子交易平台关键信息及数据填写错误或未填，造成开评标数据出错。</w:t>
      </w:r>
    </w:p>
    <w:p w14:paraId="0D4B7811">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五、招标代理机构若拒绝对《入场代理不规范行为登记表》进行签字确认的，交易中心工作人员应当在“招标代理机构法人或授权代表签字确认”一栏进行备注。</w:t>
      </w:r>
    </w:p>
    <w:p w14:paraId="1E12D5C2">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六、招标代理机构若有异议，应在公示期内以书面方式提出。异议人应当提供真实身份，有效的联系方式，事实理由和证明材料。异议由交易中心相关科室负责处理。未提供证明材料的或逾期提出异议的，交易中心不予受理。</w:t>
      </w:r>
    </w:p>
    <w:p w14:paraId="58754D3B">
      <w:pPr>
        <w:numPr>
          <w:ilvl w:val="0"/>
          <w:numId w:val="2"/>
        </w:num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交易中心在收到异议的5个工作日内作出处理意见，将处理意见书面告知异议人，并在三明市公共资源交易中心门户网站公示5个工作日。同一招标项目原则上不接受二次异议。</w:t>
      </w:r>
    </w:p>
    <w:p w14:paraId="0A84461D">
      <w:pPr>
        <w:numPr>
          <w:ilvl w:val="0"/>
          <w:numId w:val="2"/>
        </w:num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季度评价结果公示期内，招标代理机构或个人认为信用信息采集有误的，应当以书面方式向交易中心提出异议。异议人应当提供真实身份、有效的联系方式、事实理由和证明材料。未提供证明材料的或逾期提出异议的，交易中心不予受理。</w:t>
      </w:r>
    </w:p>
    <w:p w14:paraId="7B9119C6">
      <w:pPr>
        <w:numPr>
          <w:ilvl w:val="0"/>
          <w:numId w:val="2"/>
        </w:num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交易中心在收到异议的5个工作日内作出处理意见，并将处理意见书面告知异议人，异议处理涉及调整信用信息的，在评价系统中写明变更理由并上传书面意见。</w:t>
      </w:r>
    </w:p>
    <w:p w14:paraId="6AEF26F7">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十、《入场代理不规范行为登记表》、通报文书及异议处理书面意见等信息采集相关纸质材料随招标项目材料进行归档。档案材料及音视频由交易中心档案室保管备查，保存期不得少于评价生效后2年。</w:t>
      </w:r>
    </w:p>
    <w:p w14:paraId="3321B1F0">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十一、交易中心应加强工作人员廉政教育，将招标代理机构不规范行为信息采集工作纳入本单位的廉政风险防控手册。</w:t>
      </w:r>
    </w:p>
    <w:p w14:paraId="3BFB703B">
      <w:pPr>
        <w:spacing w:line="60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十二、工作人员在招标代理机构信息采集工作中不得玩忽职守、滥用职权、徇私舞弊。交易中心收到对工作人员涉嫌违反工作纪律投诉举报、信访的，按相关规定核实处理。</w:t>
      </w:r>
    </w:p>
    <w:p w14:paraId="6619FC0C">
      <w:pPr>
        <w:spacing w:line="600" w:lineRule="exact"/>
        <w:ind w:firstLine="640" w:firstLineChars="200"/>
        <w:rPr>
          <w:rFonts w:ascii="仿宋_GB2312" w:hAnsi="Times New Roman" w:eastAsia="仿宋_GB2312" w:cs="仿宋"/>
          <w:color w:val="000000" w:themeColor="text1"/>
          <w:sz w:val="32"/>
          <w:szCs w:val="32"/>
        </w:rPr>
      </w:pPr>
      <w:r>
        <w:rPr>
          <w:rFonts w:hint="eastAsia" w:ascii="仿宋_GB2312" w:hAnsi="仿宋" w:eastAsia="仿宋_GB2312" w:cs="仿宋"/>
          <w:color w:val="000000" w:themeColor="text1"/>
          <w:sz w:val="32"/>
          <w:szCs w:val="32"/>
        </w:rPr>
        <w:t>十三、本制度自202</w:t>
      </w:r>
      <w:r>
        <w:rPr>
          <w:rFonts w:hint="eastAsia" w:ascii="仿宋_GB2312" w:hAnsi="仿宋" w:eastAsia="仿宋_GB2312" w:cs="仿宋"/>
          <w:color w:val="000000" w:themeColor="text1"/>
          <w:sz w:val="32"/>
          <w:szCs w:val="32"/>
          <w:lang w:val="en-US" w:eastAsia="zh-CN"/>
        </w:rPr>
        <w:t>5</w:t>
      </w:r>
      <w:r>
        <w:rPr>
          <w:rFonts w:hint="eastAsia" w:ascii="仿宋_GB2312" w:hAnsi="仿宋" w:eastAsia="仿宋_GB2312" w:cs="仿宋"/>
          <w:color w:val="000000" w:themeColor="text1"/>
          <w:sz w:val="32"/>
          <w:szCs w:val="32"/>
        </w:rPr>
        <w:t>年</w:t>
      </w:r>
      <w:r>
        <w:rPr>
          <w:rFonts w:hint="eastAsia" w:ascii="仿宋_GB2312" w:hAnsi="仿宋" w:eastAsia="仿宋_GB2312" w:cs="仿宋"/>
          <w:color w:val="000000" w:themeColor="text1"/>
          <w:sz w:val="32"/>
          <w:szCs w:val="32"/>
          <w:lang w:val="en-US" w:eastAsia="zh-CN"/>
        </w:rPr>
        <w:t>10</w:t>
      </w:r>
      <w:r>
        <w:rPr>
          <w:rFonts w:hint="eastAsia" w:ascii="仿宋_GB2312" w:hAnsi="仿宋" w:eastAsia="仿宋_GB2312" w:cs="仿宋"/>
          <w:color w:val="000000" w:themeColor="text1"/>
          <w:sz w:val="32"/>
          <w:szCs w:val="32"/>
        </w:rPr>
        <w:t>月1日起施行。</w:t>
      </w:r>
    </w:p>
    <w:p w14:paraId="306DCCF4">
      <w:pPr>
        <w:tabs>
          <w:tab w:val="right" w:pos="7360"/>
        </w:tabs>
        <w:rPr>
          <w:rFonts w:hint="eastAsia" w:ascii="仿宋_GB2312" w:hAnsi="Times New Roman" w:eastAsia="仿宋_GB2312" w:cs="仿宋"/>
          <w:color w:val="000000" w:themeColor="text1"/>
          <w:sz w:val="32"/>
          <w:szCs w:val="32"/>
        </w:rPr>
      </w:pPr>
    </w:p>
    <w:p w14:paraId="7B28DE56">
      <w:pPr>
        <w:tabs>
          <w:tab w:val="right" w:pos="7360"/>
        </w:tabs>
        <w:rPr>
          <w:rFonts w:hint="eastAsia" w:ascii="仿宋_GB2312" w:hAnsi="Times New Roman" w:eastAsia="仿宋_GB2312" w:cs="仿宋"/>
          <w:color w:val="000000" w:themeColor="text1"/>
          <w:sz w:val="32"/>
          <w:szCs w:val="32"/>
        </w:rPr>
      </w:pPr>
    </w:p>
    <w:p w14:paraId="7B2835D7">
      <w:pPr>
        <w:tabs>
          <w:tab w:val="right" w:pos="7360"/>
        </w:tabs>
        <w:rPr>
          <w:rFonts w:hint="eastAsia" w:ascii="仿宋_GB2312" w:hAnsi="Times New Roman" w:eastAsia="仿宋_GB2312" w:cs="仿宋"/>
          <w:color w:val="000000" w:themeColor="text1"/>
          <w:sz w:val="32"/>
          <w:szCs w:val="32"/>
        </w:rPr>
      </w:pPr>
    </w:p>
    <w:p w14:paraId="30635C5F">
      <w:pPr>
        <w:tabs>
          <w:tab w:val="right" w:pos="7360"/>
        </w:tabs>
        <w:rPr>
          <w:rFonts w:hint="eastAsia" w:ascii="仿宋_GB2312" w:hAnsi="Times New Roman" w:eastAsia="仿宋_GB2312" w:cs="仿宋"/>
          <w:color w:val="000000" w:themeColor="text1"/>
          <w:sz w:val="32"/>
          <w:szCs w:val="32"/>
        </w:rPr>
      </w:pPr>
    </w:p>
    <w:p w14:paraId="0FD5730D">
      <w:pPr>
        <w:tabs>
          <w:tab w:val="right" w:pos="7360"/>
        </w:tabs>
        <w:rPr>
          <w:rFonts w:hint="eastAsia" w:ascii="仿宋_GB2312" w:hAnsi="Times New Roman" w:eastAsia="仿宋_GB2312" w:cs="仿宋"/>
          <w:color w:val="000000" w:themeColor="text1"/>
          <w:sz w:val="32"/>
          <w:szCs w:val="32"/>
        </w:rPr>
      </w:pPr>
    </w:p>
    <w:p w14:paraId="0C3E12C5">
      <w:pPr>
        <w:tabs>
          <w:tab w:val="right" w:pos="7360"/>
        </w:tabs>
        <w:rPr>
          <w:rFonts w:hint="eastAsia" w:ascii="仿宋_GB2312" w:hAnsi="Times New Roman" w:eastAsia="仿宋_GB2312" w:cs="仿宋"/>
          <w:color w:val="000000" w:themeColor="text1"/>
          <w:sz w:val="32"/>
          <w:szCs w:val="32"/>
        </w:rPr>
      </w:pPr>
    </w:p>
    <w:p w14:paraId="4699E2E7">
      <w:pPr>
        <w:tabs>
          <w:tab w:val="right" w:pos="7360"/>
        </w:tabs>
        <w:rPr>
          <w:rFonts w:hint="eastAsia" w:ascii="仿宋_GB2312" w:hAnsi="Times New Roman" w:eastAsia="仿宋_GB2312" w:cs="仿宋"/>
          <w:color w:val="000000" w:themeColor="text1"/>
          <w:sz w:val="32"/>
          <w:szCs w:val="32"/>
        </w:rPr>
      </w:pPr>
    </w:p>
    <w:p w14:paraId="195E18BA">
      <w:pPr>
        <w:tabs>
          <w:tab w:val="right" w:pos="7360"/>
        </w:tabs>
        <w:rPr>
          <w:rFonts w:hint="eastAsia" w:ascii="仿宋_GB2312" w:hAnsi="Times New Roman" w:eastAsia="仿宋_GB2312" w:cs="仿宋"/>
          <w:color w:val="000000" w:themeColor="text1"/>
          <w:sz w:val="32"/>
          <w:szCs w:val="32"/>
        </w:rPr>
      </w:pPr>
    </w:p>
    <w:p w14:paraId="38E7788A">
      <w:pPr>
        <w:tabs>
          <w:tab w:val="right" w:pos="7360"/>
        </w:tabs>
        <w:rPr>
          <w:rFonts w:hint="eastAsia" w:ascii="仿宋_GB2312" w:hAnsi="Times New Roman" w:eastAsia="仿宋_GB2312" w:cs="仿宋"/>
          <w:color w:val="000000" w:themeColor="text1"/>
          <w:sz w:val="32"/>
          <w:szCs w:val="32"/>
        </w:rPr>
      </w:pPr>
    </w:p>
    <w:p w14:paraId="5A4F1096">
      <w:pPr>
        <w:tabs>
          <w:tab w:val="right" w:pos="7360"/>
        </w:tabs>
        <w:rPr>
          <w:rFonts w:hint="eastAsia" w:ascii="仿宋_GB2312" w:hAnsi="Times New Roman" w:eastAsia="仿宋_GB2312" w:cs="仿宋"/>
          <w:color w:val="000000" w:themeColor="text1"/>
          <w:sz w:val="32"/>
          <w:szCs w:val="32"/>
        </w:rPr>
      </w:pPr>
    </w:p>
    <w:p w14:paraId="74F06F01">
      <w:pPr>
        <w:tabs>
          <w:tab w:val="right" w:pos="7360"/>
        </w:tabs>
        <w:rPr>
          <w:rFonts w:ascii="仿宋_GB2312" w:hAnsi="Times New Roman" w:eastAsia="仿宋_GB2312" w:cs="仿宋"/>
          <w:color w:val="000000" w:themeColor="text1"/>
          <w:sz w:val="32"/>
          <w:szCs w:val="32"/>
          <w:u w:val="single"/>
        </w:rPr>
      </w:pPr>
      <w:r>
        <w:rPr>
          <w:rFonts w:hint="eastAsia" w:ascii="仿宋_GB2312" w:hAnsi="Times New Roman" w:eastAsia="仿宋_GB2312" w:cs="仿宋"/>
          <w:color w:val="000000" w:themeColor="text1"/>
          <w:sz w:val="32"/>
          <w:szCs w:val="32"/>
        </w:rPr>
        <w:t>附件1</w:t>
      </w:r>
      <w:r>
        <w:rPr>
          <w:rFonts w:hint="eastAsia" w:ascii="仿宋_GB2312" w:hAnsi="Times New Roman" w:eastAsia="仿宋_GB2312" w:cs="仿宋"/>
          <w:color w:val="000000" w:themeColor="text1"/>
          <w:sz w:val="32"/>
          <w:szCs w:val="32"/>
        </w:rPr>
        <w:tab/>
      </w:r>
      <w:r>
        <w:rPr>
          <w:rFonts w:hint="eastAsia" w:ascii="仿宋_GB2312" w:hAnsi="Times New Roman" w:eastAsia="仿宋_GB2312" w:cs="仿宋"/>
          <w:color w:val="000000" w:themeColor="text1"/>
          <w:sz w:val="32"/>
          <w:szCs w:val="32"/>
        </w:rPr>
        <w:t>归档号：</w:t>
      </w:r>
    </w:p>
    <w:p w14:paraId="7FA791B3">
      <w:pPr>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t>入场代理不规范行为登记表</w:t>
      </w:r>
    </w:p>
    <w:p w14:paraId="7FC04CD2">
      <w:pPr>
        <w:jc w:val="center"/>
        <w:rPr>
          <w:rFonts w:ascii="仿宋_GB2312" w:hAnsi="Times New Roman" w:eastAsia="仿宋_GB2312" w:cs="仿宋"/>
          <w:color w:val="000000" w:themeColor="text1"/>
          <w:sz w:val="32"/>
          <w:szCs w:val="32"/>
        </w:rPr>
      </w:pPr>
    </w:p>
    <w:tbl>
      <w:tblPr>
        <w:tblStyle w:val="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577"/>
        <w:gridCol w:w="1553"/>
        <w:gridCol w:w="2131"/>
        <w:gridCol w:w="2364"/>
      </w:tblGrid>
      <w:tr w14:paraId="55BA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883" w:type="dxa"/>
            <w:gridSpan w:val="2"/>
            <w:shd w:val="clear" w:color="auto" w:fill="auto"/>
            <w:vAlign w:val="center"/>
          </w:tcPr>
          <w:p w14:paraId="0E7171CD">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t>招标代理机构名称</w:t>
            </w:r>
          </w:p>
        </w:tc>
        <w:tc>
          <w:tcPr>
            <w:tcW w:w="6048" w:type="dxa"/>
            <w:gridSpan w:val="3"/>
            <w:shd w:val="clear" w:color="auto" w:fill="auto"/>
            <w:vAlign w:val="center"/>
          </w:tcPr>
          <w:p w14:paraId="4B458BE2">
            <w:pPr>
              <w:spacing w:line="540" w:lineRule="exact"/>
              <w:jc w:val="center"/>
              <w:rPr>
                <w:rFonts w:ascii="仿宋_GB2312" w:hAnsi="Times New Roman" w:eastAsia="仿宋_GB2312" w:cs="仿宋"/>
                <w:color w:val="000000" w:themeColor="text1"/>
                <w:sz w:val="32"/>
                <w:szCs w:val="32"/>
              </w:rPr>
            </w:pPr>
          </w:p>
        </w:tc>
      </w:tr>
      <w:tr w14:paraId="4EF0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3" w:type="dxa"/>
            <w:gridSpan w:val="2"/>
            <w:shd w:val="clear" w:color="auto" w:fill="auto"/>
            <w:vAlign w:val="center"/>
          </w:tcPr>
          <w:p w14:paraId="7021D9A2">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t>招标项目名称</w:t>
            </w:r>
          </w:p>
        </w:tc>
        <w:tc>
          <w:tcPr>
            <w:tcW w:w="6048" w:type="dxa"/>
            <w:gridSpan w:val="3"/>
            <w:shd w:val="clear" w:color="auto" w:fill="auto"/>
            <w:vAlign w:val="center"/>
          </w:tcPr>
          <w:p w14:paraId="429B92ED">
            <w:pPr>
              <w:spacing w:line="540" w:lineRule="exact"/>
              <w:jc w:val="center"/>
              <w:rPr>
                <w:rFonts w:ascii="仿宋_GB2312" w:hAnsi="Times New Roman" w:eastAsia="仿宋_GB2312" w:cs="仿宋"/>
                <w:color w:val="000000" w:themeColor="text1"/>
                <w:sz w:val="32"/>
                <w:szCs w:val="32"/>
              </w:rPr>
            </w:pPr>
          </w:p>
        </w:tc>
      </w:tr>
      <w:tr w14:paraId="6443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883" w:type="dxa"/>
            <w:gridSpan w:val="2"/>
            <w:shd w:val="clear" w:color="auto" w:fill="auto"/>
            <w:vAlign w:val="center"/>
          </w:tcPr>
          <w:p w14:paraId="2D99532C">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t>开标日期</w:t>
            </w:r>
          </w:p>
        </w:tc>
        <w:tc>
          <w:tcPr>
            <w:tcW w:w="6048" w:type="dxa"/>
            <w:gridSpan w:val="3"/>
            <w:shd w:val="clear" w:color="auto" w:fill="auto"/>
            <w:vAlign w:val="center"/>
          </w:tcPr>
          <w:p w14:paraId="2AA05381">
            <w:pPr>
              <w:spacing w:line="540" w:lineRule="exact"/>
              <w:jc w:val="center"/>
              <w:rPr>
                <w:rFonts w:ascii="仿宋_GB2312" w:hAnsi="Times New Roman" w:eastAsia="仿宋_GB2312" w:cs="仿宋"/>
                <w:color w:val="000000" w:themeColor="text1"/>
                <w:sz w:val="32"/>
                <w:szCs w:val="32"/>
              </w:rPr>
            </w:pPr>
          </w:p>
        </w:tc>
      </w:tr>
      <w:tr w14:paraId="0AB4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306" w:type="dxa"/>
            <w:shd w:val="clear" w:color="auto" w:fill="auto"/>
            <w:vAlign w:val="center"/>
          </w:tcPr>
          <w:p w14:paraId="2D90B84D">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t>开标室</w:t>
            </w:r>
          </w:p>
        </w:tc>
        <w:tc>
          <w:tcPr>
            <w:tcW w:w="2130" w:type="dxa"/>
            <w:gridSpan w:val="2"/>
            <w:shd w:val="clear" w:color="auto" w:fill="auto"/>
            <w:vAlign w:val="center"/>
          </w:tcPr>
          <w:p w14:paraId="463ABFEF">
            <w:pPr>
              <w:spacing w:line="540" w:lineRule="exact"/>
              <w:jc w:val="center"/>
              <w:rPr>
                <w:rFonts w:ascii="仿宋_GB2312" w:hAnsi="Times New Roman" w:eastAsia="仿宋_GB2312" w:cs="仿宋"/>
                <w:color w:val="000000" w:themeColor="text1"/>
                <w:sz w:val="32"/>
                <w:szCs w:val="32"/>
              </w:rPr>
            </w:pPr>
          </w:p>
        </w:tc>
        <w:tc>
          <w:tcPr>
            <w:tcW w:w="2131" w:type="dxa"/>
            <w:shd w:val="clear" w:color="auto" w:fill="auto"/>
            <w:vAlign w:val="center"/>
          </w:tcPr>
          <w:p w14:paraId="60B7EACE">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t>评标室</w:t>
            </w:r>
          </w:p>
        </w:tc>
        <w:tc>
          <w:tcPr>
            <w:tcW w:w="2364" w:type="dxa"/>
            <w:shd w:val="clear" w:color="auto" w:fill="auto"/>
            <w:vAlign w:val="center"/>
          </w:tcPr>
          <w:p w14:paraId="7805A1F2">
            <w:pPr>
              <w:spacing w:line="540" w:lineRule="exact"/>
              <w:jc w:val="center"/>
              <w:rPr>
                <w:rFonts w:ascii="仿宋_GB2312" w:hAnsi="Times New Roman" w:eastAsia="仿宋_GB2312" w:cs="仿宋"/>
                <w:color w:val="000000" w:themeColor="text1"/>
                <w:sz w:val="32"/>
                <w:szCs w:val="32"/>
              </w:rPr>
            </w:pPr>
          </w:p>
        </w:tc>
      </w:tr>
      <w:tr w14:paraId="29F2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436" w:type="dxa"/>
            <w:gridSpan w:val="3"/>
            <w:shd w:val="clear" w:color="auto" w:fill="auto"/>
            <w:vAlign w:val="center"/>
          </w:tcPr>
          <w:p w14:paraId="5A69C044">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t>不规范行为</w:t>
            </w:r>
          </w:p>
        </w:tc>
        <w:tc>
          <w:tcPr>
            <w:tcW w:w="4495" w:type="dxa"/>
            <w:gridSpan w:val="2"/>
            <w:shd w:val="clear" w:color="auto" w:fill="auto"/>
            <w:vAlign w:val="center"/>
          </w:tcPr>
          <w:p w14:paraId="3FCEE5A6">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t>具体情形（可补充）</w:t>
            </w:r>
          </w:p>
        </w:tc>
      </w:tr>
      <w:tr w14:paraId="1CBC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6" w:type="dxa"/>
            <w:gridSpan w:val="3"/>
            <w:shd w:val="clear" w:color="auto" w:fill="auto"/>
            <w:vAlign w:val="center"/>
          </w:tcPr>
          <w:p w14:paraId="7CFCDAC3">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sym w:font="Wingdings 2" w:char="00A3"/>
            </w:r>
            <w:r>
              <w:rPr>
                <w:rFonts w:hint="eastAsia" w:ascii="仿宋_GB2312" w:hAnsi="Times New Roman" w:eastAsia="仿宋_GB2312" w:cs="仿宋"/>
                <w:color w:val="000000" w:themeColor="text1"/>
                <w:sz w:val="32"/>
                <w:szCs w:val="32"/>
              </w:rPr>
              <w:t>进场的项目组成员不属于本单位人员或不属于事先在省行政监报备的人员</w:t>
            </w:r>
          </w:p>
        </w:tc>
        <w:tc>
          <w:tcPr>
            <w:tcW w:w="4495" w:type="dxa"/>
            <w:gridSpan w:val="2"/>
            <w:shd w:val="clear" w:color="auto" w:fill="auto"/>
            <w:vAlign w:val="center"/>
          </w:tcPr>
          <w:p w14:paraId="15405B2E">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t>填写示例：进场的项目组成员</w:t>
            </w:r>
            <w:r>
              <w:rPr>
                <w:rFonts w:hint="eastAsia" w:ascii="仿宋_GB2312" w:hAnsi="Times New Roman" w:eastAsia="仿宋_GB2312" w:cs="仿宋"/>
                <w:color w:val="000000" w:themeColor="text1"/>
                <w:sz w:val="32"/>
                <w:szCs w:val="32"/>
                <w:u w:val="single"/>
              </w:rPr>
              <w:t>某某某</w:t>
            </w:r>
            <w:r>
              <w:rPr>
                <w:rFonts w:hint="eastAsia" w:ascii="仿宋_GB2312" w:hAnsi="Times New Roman" w:eastAsia="仿宋_GB2312" w:cs="仿宋"/>
                <w:color w:val="000000" w:themeColor="text1"/>
                <w:sz w:val="32"/>
                <w:szCs w:val="32"/>
              </w:rPr>
              <w:t>不属于本单位人员或不属于事先在省行政监报备的人员。</w:t>
            </w:r>
          </w:p>
        </w:tc>
      </w:tr>
      <w:tr w14:paraId="5763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6" w:type="dxa"/>
            <w:gridSpan w:val="3"/>
            <w:shd w:val="clear" w:color="auto" w:fill="auto"/>
            <w:vAlign w:val="center"/>
          </w:tcPr>
          <w:p w14:paraId="10CE1674">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sym w:font="Wingdings 2" w:char="00A3"/>
            </w:r>
            <w:r>
              <w:rPr>
                <w:rFonts w:hint="eastAsia" w:ascii="仿宋_GB2312" w:hAnsi="Times New Roman" w:eastAsia="仿宋_GB2312" w:cs="仿宋"/>
                <w:color w:val="000000" w:themeColor="text1"/>
                <w:sz w:val="32"/>
                <w:szCs w:val="32"/>
              </w:rPr>
              <w:t>省行政监督平台报备的人员发生变更，但未在开标前提供招标人同意变更的证明材料</w:t>
            </w:r>
          </w:p>
        </w:tc>
        <w:tc>
          <w:tcPr>
            <w:tcW w:w="4495" w:type="dxa"/>
            <w:gridSpan w:val="2"/>
            <w:shd w:val="clear" w:color="auto" w:fill="auto"/>
            <w:vAlign w:val="center"/>
          </w:tcPr>
          <w:p w14:paraId="58F745FA">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t>填写示例：省行政监平台报备的人员</w:t>
            </w:r>
            <w:r>
              <w:rPr>
                <w:rFonts w:hint="eastAsia" w:ascii="仿宋_GB2312" w:hAnsi="Times New Roman" w:eastAsia="仿宋_GB2312" w:cs="仿宋"/>
                <w:color w:val="000000" w:themeColor="text1"/>
                <w:sz w:val="32"/>
                <w:szCs w:val="32"/>
                <w:u w:val="single"/>
              </w:rPr>
              <w:t>某某某</w:t>
            </w:r>
            <w:r>
              <w:rPr>
                <w:rFonts w:hint="eastAsia" w:ascii="仿宋_GB2312" w:hAnsi="Times New Roman" w:eastAsia="仿宋_GB2312" w:cs="仿宋"/>
                <w:color w:val="000000" w:themeColor="text1"/>
                <w:sz w:val="32"/>
                <w:szCs w:val="32"/>
              </w:rPr>
              <w:t>己变更为</w:t>
            </w:r>
            <w:r>
              <w:rPr>
                <w:rFonts w:hint="eastAsia" w:ascii="仿宋_GB2312" w:hAnsi="Times New Roman" w:eastAsia="仿宋_GB2312" w:cs="仿宋"/>
                <w:color w:val="000000" w:themeColor="text1"/>
                <w:sz w:val="32"/>
                <w:szCs w:val="32"/>
                <w:u w:val="single"/>
              </w:rPr>
              <w:t>某某某。</w:t>
            </w:r>
          </w:p>
        </w:tc>
      </w:tr>
      <w:tr w14:paraId="58C7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6" w:type="dxa"/>
            <w:gridSpan w:val="3"/>
            <w:shd w:val="clear" w:color="auto" w:fill="auto"/>
            <w:vAlign w:val="center"/>
          </w:tcPr>
          <w:p w14:paraId="7C712B8D">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sym w:font="Wingdings 2" w:char="00A3"/>
            </w:r>
            <w:r>
              <w:rPr>
                <w:rFonts w:hint="eastAsia" w:ascii="仿宋_GB2312" w:hAnsi="Times New Roman" w:eastAsia="仿宋_GB2312" w:cs="仿宋"/>
                <w:color w:val="000000" w:themeColor="text1"/>
                <w:sz w:val="32"/>
                <w:szCs w:val="32"/>
              </w:rPr>
              <w:t>进场的项目组成员数量少于报备。</w:t>
            </w:r>
          </w:p>
        </w:tc>
        <w:tc>
          <w:tcPr>
            <w:tcW w:w="4495" w:type="dxa"/>
            <w:gridSpan w:val="2"/>
            <w:shd w:val="clear" w:color="auto" w:fill="auto"/>
            <w:vAlign w:val="center"/>
          </w:tcPr>
          <w:p w14:paraId="53FDF24F">
            <w:pPr>
              <w:spacing w:line="540" w:lineRule="exact"/>
              <w:jc w:val="center"/>
              <w:rPr>
                <w:rFonts w:ascii="仿宋_GB2312" w:hAnsi="Times New Roman" w:eastAsia="仿宋_GB2312" w:cs="仿宋"/>
                <w:color w:val="000000" w:themeColor="text1"/>
                <w:sz w:val="32"/>
                <w:szCs w:val="32"/>
                <w:u w:val="single"/>
              </w:rPr>
            </w:pPr>
            <w:r>
              <w:rPr>
                <w:rFonts w:hint="eastAsia" w:ascii="仿宋_GB2312" w:hAnsi="Times New Roman" w:eastAsia="仿宋_GB2312" w:cs="仿宋"/>
                <w:color w:val="000000" w:themeColor="text1"/>
                <w:sz w:val="32"/>
                <w:szCs w:val="32"/>
              </w:rPr>
              <w:t>填写示例：进场的项目组成员数量为个，在省行政监督平台报备为个。</w:t>
            </w:r>
          </w:p>
        </w:tc>
      </w:tr>
      <w:tr w14:paraId="0DC6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6" w:type="dxa"/>
            <w:gridSpan w:val="3"/>
            <w:shd w:val="clear" w:color="auto" w:fill="auto"/>
            <w:vAlign w:val="center"/>
          </w:tcPr>
          <w:p w14:paraId="0AC62CCE">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sym w:font="Wingdings 2" w:char="00A3"/>
            </w:r>
            <w:r>
              <w:rPr>
                <w:rFonts w:hint="eastAsia" w:ascii="仿宋_GB2312" w:hAnsi="Times New Roman" w:eastAsia="仿宋_GB2312" w:cs="仿宋"/>
                <w:color w:val="000000" w:themeColor="text1"/>
                <w:sz w:val="32"/>
                <w:szCs w:val="32"/>
              </w:rPr>
              <w:t>项目负责人未到交易场所组织开、评标活动。</w:t>
            </w:r>
          </w:p>
        </w:tc>
        <w:tc>
          <w:tcPr>
            <w:tcW w:w="4495" w:type="dxa"/>
            <w:gridSpan w:val="2"/>
            <w:shd w:val="clear" w:color="auto" w:fill="auto"/>
            <w:vAlign w:val="center"/>
          </w:tcPr>
          <w:p w14:paraId="484ED87E">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t>填写示例：项目负责人</w:t>
            </w:r>
            <w:r>
              <w:rPr>
                <w:rFonts w:hint="eastAsia" w:ascii="仿宋_GB2312" w:hAnsi="Times New Roman" w:eastAsia="仿宋_GB2312" w:cs="仿宋"/>
                <w:color w:val="000000" w:themeColor="text1"/>
                <w:sz w:val="32"/>
                <w:szCs w:val="32"/>
                <w:u w:val="single"/>
              </w:rPr>
              <w:t>某某某</w:t>
            </w:r>
            <w:r>
              <w:rPr>
                <w:rFonts w:hint="eastAsia" w:ascii="仿宋_GB2312" w:hAnsi="Times New Roman" w:eastAsia="仿宋_GB2312" w:cs="仿宋"/>
                <w:color w:val="000000" w:themeColor="text1"/>
                <w:sz w:val="32"/>
                <w:szCs w:val="32"/>
              </w:rPr>
              <w:t>未到交易场所组织开、评标活动。</w:t>
            </w:r>
          </w:p>
        </w:tc>
      </w:tr>
      <w:tr w14:paraId="0A23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6" w:type="dxa"/>
            <w:gridSpan w:val="3"/>
            <w:shd w:val="clear" w:color="auto" w:fill="auto"/>
            <w:vAlign w:val="center"/>
          </w:tcPr>
          <w:p w14:paraId="07DCAA1A">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sym w:font="Wingdings 2" w:char="00A3"/>
            </w:r>
            <w:r>
              <w:rPr>
                <w:rFonts w:hint="eastAsia" w:ascii="仿宋_GB2312" w:hAnsi="Times New Roman" w:eastAsia="仿宋_GB2312" w:cs="仿宋"/>
                <w:color w:val="000000" w:themeColor="text1"/>
                <w:sz w:val="32"/>
                <w:szCs w:val="32"/>
              </w:rPr>
              <w:t>未落实规定的开标程序和要求，导致开标秩序混乱</w:t>
            </w:r>
          </w:p>
        </w:tc>
        <w:tc>
          <w:tcPr>
            <w:tcW w:w="4495" w:type="dxa"/>
            <w:gridSpan w:val="2"/>
            <w:shd w:val="clear" w:color="auto" w:fill="auto"/>
            <w:vAlign w:val="center"/>
          </w:tcPr>
          <w:p w14:paraId="61D8A15E">
            <w:pPr>
              <w:spacing w:line="540" w:lineRule="exact"/>
              <w:jc w:val="center"/>
              <w:rPr>
                <w:rFonts w:ascii="仿宋_GB2312" w:hAnsi="Times New Roman" w:eastAsia="仿宋_GB2312" w:cs="仿宋"/>
                <w:color w:val="000000" w:themeColor="text1"/>
                <w:sz w:val="32"/>
                <w:szCs w:val="32"/>
              </w:rPr>
            </w:pPr>
            <w:r>
              <w:rPr>
                <w:rFonts w:hint="eastAsia" w:ascii="仿宋_GB2312" w:hAnsi="Times New Roman" w:eastAsia="仿宋_GB2312" w:cs="仿宋"/>
                <w:color w:val="000000" w:themeColor="text1"/>
                <w:sz w:val="32"/>
                <w:szCs w:val="32"/>
              </w:rPr>
              <w:t>根据现场实际具体情况进行描述。</w:t>
            </w:r>
          </w:p>
        </w:tc>
      </w:tr>
      <w:tr w14:paraId="29C3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6" w:type="dxa"/>
            <w:gridSpan w:val="3"/>
            <w:shd w:val="clear" w:color="auto" w:fill="auto"/>
            <w:vAlign w:val="center"/>
          </w:tcPr>
          <w:p w14:paraId="634B97E3">
            <w:pPr>
              <w:spacing w:line="540" w:lineRule="exact"/>
              <w:jc w:val="center"/>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sym w:font="Wingdings 2" w:char="00A3"/>
            </w:r>
            <w:r>
              <w:rPr>
                <w:rFonts w:hint="eastAsia" w:ascii="仿宋_GB2312" w:hAnsi="仿宋" w:eastAsia="仿宋_GB2312" w:cs="仿宋"/>
                <w:color w:val="000000" w:themeColor="text1"/>
                <w:sz w:val="32"/>
                <w:szCs w:val="32"/>
              </w:rPr>
              <w:t>从业人员违反尤溪县公共资源交易中心的管理规定且拒不服从管理。</w:t>
            </w:r>
          </w:p>
        </w:tc>
        <w:tc>
          <w:tcPr>
            <w:tcW w:w="4495" w:type="dxa"/>
            <w:gridSpan w:val="2"/>
            <w:shd w:val="clear" w:color="auto" w:fill="auto"/>
            <w:vAlign w:val="center"/>
          </w:tcPr>
          <w:p w14:paraId="7F7EDCB3">
            <w:pPr>
              <w:spacing w:line="540" w:lineRule="exact"/>
              <w:jc w:val="center"/>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注明违反的具体管理规定名称，根据现场实际具体情况进行描述。</w:t>
            </w:r>
          </w:p>
        </w:tc>
      </w:tr>
      <w:tr w14:paraId="106E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2883" w:type="dxa"/>
            <w:gridSpan w:val="2"/>
            <w:shd w:val="clear" w:color="auto" w:fill="auto"/>
            <w:vAlign w:val="center"/>
          </w:tcPr>
          <w:p w14:paraId="7171E23C">
            <w:pPr>
              <w:spacing w:line="600" w:lineRule="exact"/>
              <w:jc w:val="center"/>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不规范行为责任人员签字确认</w:t>
            </w:r>
          </w:p>
        </w:tc>
        <w:tc>
          <w:tcPr>
            <w:tcW w:w="6048" w:type="dxa"/>
            <w:gridSpan w:val="3"/>
            <w:shd w:val="clear" w:color="auto" w:fill="auto"/>
            <w:vAlign w:val="bottom"/>
          </w:tcPr>
          <w:p w14:paraId="747CEA52">
            <w:pPr>
              <w:wordWrap w:val="0"/>
              <w:spacing w:line="600" w:lineRule="exact"/>
              <w:jc w:val="right"/>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年   月   日</w:t>
            </w:r>
          </w:p>
        </w:tc>
      </w:tr>
      <w:tr w14:paraId="33C5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2883" w:type="dxa"/>
            <w:gridSpan w:val="2"/>
            <w:shd w:val="clear" w:color="auto" w:fill="auto"/>
            <w:vAlign w:val="center"/>
          </w:tcPr>
          <w:p w14:paraId="387B9C29">
            <w:pPr>
              <w:spacing w:line="600" w:lineRule="exact"/>
              <w:jc w:val="center"/>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招标代理机构法定代表人或授权代表签字确认</w:t>
            </w:r>
          </w:p>
        </w:tc>
        <w:tc>
          <w:tcPr>
            <w:tcW w:w="6048" w:type="dxa"/>
            <w:gridSpan w:val="3"/>
            <w:shd w:val="clear" w:color="auto" w:fill="auto"/>
            <w:vAlign w:val="bottom"/>
          </w:tcPr>
          <w:p w14:paraId="7037D225">
            <w:pPr>
              <w:spacing w:line="600" w:lineRule="exact"/>
              <w:jc w:val="right"/>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年   月   日</w:t>
            </w:r>
          </w:p>
        </w:tc>
      </w:tr>
      <w:tr w14:paraId="15D5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2883" w:type="dxa"/>
            <w:gridSpan w:val="2"/>
            <w:shd w:val="clear" w:color="auto" w:fill="auto"/>
            <w:vAlign w:val="center"/>
          </w:tcPr>
          <w:p w14:paraId="2C269CF7">
            <w:pPr>
              <w:jc w:val="center"/>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交易中心工作人员（两名）签字确认</w:t>
            </w:r>
          </w:p>
        </w:tc>
        <w:tc>
          <w:tcPr>
            <w:tcW w:w="6048" w:type="dxa"/>
            <w:gridSpan w:val="3"/>
            <w:shd w:val="clear" w:color="auto" w:fill="auto"/>
            <w:vAlign w:val="bottom"/>
          </w:tcPr>
          <w:p w14:paraId="7D32815E">
            <w:pPr>
              <w:spacing w:line="600" w:lineRule="exact"/>
              <w:jc w:val="right"/>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年   月   日</w:t>
            </w:r>
          </w:p>
        </w:tc>
      </w:tr>
      <w:tr w14:paraId="2F32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2883" w:type="dxa"/>
            <w:gridSpan w:val="2"/>
            <w:shd w:val="clear" w:color="auto" w:fill="auto"/>
            <w:vAlign w:val="center"/>
          </w:tcPr>
          <w:p w14:paraId="74298F46">
            <w:pPr>
              <w:spacing w:line="600" w:lineRule="exact"/>
              <w:jc w:val="center"/>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分管领导意见</w:t>
            </w:r>
          </w:p>
        </w:tc>
        <w:tc>
          <w:tcPr>
            <w:tcW w:w="6048" w:type="dxa"/>
            <w:gridSpan w:val="3"/>
            <w:shd w:val="clear" w:color="auto" w:fill="auto"/>
            <w:vAlign w:val="bottom"/>
          </w:tcPr>
          <w:p w14:paraId="7EF3653F">
            <w:pPr>
              <w:spacing w:line="600" w:lineRule="exact"/>
              <w:jc w:val="center"/>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签名：</w:t>
            </w:r>
          </w:p>
          <w:p w14:paraId="6081557C">
            <w:pPr>
              <w:spacing w:line="600" w:lineRule="exact"/>
              <w:jc w:val="right"/>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年   月   日</w:t>
            </w:r>
          </w:p>
        </w:tc>
      </w:tr>
    </w:tbl>
    <w:p w14:paraId="21BD7DA7">
      <w:pPr>
        <w:jc w:val="left"/>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备注:在不规范行为“</w:t>
      </w:r>
      <w:r>
        <w:rPr>
          <w:rFonts w:hint="eastAsia" w:ascii="仿宋_GB2312" w:hAnsi="仿宋" w:eastAsia="仿宋_GB2312" w:cs="仿宋"/>
          <w:color w:val="000000" w:themeColor="text1"/>
          <w:sz w:val="32"/>
          <w:szCs w:val="32"/>
        </w:rPr>
        <w:sym w:font="Wingdings 2" w:char="00A3"/>
      </w:r>
      <w:r>
        <w:rPr>
          <w:rFonts w:hint="eastAsia" w:ascii="仿宋_GB2312" w:hAnsi="仿宋" w:eastAsia="仿宋_GB2312" w:cs="仿宋"/>
          <w:color w:val="000000" w:themeColor="text1"/>
          <w:sz w:val="32"/>
          <w:szCs w:val="32"/>
        </w:rPr>
        <w:t>”内打“√”</w:t>
      </w:r>
    </w:p>
    <w:p w14:paraId="5F3D7A4E">
      <w:pPr>
        <w:jc w:val="left"/>
        <w:rPr>
          <w:rFonts w:ascii="仿宋_GB2312" w:hAnsi="仿宋" w:eastAsia="仿宋_GB2312" w:cs="仿宋"/>
          <w:color w:val="000000" w:themeColor="text1"/>
          <w:sz w:val="32"/>
          <w:szCs w:val="32"/>
        </w:rPr>
      </w:pPr>
    </w:p>
    <w:p w14:paraId="76B2E0A7">
      <w:pPr>
        <w:jc w:val="right"/>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尤溪县公共资源交易中心（盖章）</w:t>
      </w:r>
    </w:p>
    <w:p w14:paraId="74D6FCF7">
      <w:pPr>
        <w:jc w:val="center"/>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                             年   月   日</w:t>
      </w:r>
    </w:p>
    <w:p w14:paraId="28A1BB2E">
      <w:pPr>
        <w:tabs>
          <w:tab w:val="left" w:pos="6300"/>
        </w:tabs>
        <w:jc w:val="left"/>
        <w:rPr>
          <w:rFonts w:ascii="仿宋_GB2312" w:hAnsi="Times New Roman" w:eastAsia="仿宋_GB2312" w:cs="仿宋"/>
          <w:color w:val="000000" w:themeColor="text1"/>
          <w:sz w:val="32"/>
          <w:szCs w:val="32"/>
          <w:u w:val="single"/>
        </w:rPr>
      </w:pPr>
      <w:r>
        <w:rPr>
          <w:rFonts w:hint="eastAsia" w:ascii="仿宋_GB2312" w:hAnsi="仿宋" w:eastAsia="仿宋_GB2312" w:cs="仿宋"/>
          <w:color w:val="000000" w:themeColor="text1"/>
          <w:sz w:val="32"/>
          <w:szCs w:val="32"/>
        </w:rPr>
        <w:br w:type="page"/>
      </w:r>
      <w:r>
        <w:rPr>
          <w:rFonts w:hint="eastAsia" w:ascii="仿宋_GB2312" w:hAnsi="Times New Roman" w:eastAsia="仿宋_GB2312" w:cs="仿宋"/>
          <w:color w:val="000000" w:themeColor="text1"/>
          <w:sz w:val="32"/>
          <w:szCs w:val="32"/>
        </w:rPr>
        <w:t>附件2</w:t>
      </w:r>
      <w:r>
        <w:rPr>
          <w:rFonts w:hint="eastAsia" w:ascii="仿宋_GB2312" w:hAnsi="Times New Roman" w:eastAsia="仿宋_GB2312" w:cs="仿宋"/>
          <w:color w:val="000000" w:themeColor="text1"/>
          <w:sz w:val="32"/>
          <w:szCs w:val="32"/>
        </w:rPr>
        <w:tab/>
      </w:r>
      <w:r>
        <w:rPr>
          <w:rFonts w:hint="eastAsia" w:ascii="仿宋_GB2312" w:hAnsi="Times New Roman" w:eastAsia="仿宋_GB2312" w:cs="仿宋"/>
          <w:color w:val="000000" w:themeColor="text1"/>
          <w:sz w:val="32"/>
          <w:szCs w:val="32"/>
        </w:rPr>
        <w:t>归档号：</w:t>
      </w:r>
    </w:p>
    <w:p w14:paraId="3DB15F68">
      <w:pPr>
        <w:tabs>
          <w:tab w:val="left" w:pos="6300"/>
        </w:tabs>
        <w:spacing w:line="600" w:lineRule="exact"/>
        <w:jc w:val="center"/>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通   报</w:t>
      </w:r>
    </w:p>
    <w:p w14:paraId="00EDED16">
      <w:pPr>
        <w:tabs>
          <w:tab w:val="left" w:pos="6300"/>
        </w:tabs>
        <w:spacing w:line="600" w:lineRule="exact"/>
        <w:jc w:val="center"/>
        <w:rPr>
          <w:rFonts w:ascii="仿宋_GB2312" w:hAnsi="仿宋" w:eastAsia="仿宋_GB2312" w:cs="仿宋"/>
          <w:color w:val="000000" w:themeColor="text1"/>
          <w:sz w:val="32"/>
          <w:szCs w:val="32"/>
        </w:rPr>
      </w:pPr>
    </w:p>
    <w:p w14:paraId="453DCF03">
      <w:pPr>
        <w:tabs>
          <w:tab w:val="left" w:pos="6300"/>
        </w:tabs>
        <w:spacing w:line="600" w:lineRule="exact"/>
        <w:ind w:firstLine="640" w:firstLineChars="200"/>
        <w:jc w:val="left"/>
        <w:rPr>
          <w:rFonts w:ascii="仿宋_GB2312" w:hAnsi="仿宋" w:eastAsia="仿宋_GB2312" w:cs="仿宋"/>
          <w:color w:val="000000" w:themeColor="text1"/>
          <w:sz w:val="32"/>
          <w:szCs w:val="32"/>
          <w:u w:val="single"/>
        </w:rPr>
      </w:pPr>
      <w:r>
        <w:rPr>
          <w:rFonts w:hint="eastAsia" w:ascii="仿宋_GB2312" w:hAnsi="仿宋" w:eastAsia="仿宋_GB2312" w:cs="仿宋"/>
          <w:color w:val="000000" w:themeColor="text1"/>
          <w:sz w:val="32"/>
          <w:szCs w:val="32"/>
          <w:u w:val="single"/>
        </w:rPr>
        <w:t xml:space="preserve">              (代理机构名称)            </w:t>
      </w:r>
      <w:r>
        <w:rPr>
          <w:rFonts w:hint="eastAsia" w:ascii="仿宋_GB2312" w:hAnsi="仿宋" w:eastAsia="仿宋_GB2312" w:cs="仿宋"/>
          <w:color w:val="000000" w:themeColor="text1"/>
          <w:sz w:val="32"/>
          <w:szCs w:val="32"/>
        </w:rPr>
        <w:t xml:space="preserve">在本交易中心 </w:t>
      </w:r>
      <w:r>
        <w:rPr>
          <w:rFonts w:hint="eastAsia" w:ascii="仿宋_GB2312" w:hAnsi="仿宋" w:eastAsia="仿宋_GB2312" w:cs="仿宋"/>
          <w:color w:val="000000" w:themeColor="text1"/>
          <w:sz w:val="32"/>
          <w:szCs w:val="32"/>
          <w:u w:val="single"/>
        </w:rPr>
        <w:t xml:space="preserve">    </w:t>
      </w:r>
      <w:r>
        <w:rPr>
          <w:rFonts w:hint="eastAsia" w:ascii="仿宋_GB2312" w:hAnsi="仿宋" w:eastAsia="仿宋_GB2312" w:cs="仿宋"/>
          <w:color w:val="000000" w:themeColor="text1"/>
          <w:sz w:val="32"/>
          <w:szCs w:val="32"/>
        </w:rPr>
        <w:t xml:space="preserve">年  </w:t>
      </w:r>
      <w:r>
        <w:rPr>
          <w:rFonts w:hint="eastAsia" w:ascii="仿宋_GB2312" w:hAnsi="仿宋" w:eastAsia="仿宋_GB2312" w:cs="仿宋"/>
          <w:color w:val="000000" w:themeColor="text1"/>
          <w:sz w:val="32"/>
          <w:szCs w:val="32"/>
          <w:u w:val="single"/>
        </w:rPr>
        <w:t xml:space="preserve">  </w:t>
      </w:r>
      <w:r>
        <w:rPr>
          <w:rFonts w:hint="eastAsia" w:ascii="仿宋_GB2312" w:hAnsi="仿宋" w:eastAsia="仿宋_GB2312" w:cs="仿宋"/>
          <w:color w:val="000000" w:themeColor="text1"/>
          <w:sz w:val="32"/>
          <w:szCs w:val="32"/>
        </w:rPr>
        <w:t xml:space="preserve">月 </w:t>
      </w:r>
      <w:r>
        <w:rPr>
          <w:rFonts w:hint="eastAsia" w:ascii="仿宋_GB2312" w:hAnsi="仿宋" w:eastAsia="仿宋_GB2312" w:cs="仿宋"/>
          <w:color w:val="000000" w:themeColor="text1"/>
          <w:sz w:val="32"/>
          <w:szCs w:val="32"/>
          <w:u w:val="single"/>
        </w:rPr>
        <w:t xml:space="preserve">  </w:t>
      </w:r>
      <w:r>
        <w:rPr>
          <w:rFonts w:hint="eastAsia" w:ascii="仿宋_GB2312" w:hAnsi="仿宋" w:eastAsia="仿宋_GB2312" w:cs="仿宋"/>
          <w:color w:val="000000" w:themeColor="text1"/>
          <w:sz w:val="32"/>
          <w:szCs w:val="32"/>
        </w:rPr>
        <w:t xml:space="preserve"> 日开标的项目</w:t>
      </w:r>
      <w:r>
        <w:rPr>
          <w:rFonts w:hint="eastAsia" w:ascii="仿宋_GB2312" w:hAnsi="仿宋" w:eastAsia="仿宋_GB2312" w:cs="仿宋"/>
          <w:color w:val="000000" w:themeColor="text1"/>
          <w:sz w:val="32"/>
          <w:szCs w:val="32"/>
          <w:u w:val="single"/>
        </w:rPr>
        <w:t xml:space="preserve">              </w:t>
      </w:r>
      <w:r>
        <w:rPr>
          <w:rFonts w:hint="eastAsia" w:ascii="仿宋_GB2312" w:hAnsi="仿宋" w:eastAsia="仿宋_GB2312" w:cs="仿宋"/>
          <w:color w:val="000000" w:themeColor="text1"/>
          <w:sz w:val="32"/>
          <w:szCs w:val="32"/>
        </w:rPr>
        <w:t>入场代理中存在以下不规范行为：</w:t>
      </w:r>
    </w:p>
    <w:p w14:paraId="1E47677E">
      <w:pPr>
        <w:tabs>
          <w:tab w:val="left" w:pos="6300"/>
        </w:tabs>
        <w:spacing w:line="600" w:lineRule="exact"/>
        <w:ind w:firstLine="640" w:firstLineChars="200"/>
        <w:jc w:val="left"/>
        <w:rPr>
          <w:rFonts w:ascii="仿宋_GB2312" w:hAnsi="仿宋" w:eastAsia="仿宋_GB2312" w:cs="仿宋"/>
          <w:color w:val="000000" w:themeColor="text1"/>
          <w:sz w:val="32"/>
          <w:szCs w:val="32"/>
          <w:u w:val="single"/>
        </w:rPr>
      </w:pPr>
      <w:r>
        <w:rPr>
          <w:rFonts w:hint="eastAsia" w:ascii="仿宋_GB2312" w:hAnsi="仿宋" w:eastAsia="仿宋_GB2312" w:cs="仿宋"/>
          <w:color w:val="000000" w:themeColor="text1"/>
          <w:sz w:val="32"/>
          <w:szCs w:val="32"/>
        </w:rPr>
        <w:t>现予以通报。若有异议，应在本通报作出5个工作日内以书面方式提出。异议人应当提供真实身份、有效的联系方式，事实理由和证明材料。未提供证明材料的或逾期提出异议的，交易中心不予受理。</w:t>
      </w:r>
    </w:p>
    <w:p w14:paraId="1C8D1408">
      <w:pPr>
        <w:tabs>
          <w:tab w:val="left" w:pos="6300"/>
        </w:tabs>
        <w:spacing w:line="600" w:lineRule="exact"/>
        <w:ind w:firstLine="640" w:firstLineChars="200"/>
        <w:jc w:val="left"/>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受理部门：交易中心工程科，联系方式：0598-6305195</w:t>
      </w:r>
    </w:p>
    <w:p w14:paraId="17063A2F">
      <w:pPr>
        <w:tabs>
          <w:tab w:val="left" w:pos="6300"/>
        </w:tabs>
        <w:spacing w:line="600" w:lineRule="exact"/>
        <w:ind w:firstLine="640" w:firstLineChars="200"/>
        <w:jc w:val="left"/>
        <w:rPr>
          <w:rFonts w:ascii="仿宋_GB2312" w:hAnsi="仿宋" w:eastAsia="仿宋_GB2312" w:cs="仿宋"/>
          <w:color w:val="000000" w:themeColor="text1"/>
          <w:sz w:val="32"/>
          <w:szCs w:val="32"/>
        </w:rPr>
      </w:pPr>
    </w:p>
    <w:p w14:paraId="564228B3">
      <w:pPr>
        <w:tabs>
          <w:tab w:val="left" w:pos="6300"/>
        </w:tabs>
        <w:spacing w:line="600" w:lineRule="exact"/>
        <w:ind w:firstLine="640" w:firstLineChars="200"/>
        <w:jc w:val="left"/>
        <w:rPr>
          <w:rFonts w:ascii="仿宋_GB2312" w:hAnsi="仿宋" w:eastAsia="仿宋_GB2312" w:cs="仿宋"/>
          <w:color w:val="000000" w:themeColor="text1"/>
          <w:sz w:val="32"/>
          <w:szCs w:val="32"/>
        </w:rPr>
      </w:pPr>
    </w:p>
    <w:p w14:paraId="3B46BBDE">
      <w:pPr>
        <w:tabs>
          <w:tab w:val="left" w:pos="6300"/>
        </w:tabs>
        <w:spacing w:line="600" w:lineRule="exact"/>
        <w:ind w:firstLine="640" w:firstLineChars="200"/>
        <w:jc w:val="left"/>
        <w:rPr>
          <w:rFonts w:ascii="仿宋_GB2312" w:hAnsi="仿宋" w:eastAsia="仿宋_GB2312" w:cs="仿宋"/>
          <w:color w:val="000000" w:themeColor="text1"/>
          <w:sz w:val="32"/>
          <w:szCs w:val="32"/>
        </w:rPr>
      </w:pPr>
    </w:p>
    <w:p w14:paraId="48D0526E">
      <w:pPr>
        <w:tabs>
          <w:tab w:val="left" w:pos="6300"/>
        </w:tabs>
        <w:spacing w:line="600" w:lineRule="exact"/>
        <w:jc w:val="right"/>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尤溪县公共资源交易中心（盖章）</w:t>
      </w:r>
    </w:p>
    <w:p w14:paraId="3F0035AA">
      <w:pPr>
        <w:tabs>
          <w:tab w:val="left" w:pos="6300"/>
        </w:tabs>
        <w:spacing w:line="600" w:lineRule="exact"/>
        <w:ind w:firstLine="960" w:firstLineChars="300"/>
        <w:jc w:val="center"/>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               年  月  日</w:t>
      </w:r>
    </w:p>
    <w:p w14:paraId="6BF967D0">
      <w:pPr>
        <w:jc w:val="left"/>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C059">
    <w:altName w:val="Segoe Print"/>
    <w:panose1 w:val="00000500000000000000"/>
    <w:charset w:val="00"/>
    <w:family w:val="auto"/>
    <w:pitch w:val="default"/>
    <w:sig w:usb0="00000000" w:usb1="00000000" w:usb2="00000000" w:usb3="00000000" w:csb0="6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athJax_Vector">
    <w:altName w:val="Trebuchet MS"/>
    <w:panose1 w:val="02000603000000000000"/>
    <w:charset w:val="00"/>
    <w:family w:val="auto"/>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D21A2"/>
    <w:multiLevelType w:val="singleLevel"/>
    <w:tmpl w:val="FD6D21A2"/>
    <w:lvl w:ilvl="0" w:tentative="0">
      <w:start w:val="7"/>
      <w:numFmt w:val="chineseCounting"/>
      <w:suff w:val="nothing"/>
      <w:lvlText w:val="%1、"/>
      <w:lvlJc w:val="left"/>
      <w:rPr>
        <w:rFonts w:hint="eastAsia"/>
      </w:rPr>
    </w:lvl>
  </w:abstractNum>
  <w:abstractNum w:abstractNumId="1">
    <w:nsid w:val="1E2313A3"/>
    <w:multiLevelType w:val="singleLevel"/>
    <w:tmpl w:val="1E2313A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B44"/>
    <w:rsid w:val="001A26B4"/>
    <w:rsid w:val="002D7405"/>
    <w:rsid w:val="005431C5"/>
    <w:rsid w:val="00636B44"/>
    <w:rsid w:val="00707071"/>
    <w:rsid w:val="007A147E"/>
    <w:rsid w:val="00913038"/>
    <w:rsid w:val="0093331F"/>
    <w:rsid w:val="00D12CD9"/>
    <w:rsid w:val="0D9173D9"/>
    <w:rsid w:val="3A457828"/>
    <w:rsid w:val="3FDFD703"/>
    <w:rsid w:val="5FB782C0"/>
    <w:rsid w:val="67FF19C6"/>
    <w:rsid w:val="6A306729"/>
    <w:rsid w:val="76EF643A"/>
    <w:rsid w:val="7FECBFD9"/>
    <w:rsid w:val="95EFBBD0"/>
    <w:rsid w:val="B3BE596B"/>
    <w:rsid w:val="BF7FEDD3"/>
    <w:rsid w:val="C9FBA610"/>
    <w:rsid w:val="DBFF5EFC"/>
    <w:rsid w:val="EAB7CDA2"/>
    <w:rsid w:val="EBFFF783"/>
    <w:rsid w:val="FBFC532A"/>
    <w:rsid w:val="FD7D5E9F"/>
    <w:rsid w:val="FF976A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 w:hAns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Times New Roman" w:eastAsia="黑体" w:cs="Times New Roman"/>
      <w:sz w:val="21"/>
      <w:szCs w:val="22"/>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 w:hAnsi="??" w:eastAsia="宋体" w:cs="Times New Roman"/>
      <w:kern w:val="2"/>
      <w:sz w:val="18"/>
      <w:szCs w:val="18"/>
    </w:rPr>
  </w:style>
  <w:style w:type="character" w:customStyle="1" w:styleId="8">
    <w:name w:val="页脚 Char"/>
    <w:basedOn w:val="6"/>
    <w:link w:val="3"/>
    <w:qFormat/>
    <w:uiPriority w:val="0"/>
    <w:rPr>
      <w:rFonts w:ascii="??" w:hAns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2272</Words>
  <Characters>2316</Characters>
  <Lines>17</Lines>
  <Paragraphs>5</Paragraphs>
  <TotalTime>9</TotalTime>
  <ScaleCrop>false</ScaleCrop>
  <LinksUpToDate>false</LinksUpToDate>
  <CharactersWithSpaces>2454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2022-03-29T16:13:00Z</dcterms:created>
  <dc:creator>Administrator</dc:creator>
  <cp:lastModifiedBy>彼岸花开</cp:lastModifiedBy>
  <cp:lastPrinted>2026-04-27T11:15:00Z</cp:lastPrinted>
  <dcterms:modified xsi:type="dcterms:W3CDTF">2026-04-27T06:37:47Z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F8E470E2ED3B4DECBF29EF9F92C60E56_13</vt:lpwstr>
  </property>
</Properties>
</file>