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4"/>
        <w:tblpPr w:leftFromText="180" w:rightFromText="180" w:vertAnchor="page" w:horzAnchor="page" w:tblpX="1980" w:tblpY="2769"/>
        <w:tblOverlap w:val="never"/>
        <w:tblW w:w="8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375"/>
        <w:gridCol w:w="1988"/>
        <w:gridCol w:w="2280"/>
        <w:gridCol w:w="435"/>
        <w:gridCol w:w="1252"/>
        <w:gridCol w:w="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3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 xml:space="preserve"> 评估项目基本情况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经济行为类型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评估机构名称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评估结论选用的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评估方法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签字评估师1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签字评估师2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总资产账面值（万元）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净资产账面值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净资产评估值（万元）</w:t>
            </w:r>
          </w:p>
        </w:tc>
        <w:tc>
          <w:tcPr>
            <w:tcW w:w="19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净资产评估增值率</w:t>
            </w:r>
          </w:p>
        </w:tc>
        <w:tc>
          <w:tcPr>
            <w:tcW w:w="174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8530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评估项目质量评价情况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评价主题</w:t>
            </w: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4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得分情况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服务质量评价（20分）</w:t>
            </w: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项目团队配置情况（2分）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优秀:2分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一般:1分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项目团队工作态度、项目负责人沟通协调能力。（3分）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优秀:3分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一般:1-2分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项目方案设计、计划安排情况。（3分）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优秀:3分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一般:1-2分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评估人员对评估对象实施全面的评估核查程序，如各类资产实地调查、函证、查询、访谈等工作的尽责情况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。（5分）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优秀:4-5分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一般:2-3分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出具评估报告的及时性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（2分）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及时:2分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不及时:0分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71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3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审核意见答复及时性及质量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（5分）</w:t>
            </w:r>
          </w:p>
        </w:tc>
        <w:tc>
          <w:tcPr>
            <w:tcW w:w="168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优秀:4-5分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一般:2-3分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48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评估机构执业质量评价表</w:t>
      </w:r>
    </w:p>
    <w:tbl>
      <w:tblPr>
        <w:tblStyle w:val="4"/>
        <w:tblW w:w="0" w:type="auto"/>
        <w:tblInd w:w="1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458"/>
        <w:gridCol w:w="3177"/>
        <w:gridCol w:w="1692"/>
        <w:gridCol w:w="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评估报告质量评价（80分）</w:t>
            </w: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评估报告内容的完整性、合理性（22分）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评估报告、评估说明、评估明细表、利用专业报告是否齐全,特别是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收益法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预测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完整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完整:2分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不完整:0-1分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报告内容是否包含：声明、摘要、正文、附件等内容，签字盖章是否完整，附件是否完整，包括经济行为决策文件、审计报告、企业营业执照、企业产权登记证、委托方及被评估企业承诺函、相关资产权属证明文件、评估师承诺函、评估机构备案公告、营业执照、评估师资质证明、委托合同等内容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完整:4分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一般:2-3分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评估方法的选取是否合理，是否采用两种方法进行评估，如果只采用一种评估方法，理由是否充分合理。（4分）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合理:4分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不合理:0分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评估程序是否履行到位，是否存在评估程序受限制情况，如果存在，是否实施了替代程序，对评估结果是否有重大影响。（4分）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优秀:4分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一般:2-3分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评估结论的选择是否符合评估对象的特点，是否能公允反映评估对象的价值。（4分）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合理:4分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不合理:0分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特别事项说明是否准确、完整，是否存在对评估结果有重大影响的特别事项仅披露，不做对评估结果影响的判断。（4分）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优秀:4分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一般:2-3分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较差:0-1分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评估说明内容的完整性、合理性（45分）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资产基础法部分：说明内容是否符合相关评估准则规定，是否根据资产分类介绍评估方法，各类资产选取的评估方法、参数以及评估结果是否合理，重要资产是否有案例，案例作价是否与取价依据匹配、计算无误，账外无形资产是否纳入评估范围，是否存在简单按账面值确认评估值且理由不充分的情况。（20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优秀:17-20分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较好:13-16分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 9-12分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较差:0-8分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收益法部分：对企业资产、财务情况的分析是否充分、合理，是否根据企业所在行业、经营特点、收益情况等选择恰当的收益模型，是否合理确定收益期限，对应的折现率确定过程和依据是否合理，是否对经营性资产的收入、成本及费用、折旧摊销、营运资金、资本性支出、所得税等进行合理预测，并充分说明依据及理由，是否对被评估企业的非经营性资产、负债和溢余资产进行准确界定及评估。（20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优秀:17-20分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较好:13-16分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 9-12分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较差:0-8分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市场法部分：选择的可比案例是否与被评估企业具有可比性，是否对相关数据进行分析调整，并消除偶然因素，选择的价值比率是否合理，是否合理考虑流动性折扣，是否根据企业实际情况选择多种价值比率，并进行合理分析，确定最终评估结果。（20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优秀:17-20分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较好:13-16分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 9-12分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较差:0-8分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评估说明整体是否详略得当，是否存在明显模版化内容，或者说明简略无法判断合理性的情况，是否存在较多低级错误。（5分）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优秀:5分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一般:3-4分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较差: 0-2分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评估报告修改情况（13分）</w:t>
            </w:r>
          </w:p>
        </w:tc>
        <w:tc>
          <w:tcPr>
            <w:tcW w:w="317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评估报告是否因评估机构原因经过三次以上修改才符合备案要求。（5分）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0-1次:5分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2次:4分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3次:2分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3次以上:0分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77" w:type="dxa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评估结果调整情况。（8分）</w:t>
            </w:r>
          </w:p>
        </w:tc>
        <w:tc>
          <w:tcPr>
            <w:tcW w:w="16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未调整:8分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小于5%:5-7分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5%-10%:1-4分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大于10%:0分</w:t>
            </w:r>
          </w:p>
        </w:tc>
        <w:tc>
          <w:tcPr>
            <w:tcW w:w="64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9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合计分数</w:t>
            </w:r>
          </w:p>
        </w:tc>
        <w:tc>
          <w:tcPr>
            <w:tcW w:w="5517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24"/>
          <w:vertAlign w:val="baseline"/>
          <w:lang w:val="en-US" w:eastAsia="zh-CN"/>
        </w:rPr>
        <w:t>填报说明：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评估说明内容的完整性、合理性打分部分，如果只采用一种评估方法进行评估，则该评估方法的分值为40分，整体情况分值为5分。如果采用两种评估方法进行评估，两种评估方法的分值分别为20分，整体情况分值为5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OTU0YmMxOTgyZTg1OTk5ODFiYWFhZjJkMTYyZjgifQ=="/>
  </w:docVars>
  <w:rsids>
    <w:rsidRoot w:val="21CE3A21"/>
    <w:rsid w:val="21C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2024-01-30T08:39:00Z</dcterms:created>
  <dc:creator>Administrator</dc:creator>
  <cp:lastModifiedBy>Administrator</cp:lastModifiedBy>
  <dcterms:modified xsi:type="dcterms:W3CDTF">2024-01-30T08:41:50Z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AB7D3931DDD54BE8B17B188D4346A44C_11</vt:lpwstr>
  </property>
</Properties>
</file>