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80" w:lineRule="exact"/>
        <w:ind w:left="0" w:right="0"/>
        <w:jc w:val="left"/>
        <w:rPr>
          <w:rFonts w:hint="eastAsia" w:ascii="黑体" w:hAnsi="宋体" w:eastAsia="黑体" w:cs="黑体"/>
          <w:spacing w:val="0"/>
          <w:kern w:val="2"/>
          <w:sz w:val="32"/>
          <w:szCs w:val="32"/>
        </w:rPr>
      </w:pPr>
      <w:r>
        <w:rPr>
          <w:rFonts w:hint="eastAsia" w:ascii="黑体" w:hAnsi="宋体" w:eastAsia="黑体" w:cs="黑体"/>
          <w:spacing w:val="0"/>
          <w:kern w:val="2"/>
          <w:sz w:val="32"/>
          <w:szCs w:val="32"/>
          <w:lang w:val="en-US" w:eastAsia="zh-CN" w:bidi="ar"/>
        </w:rPr>
        <w:t>附件2</w:t>
      </w:r>
    </w:p>
    <w:p>
      <w:pPr>
        <w:keepNext w:val="0"/>
        <w:keepLines w:val="0"/>
        <w:widowControl w:val="0"/>
        <w:suppressLineNumbers w:val="0"/>
        <w:spacing w:before="0" w:beforeAutospacing="0" w:after="0" w:afterAutospacing="0" w:line="580" w:lineRule="exact"/>
        <w:ind w:left="0" w:right="0"/>
        <w:jc w:val="left"/>
        <w:rPr>
          <w:rFonts w:hint="eastAsia" w:ascii="黑体" w:hAnsi="宋体" w:eastAsia="黑体" w:cs="黑体"/>
          <w:spacing w:val="0"/>
          <w:kern w:val="2"/>
          <w:sz w:val="32"/>
          <w:szCs w:val="32"/>
        </w:rPr>
      </w:pPr>
      <w:r>
        <w:rPr>
          <w:rFonts w:hint="eastAsia" w:ascii="黑体" w:hAnsi="宋体" w:eastAsia="黑体" w:cs="黑体"/>
          <w:spacing w:val="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0" w:firstLineChars="0"/>
        <w:jc w:val="center"/>
        <w:rPr>
          <w:rFonts w:hint="eastAsia" w:ascii="方正小标宋简体" w:hAnsi="方正小标宋简体" w:eastAsia="方正小标宋简体" w:cs="方正小标宋简体"/>
          <w:spacing w:val="0"/>
          <w:kern w:val="2"/>
          <w:sz w:val="44"/>
          <w:szCs w:val="44"/>
        </w:rPr>
      </w:pPr>
      <w:r>
        <w:rPr>
          <w:rFonts w:hint="eastAsia" w:ascii="方正小标宋简体" w:hAnsi="方正小标宋简体" w:eastAsia="方正小标宋简体" w:cs="方正小标宋简体"/>
          <w:spacing w:val="0"/>
          <w:kern w:val="2"/>
          <w:sz w:val="44"/>
          <w:szCs w:val="44"/>
          <w:lang w:val="en-US" w:eastAsia="zh-CN" w:bidi="ar"/>
        </w:rPr>
        <w:t>中央企业估值报告审核指引</w:t>
      </w:r>
    </w:p>
    <w:p>
      <w:pPr>
        <w:keepNext w:val="0"/>
        <w:keepLines w:val="0"/>
        <w:widowControl w:val="0"/>
        <w:suppressLineNumbers w:val="0"/>
        <w:spacing w:before="0" w:beforeAutospacing="0" w:after="0" w:afterAutospacing="0" w:line="580" w:lineRule="exact"/>
        <w:ind w:left="0" w:right="0" w:firstLine="0" w:firstLineChars="0"/>
        <w:jc w:val="center"/>
        <w:rPr>
          <w:rFonts w:hint="eastAsia" w:ascii="黑体" w:hAnsi="宋体" w:eastAsia="黑体" w:cs="黑体"/>
          <w:spacing w:val="0"/>
          <w:kern w:val="2"/>
          <w:sz w:val="32"/>
          <w:szCs w:val="32"/>
        </w:rPr>
      </w:pPr>
      <w:r>
        <w:rPr>
          <w:rFonts w:hint="eastAsia" w:ascii="黑体" w:hAnsi="宋体" w:eastAsia="黑体" w:cs="黑体"/>
          <w:spacing w:val="0"/>
          <w:kern w:val="2"/>
          <w:sz w:val="32"/>
          <w:szCs w:val="32"/>
          <w:lang w:val="en-US" w:eastAsia="zh-CN" w:bidi="ar"/>
        </w:rPr>
        <w:t xml:space="preserve"> </w:t>
      </w:r>
    </w:p>
    <w:p>
      <w:pPr>
        <w:keepNext w:val="0"/>
        <w:keepLines w:val="0"/>
        <w:widowControl w:val="0"/>
        <w:suppressLineNumbers w:val="0"/>
        <w:spacing w:before="0" w:beforeAutospacing="0" w:after="0" w:afterAutospacing="0" w:line="580" w:lineRule="exact"/>
        <w:ind w:left="0" w:leftChars="0" w:right="0" w:firstLine="0" w:firstLineChars="0"/>
        <w:jc w:val="center"/>
        <w:rPr>
          <w:rFonts w:hint="eastAsia" w:ascii="黑体" w:hAnsi="宋体" w:eastAsia="黑体" w:cs="黑体"/>
          <w:spacing w:val="0"/>
          <w:kern w:val="2"/>
          <w:sz w:val="32"/>
          <w:szCs w:val="32"/>
        </w:rPr>
      </w:pPr>
      <w:r>
        <w:rPr>
          <w:rFonts w:hint="eastAsia" w:ascii="黑体" w:hAnsi="宋体" w:eastAsia="黑体" w:cs="黑体"/>
          <w:spacing w:val="0"/>
          <w:kern w:val="2"/>
          <w:sz w:val="32"/>
          <w:szCs w:val="32"/>
          <w:lang w:val="en-US" w:eastAsia="zh-CN" w:bidi="ar"/>
        </w:rPr>
        <w:t>第一章 总则</w:t>
      </w:r>
      <w:bookmarkStart w:id="0" w:name="_GoBack"/>
      <w:bookmarkEnd w:id="0"/>
    </w:p>
    <w:p>
      <w:pPr>
        <w:keepNext w:val="0"/>
        <w:keepLines w:val="0"/>
        <w:widowControl w:val="0"/>
        <w:suppressLineNumbers w:val="0"/>
        <w:adjustRightInd w:val="0"/>
        <w:snapToGrid w:val="0"/>
        <w:spacing w:before="0" w:beforeAutospacing="0" w:after="0" w:afterAutospacing="0" w:line="580" w:lineRule="exact"/>
        <w:ind w:left="0" w:right="0" w:firstLine="640"/>
        <w:jc w:val="both"/>
        <w:rPr>
          <w:rFonts w:hint="eastAsia" w:ascii="仿宋_GB2312" w:eastAsia="仿宋_GB2312" w:cs="仿宋_GB2312"/>
          <w:spacing w:val="0"/>
          <w:kern w:val="2"/>
          <w:sz w:val="32"/>
          <w:szCs w:val="32"/>
        </w:rPr>
      </w:pPr>
      <w:r>
        <w:rPr>
          <w:rFonts w:hint="eastAsia" w:ascii="楷体_GB2312" w:hAnsi="楷体_GB2312" w:eastAsia="楷体_GB2312" w:cs="楷体_GB2312"/>
          <w:spacing w:val="0"/>
          <w:kern w:val="2"/>
          <w:sz w:val="32"/>
          <w:szCs w:val="32"/>
          <w:lang w:val="en-US" w:eastAsia="zh-CN" w:bidi="ar"/>
        </w:rPr>
        <w:t>第一条</w:t>
      </w:r>
      <w:r>
        <w:rPr>
          <w:rFonts w:hint="eastAsia" w:ascii="仿宋_GB2312" w:hAnsi="Times New Roman" w:eastAsia="仿宋_GB2312" w:cs="仿宋_GB2312"/>
          <w:b/>
          <w:bCs/>
          <w:spacing w:val="0"/>
          <w:kern w:val="2"/>
          <w:sz w:val="32"/>
          <w:szCs w:val="32"/>
          <w:lang w:val="en-US" w:eastAsia="zh-CN" w:bidi="ar"/>
        </w:rPr>
        <w:t xml:space="preserve"> </w:t>
      </w:r>
      <w:r>
        <w:rPr>
          <w:rFonts w:hint="eastAsia" w:ascii="仿宋_GB2312" w:hAnsi="Times New Roman" w:eastAsia="仿宋_GB2312" w:cs="仿宋_GB2312"/>
          <w:spacing w:val="0"/>
          <w:kern w:val="2"/>
          <w:sz w:val="32"/>
          <w:szCs w:val="32"/>
          <w:lang w:val="en-US" w:eastAsia="zh-CN" w:bidi="ar"/>
        </w:rPr>
        <w:t>为规范中央企业估值项目管理工作，提高估值报告审核效率，依据《中华人民共和国企业国有资产法》《中央企业境外国有产权管理办法》（国务院国资委令第27号）、《上市公司国有股权监督管理办法》（国务院国资委 财政部 中国证监会令第36号）及本通知等规定，制定本指引。</w:t>
      </w:r>
    </w:p>
    <w:p>
      <w:pPr>
        <w:keepNext w:val="0"/>
        <w:keepLines w:val="0"/>
        <w:widowControl w:val="0"/>
        <w:numPr>
          <w:ilvl w:val="0"/>
          <w:numId w:val="1"/>
        </w:numPr>
        <w:suppressLineNumbers w:val="0"/>
        <w:spacing w:before="0" w:beforeAutospacing="0" w:after="0" w:afterAutospacing="0" w:line="580" w:lineRule="exact"/>
        <w:ind w:left="712" w:right="0" w:firstLine="0"/>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中央企业及其子企业发生本通知规定可以进行</w:t>
      </w:r>
    </w:p>
    <w:p>
      <w:pPr>
        <w:keepNext w:val="0"/>
        <w:keepLines w:val="0"/>
        <w:widowControl w:val="0"/>
        <w:numPr>
          <w:ilvl w:val="0"/>
          <w:numId w:val="0"/>
        </w:numPr>
        <w:suppressLineNumbers w:val="0"/>
        <w:spacing w:before="0" w:beforeAutospacing="0" w:after="0" w:afterAutospacing="0" w:line="580" w:lineRule="exact"/>
        <w:ind w:right="0" w:rightChars="0"/>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估值的经济行为时，对估值报告进行审核，适用本指引。</w:t>
      </w:r>
    </w:p>
    <w:p>
      <w:pPr>
        <w:keepNext w:val="0"/>
        <w:keepLines w:val="0"/>
        <w:widowControl w:val="0"/>
        <w:numPr>
          <w:ilvl w:val="0"/>
          <w:numId w:val="1"/>
        </w:numPr>
        <w:suppressLineNumbers w:val="0"/>
        <w:spacing w:before="0" w:beforeAutospacing="0" w:after="0" w:afterAutospacing="0" w:line="580" w:lineRule="exact"/>
        <w:ind w:left="712" w:right="0" w:firstLine="0"/>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审核估值报告时，应重点关注估值报告基本要</w:t>
      </w:r>
    </w:p>
    <w:p>
      <w:pPr>
        <w:keepNext w:val="0"/>
        <w:keepLines w:val="0"/>
        <w:widowControl w:val="0"/>
        <w:numPr>
          <w:ilvl w:val="0"/>
          <w:numId w:val="0"/>
        </w:numPr>
        <w:suppressLineNumbers w:val="0"/>
        <w:spacing w:before="0" w:beforeAutospacing="0" w:after="0" w:afterAutospacing="0" w:line="580" w:lineRule="exact"/>
        <w:ind w:right="0" w:rightChars="0"/>
        <w:jc w:val="both"/>
        <w:rPr>
          <w:rFonts w:hint="eastAsia" w:ascii="仿宋" w:hAnsi="仿宋" w:eastAsia="仿宋" w:cs="仿宋"/>
          <w:spacing w:val="0"/>
          <w:kern w:val="2"/>
          <w:sz w:val="32"/>
          <w:szCs w:val="32"/>
        </w:rPr>
      </w:pPr>
      <w:r>
        <w:rPr>
          <w:rFonts w:hint="eastAsia" w:ascii="仿宋_GB2312" w:hAnsi="Times New Roman" w:eastAsia="仿宋_GB2312" w:cs="仿宋_GB2312"/>
          <w:spacing w:val="0"/>
          <w:kern w:val="2"/>
          <w:sz w:val="32"/>
          <w:szCs w:val="32"/>
          <w:lang w:val="en-US" w:eastAsia="zh-CN" w:bidi="ar"/>
        </w:rPr>
        <w:t>素是否完整、准确，估值方法应用说明是否详细、合理等。</w:t>
      </w:r>
    </w:p>
    <w:p>
      <w:pPr>
        <w:keepNext w:val="0"/>
        <w:keepLines w:val="0"/>
        <w:widowControl w:val="0"/>
        <w:suppressLineNumbers w:val="0"/>
        <w:spacing w:before="0" w:beforeAutospacing="0" w:after="0" w:afterAutospacing="0" w:line="580" w:lineRule="exact"/>
        <w:ind w:left="0" w:right="0"/>
        <w:jc w:val="center"/>
        <w:rPr>
          <w:rFonts w:hint="eastAsia" w:ascii="仿宋" w:hAnsi="仿宋" w:eastAsia="仿宋" w:cs="仿宋"/>
          <w:spacing w:val="0"/>
          <w:kern w:val="2"/>
          <w:sz w:val="32"/>
          <w:szCs w:val="32"/>
        </w:rPr>
      </w:pPr>
      <w:r>
        <w:rPr>
          <w:rFonts w:hint="eastAsia" w:ascii="黑体" w:hAnsi="宋体" w:eastAsia="黑体" w:cs="黑体"/>
          <w:spacing w:val="0"/>
          <w:kern w:val="2"/>
          <w:sz w:val="32"/>
          <w:szCs w:val="32"/>
          <w:lang w:val="en-US" w:eastAsia="zh-CN" w:bidi="ar"/>
        </w:rPr>
        <w:t>第二章 估值报告审核要点</w:t>
      </w:r>
    </w:p>
    <w:p>
      <w:pPr>
        <w:keepNext w:val="0"/>
        <w:keepLines w:val="0"/>
        <w:widowControl w:val="0"/>
        <w:numPr>
          <w:ilvl w:val="0"/>
          <w:numId w:val="1"/>
        </w:numPr>
        <w:suppressLineNumbers w:val="0"/>
        <w:spacing w:before="0" w:beforeAutospacing="0" w:after="0" w:afterAutospacing="0" w:line="580" w:lineRule="exact"/>
        <w:ind w:left="712" w:right="0" w:firstLine="0"/>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审核估值报告，应当关注估值报告是否包含标</w:t>
      </w:r>
    </w:p>
    <w:p>
      <w:pPr>
        <w:keepNext w:val="0"/>
        <w:keepLines w:val="0"/>
        <w:widowControl w:val="0"/>
        <w:numPr>
          <w:ilvl w:val="0"/>
          <w:numId w:val="0"/>
        </w:numPr>
        <w:suppressLineNumbers w:val="0"/>
        <w:spacing w:before="0" w:beforeAutospacing="0" w:after="0" w:afterAutospacing="0" w:line="580" w:lineRule="exact"/>
        <w:ind w:right="0" w:rightChars="0"/>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题、目录、正文及附件等。估值报告内容是否完整，文字描述是否准确、清晰，是否能够从估值角度为委托方提供价值参考和相关风险提示。</w:t>
      </w:r>
    </w:p>
    <w:p>
      <w:pPr>
        <w:keepNext w:val="0"/>
        <w:keepLines w:val="0"/>
        <w:widowControl w:val="0"/>
        <w:numPr>
          <w:ilvl w:val="0"/>
          <w:numId w:val="1"/>
        </w:numPr>
        <w:suppressLineNumbers w:val="0"/>
        <w:spacing w:before="0" w:beforeAutospacing="0" w:after="0" w:afterAutospacing="0" w:line="580" w:lineRule="exact"/>
        <w:ind w:left="712" w:right="0" w:firstLine="0"/>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审核估值报告标题，应当关注是否采用“委托</w:t>
      </w:r>
    </w:p>
    <w:p>
      <w:pPr>
        <w:keepNext w:val="0"/>
        <w:keepLines w:val="0"/>
        <w:widowControl w:val="0"/>
        <w:numPr>
          <w:ilvl w:val="0"/>
          <w:numId w:val="0"/>
        </w:numPr>
        <w:suppressLineNumbers w:val="0"/>
        <w:spacing w:before="0" w:beforeAutospacing="0" w:after="0" w:afterAutospacing="0" w:line="580" w:lineRule="exact"/>
        <w:ind w:right="0" w:rightChars="0"/>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方名称+经济行为描述+估值对象+估值报告”的形式。</w:t>
      </w:r>
    </w:p>
    <w:p>
      <w:pPr>
        <w:keepNext w:val="0"/>
        <w:keepLines w:val="0"/>
        <w:widowControl w:val="0"/>
        <w:numPr>
          <w:ilvl w:val="0"/>
          <w:numId w:val="1"/>
        </w:numPr>
        <w:suppressLineNumbers w:val="0"/>
        <w:spacing w:before="0" w:beforeAutospacing="0" w:after="0" w:afterAutospacing="0" w:line="580" w:lineRule="exact"/>
        <w:ind w:left="712" w:right="0" w:firstLine="0"/>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审核估值报告目录，应当关注是否列明正文、</w:t>
      </w:r>
    </w:p>
    <w:p>
      <w:pPr>
        <w:keepNext w:val="0"/>
        <w:keepLines w:val="0"/>
        <w:widowControl w:val="0"/>
        <w:numPr>
          <w:ilvl w:val="0"/>
          <w:numId w:val="0"/>
        </w:numPr>
        <w:suppressLineNumbers w:val="0"/>
        <w:spacing w:before="0" w:beforeAutospacing="0" w:after="0" w:afterAutospacing="0" w:line="580" w:lineRule="exact"/>
        <w:ind w:right="0" w:rightChars="0"/>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附件的内容及页码，是否有助于快速清晰地查看相关内容。</w:t>
      </w:r>
    </w:p>
    <w:p>
      <w:pPr>
        <w:keepNext w:val="0"/>
        <w:keepLines w:val="0"/>
        <w:widowControl w:val="0"/>
        <w:numPr>
          <w:ilvl w:val="0"/>
          <w:numId w:val="1"/>
        </w:numPr>
        <w:suppressLineNumbers w:val="0"/>
        <w:spacing w:before="0" w:beforeAutospacing="0" w:after="0" w:afterAutospacing="0" w:line="580" w:lineRule="exact"/>
        <w:ind w:left="712" w:right="0" w:firstLine="0"/>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审核估值报告正文，应当关注是否包括估值目</w:t>
      </w:r>
    </w:p>
    <w:p>
      <w:pPr>
        <w:keepNext w:val="0"/>
        <w:keepLines w:val="0"/>
        <w:widowControl w:val="0"/>
        <w:numPr>
          <w:ilvl w:val="0"/>
          <w:numId w:val="0"/>
        </w:numPr>
        <w:suppressLineNumbers w:val="0"/>
        <w:spacing w:before="0" w:beforeAutospacing="0" w:after="0" w:afterAutospacing="0" w:line="580" w:lineRule="exact"/>
        <w:ind w:right="0" w:rightChars="0"/>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的、估值委托方和被估值对象概况、估值基准日、估值假设和限制条件、价值类型、估值程序实施过程和情况、估值方法、估值结论、特别事项说明、签字盖章等。</w:t>
      </w:r>
    </w:p>
    <w:p>
      <w:pPr>
        <w:keepNext w:val="0"/>
        <w:keepLines w:val="0"/>
        <w:widowControl w:val="0"/>
        <w:numPr>
          <w:ilvl w:val="0"/>
          <w:numId w:val="1"/>
        </w:numPr>
        <w:suppressLineNumbers w:val="0"/>
        <w:spacing w:before="0" w:beforeAutospacing="0" w:after="0" w:afterAutospacing="0" w:line="580" w:lineRule="exact"/>
        <w:ind w:left="712" w:right="0" w:firstLine="0"/>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审核估值目的，应当关注是否清晰、明确说明</w:t>
      </w:r>
    </w:p>
    <w:p>
      <w:pPr>
        <w:keepNext w:val="0"/>
        <w:keepLines w:val="0"/>
        <w:widowControl w:val="0"/>
        <w:numPr>
          <w:ilvl w:val="0"/>
          <w:numId w:val="0"/>
        </w:numPr>
        <w:suppressLineNumbers w:val="0"/>
        <w:spacing w:before="0" w:beforeAutospacing="0" w:after="0" w:afterAutospacing="0" w:line="580" w:lineRule="exact"/>
        <w:ind w:right="0" w:rightChars="0"/>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本次估值服务的经济行为，以及经济行为的决策或批准情况。</w:t>
      </w:r>
    </w:p>
    <w:p>
      <w:pPr>
        <w:keepNext w:val="0"/>
        <w:keepLines w:val="0"/>
        <w:widowControl w:val="0"/>
        <w:numPr>
          <w:ilvl w:val="0"/>
          <w:numId w:val="1"/>
        </w:numPr>
        <w:suppressLineNumbers w:val="0"/>
        <w:spacing w:before="0" w:beforeAutospacing="0" w:after="0" w:afterAutospacing="0" w:line="580" w:lineRule="exact"/>
        <w:ind w:left="712" w:right="0" w:firstLine="0"/>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审核估值委托方概况，应当关注是否说明企业</w:t>
      </w:r>
    </w:p>
    <w:p>
      <w:pPr>
        <w:keepNext w:val="0"/>
        <w:keepLines w:val="0"/>
        <w:widowControl w:val="0"/>
        <w:numPr>
          <w:ilvl w:val="0"/>
          <w:numId w:val="0"/>
        </w:numPr>
        <w:suppressLineNumbers w:val="0"/>
        <w:spacing w:before="0" w:beforeAutospacing="0" w:after="0" w:afterAutospacing="0" w:line="580" w:lineRule="exact"/>
        <w:ind w:right="0" w:rightChars="0"/>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基本情况。审核被估值对象概况，被估值对象为企业股权的，应当关注是否介绍企业历史沿革、股权结构、近三年财务及经营状况等，企业存在重大关联交易的，应当关注是否参考或引用其他尽职调查情况披露关联方、关联业务、交易方式等内容；被估值对象为单项资产或资产组的，应当关注是否介绍资产的基本情况、权属状况、经济状况、质量状况等。</w:t>
      </w:r>
    </w:p>
    <w:p>
      <w:pPr>
        <w:keepNext w:val="0"/>
        <w:keepLines w:val="0"/>
        <w:widowControl w:val="0"/>
        <w:numPr>
          <w:ilvl w:val="0"/>
          <w:numId w:val="1"/>
        </w:numPr>
        <w:suppressLineNumbers w:val="0"/>
        <w:spacing w:before="0" w:beforeAutospacing="0" w:after="0" w:afterAutospacing="0" w:line="580" w:lineRule="exact"/>
        <w:ind w:left="712" w:right="0" w:firstLine="0"/>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审核估值基准日，应当关注是否接近经济行为</w:t>
      </w:r>
    </w:p>
    <w:p>
      <w:pPr>
        <w:keepNext w:val="0"/>
        <w:keepLines w:val="0"/>
        <w:widowControl w:val="0"/>
        <w:numPr>
          <w:ilvl w:val="0"/>
          <w:numId w:val="0"/>
        </w:numPr>
        <w:suppressLineNumbers w:val="0"/>
        <w:spacing w:before="0" w:beforeAutospacing="0" w:after="0" w:afterAutospacing="0" w:line="580" w:lineRule="exact"/>
        <w:ind w:right="0" w:rightChars="0"/>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或特定事项的实施日期。被估值企业在估值基准日后如遇到可能对估值结果产生重大影响的事项，是否合理调整估值基准日或在估值结论以及交易条件中予以考虑。</w:t>
      </w:r>
    </w:p>
    <w:p>
      <w:pPr>
        <w:keepNext w:val="0"/>
        <w:keepLines w:val="0"/>
        <w:widowControl w:val="0"/>
        <w:numPr>
          <w:ilvl w:val="0"/>
          <w:numId w:val="1"/>
        </w:numPr>
        <w:suppressLineNumbers w:val="0"/>
        <w:spacing w:before="0" w:beforeAutospacing="0" w:after="0" w:afterAutospacing="0" w:line="580" w:lineRule="exact"/>
        <w:ind w:left="712" w:right="0" w:firstLine="0"/>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审核估值假设和限制条件，应当关注是否结</w:t>
      </w:r>
    </w:p>
    <w:p>
      <w:pPr>
        <w:keepNext w:val="0"/>
        <w:keepLines w:val="0"/>
        <w:widowControl w:val="0"/>
        <w:numPr>
          <w:ilvl w:val="0"/>
          <w:numId w:val="0"/>
        </w:numPr>
        <w:suppressLineNumbers w:val="0"/>
        <w:spacing w:before="0" w:beforeAutospacing="0" w:after="0" w:afterAutospacing="0" w:line="580" w:lineRule="exact"/>
        <w:ind w:right="0" w:rightChars="0"/>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合宏观经济情况、行业发展现状及前景、企业发展现状及前景、资产的应用场景等进行假设。估值假设和限制条件是否存在背离事实，或其他颠覆性影响估值结论的内容。针对未决事项的假设，是否说明其可能影响估值结论的情况。</w:t>
      </w:r>
    </w:p>
    <w:p>
      <w:pPr>
        <w:keepNext w:val="0"/>
        <w:keepLines w:val="0"/>
        <w:widowControl w:val="0"/>
        <w:numPr>
          <w:ilvl w:val="0"/>
          <w:numId w:val="1"/>
        </w:numPr>
        <w:suppressLineNumbers w:val="0"/>
        <w:spacing w:before="0" w:beforeAutospacing="0" w:after="0" w:afterAutospacing="0" w:line="240" w:lineRule="atLeast"/>
        <w:ind w:left="12" w:right="0" w:firstLine="710" w:firstLineChars="222"/>
        <w:jc w:val="both"/>
        <w:rPr>
          <w:rFonts w:hint="eastAsia" w:ascii="仿宋_GB2312" w:eastAsia="仿宋_GB2312" w:cs="仿宋_GB2312"/>
          <w:b w:val="0"/>
          <w:bCs w:val="0"/>
          <w:spacing w:val="0"/>
          <w:kern w:val="2"/>
          <w:sz w:val="32"/>
          <w:szCs w:val="32"/>
        </w:rPr>
      </w:pPr>
      <w:r>
        <w:rPr>
          <w:rFonts w:hint="eastAsia" w:ascii="仿宋_GB2312" w:hAnsi="Times New Roman" w:eastAsia="仿宋_GB2312" w:cs="仿宋_GB2312"/>
          <w:b w:val="0"/>
          <w:bCs w:val="0"/>
          <w:spacing w:val="0"/>
          <w:kern w:val="2"/>
          <w:sz w:val="32"/>
          <w:szCs w:val="32"/>
          <w:lang w:val="en-US" w:eastAsia="zh-CN" w:bidi="ar"/>
        </w:rPr>
        <w:t>审核价值类型，应当关注是否列明所选择的价值类型及定义，尤其选择市场价值以外的价值类型，应当关注其选取理由是否合理。</w:t>
      </w:r>
    </w:p>
    <w:p>
      <w:pPr>
        <w:keepNext w:val="0"/>
        <w:keepLines w:val="0"/>
        <w:widowControl w:val="0"/>
        <w:numPr>
          <w:ilvl w:val="0"/>
          <w:numId w:val="1"/>
        </w:numPr>
        <w:suppressLineNumbers w:val="0"/>
        <w:spacing w:before="0" w:beforeAutospacing="0" w:after="0" w:afterAutospacing="0" w:line="240" w:lineRule="atLeast"/>
        <w:ind w:left="12" w:right="0" w:firstLine="710" w:firstLineChars="222"/>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审核估值程序，应当关注是否介绍估值机构履行估值程序的方式、内容等。是否对影响估值结论较大的事项或资料进行调查、分析。是否存在未履行与委托方商定的估值程序，未能履行的程序是否对估值结论存在影响等。</w:t>
      </w:r>
    </w:p>
    <w:p>
      <w:pPr>
        <w:keepNext w:val="0"/>
        <w:keepLines w:val="0"/>
        <w:widowControl w:val="0"/>
        <w:numPr>
          <w:ilvl w:val="0"/>
          <w:numId w:val="1"/>
        </w:numPr>
        <w:suppressLineNumbers w:val="0"/>
        <w:spacing w:before="0" w:beforeAutospacing="0" w:after="0" w:afterAutospacing="0" w:line="240" w:lineRule="atLeast"/>
        <w:ind w:left="12" w:right="0" w:firstLine="710" w:firstLineChars="222"/>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审核估值方法，应当关注是否采用两种及以上估值方法进行估值，是否说明选取估值方法的合理性。只能采用一种估值方法估值的，是否说明其他估值方法不适用的原因或者所受限制。</w:t>
      </w:r>
    </w:p>
    <w:p>
      <w:pPr>
        <w:keepNext w:val="0"/>
        <w:keepLines w:val="0"/>
        <w:widowControl w:val="0"/>
        <w:numPr>
          <w:ilvl w:val="0"/>
          <w:numId w:val="1"/>
        </w:numPr>
        <w:suppressLineNumbers w:val="0"/>
        <w:spacing w:before="0" w:beforeAutospacing="0" w:after="0" w:afterAutospacing="0" w:line="240" w:lineRule="atLeast"/>
        <w:ind w:left="12" w:right="0" w:firstLine="710" w:firstLineChars="222"/>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审核估值结论，对采用两种及以上估值方法进行估值的，应当关注是否说明不同估值方法结果的差异及原因，以及最终确定估值结论的理由。</w:t>
      </w:r>
    </w:p>
    <w:p>
      <w:pPr>
        <w:keepNext w:val="0"/>
        <w:keepLines w:val="0"/>
        <w:widowControl w:val="0"/>
        <w:numPr>
          <w:ilvl w:val="0"/>
          <w:numId w:val="1"/>
        </w:numPr>
        <w:suppressLineNumbers w:val="0"/>
        <w:spacing w:before="0" w:beforeAutospacing="0" w:after="0" w:afterAutospacing="0" w:line="240" w:lineRule="atLeast"/>
        <w:ind w:left="12" w:right="0" w:firstLine="710" w:firstLineChars="222"/>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审核特别事项说明，应当关注是否结合或引用其他尽职调查情况，充分披露可能对估值结论影响重大的事项形成的原因、性质、对估值结论可能产生的影响以及在估值过程中如何予以考虑。对不适宜在估值报告中披露且可能对估值结果影响重大的事项，企业是否形成专项处理意见。</w:t>
      </w:r>
    </w:p>
    <w:p>
      <w:pPr>
        <w:keepNext w:val="0"/>
        <w:keepLines w:val="0"/>
        <w:widowControl w:val="0"/>
        <w:numPr>
          <w:ilvl w:val="0"/>
          <w:numId w:val="1"/>
        </w:numPr>
        <w:suppressLineNumbers w:val="0"/>
        <w:spacing w:before="0" w:beforeAutospacing="0" w:after="0" w:afterAutospacing="0" w:line="240" w:lineRule="atLeast"/>
        <w:ind w:left="12" w:right="0" w:firstLine="710" w:firstLineChars="222"/>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审核盖章或签字时，应当关注估值报告的盖章或签字是否符合被估值对象所在国家、区域的法律法规或行业规定。</w:t>
      </w:r>
    </w:p>
    <w:p>
      <w:pPr>
        <w:keepNext w:val="0"/>
        <w:keepLines w:val="0"/>
        <w:widowControl w:val="0"/>
        <w:numPr>
          <w:ilvl w:val="0"/>
          <w:numId w:val="1"/>
        </w:numPr>
        <w:suppressLineNumbers w:val="0"/>
        <w:spacing w:before="0" w:beforeAutospacing="0" w:after="0" w:afterAutospacing="0" w:line="240" w:lineRule="atLeast"/>
        <w:ind w:left="12" w:right="0" w:firstLine="710" w:firstLineChars="222"/>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审核估值报告的附件时，应当关注是否包括与估值目的相对应的经济行为批准文件、被估值对象核心资产的权属证明文件（如有）、财务资料、估值业务委托合同中与估值工作相关的内容页、被估值企业和估值机构营业执照（如有）、估值机构和估值人员独立性声明、其他对估值报告或估值结论有重要支撑作用的相关材料。</w:t>
      </w:r>
    </w:p>
    <w:p>
      <w:pPr>
        <w:keepNext w:val="0"/>
        <w:keepLines w:val="0"/>
        <w:widowControl w:val="0"/>
        <w:suppressLineNumbers w:val="0"/>
        <w:spacing w:before="0" w:beforeAutospacing="0" w:after="0" w:afterAutospacing="0" w:line="580" w:lineRule="exact"/>
        <w:ind w:left="0" w:right="0"/>
        <w:jc w:val="center"/>
        <w:rPr>
          <w:rFonts w:hint="eastAsia" w:ascii="黑体" w:hAnsi="宋体" w:eastAsia="黑体" w:cs="黑体"/>
          <w:spacing w:val="0"/>
          <w:kern w:val="2"/>
          <w:sz w:val="32"/>
          <w:szCs w:val="32"/>
        </w:rPr>
      </w:pPr>
      <w:r>
        <w:rPr>
          <w:rFonts w:hint="eastAsia" w:ascii="黑体" w:hAnsi="宋体" w:eastAsia="黑体" w:cs="黑体"/>
          <w:spacing w:val="0"/>
          <w:kern w:val="2"/>
          <w:sz w:val="32"/>
          <w:szCs w:val="32"/>
          <w:lang w:val="en-US" w:eastAsia="zh-CN" w:bidi="ar"/>
        </w:rPr>
        <w:t>第三章 估值方法审核要点</w:t>
      </w:r>
    </w:p>
    <w:p>
      <w:pPr>
        <w:keepNext w:val="0"/>
        <w:keepLines w:val="0"/>
        <w:widowControl w:val="0"/>
        <w:numPr>
          <w:ilvl w:val="0"/>
          <w:numId w:val="1"/>
        </w:numPr>
        <w:suppressLineNumbers w:val="0"/>
        <w:spacing w:before="0" w:beforeAutospacing="0" w:after="0" w:afterAutospacing="0" w:line="580" w:lineRule="exact"/>
        <w:ind w:left="712" w:right="0" w:firstLine="0"/>
        <w:jc w:val="left"/>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审核收益法及其衍生方法时，应当关注是否</w:t>
      </w:r>
    </w:p>
    <w:p>
      <w:pPr>
        <w:keepNext w:val="0"/>
        <w:keepLines w:val="0"/>
        <w:widowControl w:val="0"/>
        <w:numPr>
          <w:ilvl w:val="0"/>
          <w:numId w:val="0"/>
        </w:numPr>
        <w:suppressLineNumbers w:val="0"/>
        <w:spacing w:before="0" w:beforeAutospacing="0" w:after="0" w:afterAutospacing="0" w:line="580" w:lineRule="exact"/>
        <w:ind w:right="0" w:rightChars="0"/>
        <w:jc w:val="left"/>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满足未来收益可以合理预测，主要风险可以考量，重要参数可以计量，收益期限能够确定等条件。</w:t>
      </w:r>
    </w:p>
    <w:p>
      <w:pPr>
        <w:keepNext w:val="0"/>
        <w:keepLines w:val="0"/>
        <w:widowControl w:val="0"/>
        <w:numPr>
          <w:ilvl w:val="0"/>
          <w:numId w:val="1"/>
        </w:numPr>
        <w:suppressLineNumbers w:val="0"/>
        <w:spacing w:before="0" w:beforeAutospacing="0" w:after="0" w:afterAutospacing="0" w:line="580" w:lineRule="exact"/>
        <w:ind w:left="712" w:right="0" w:firstLine="0"/>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审核收益法模型，应当关注是否结合企业资</w:t>
      </w:r>
    </w:p>
    <w:p>
      <w:pPr>
        <w:keepNext w:val="0"/>
        <w:keepLines w:val="0"/>
        <w:widowControl w:val="0"/>
        <w:numPr>
          <w:ilvl w:val="0"/>
          <w:numId w:val="0"/>
        </w:numPr>
        <w:suppressLineNumbers w:val="0"/>
        <w:spacing w:before="0" w:beforeAutospacing="0" w:after="0" w:afterAutospacing="0" w:line="580" w:lineRule="exact"/>
        <w:ind w:right="0" w:rightChars="0"/>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本结构、经营模式、发展阶段、收益情况等因素进行选择；是否形成被估值对象的收入、成本及费用、折旧摊销、营运资金、折现率等完整的预测表，是否在条件允许时，形成资本性支出、非经营性资产及负债的预测表；是否充分结合宏观经济情况、行业情况、企业历史年度及估值基准日经营情况以及未来发展规划等因素，充分说明主要参数预测和计算依据。</w:t>
      </w:r>
    </w:p>
    <w:p>
      <w:pPr>
        <w:keepNext w:val="0"/>
        <w:keepLines w:val="0"/>
        <w:widowControl w:val="0"/>
        <w:numPr>
          <w:ilvl w:val="0"/>
          <w:numId w:val="1"/>
        </w:numPr>
        <w:suppressLineNumbers w:val="0"/>
        <w:spacing w:before="0" w:beforeAutospacing="0" w:after="0" w:afterAutospacing="0" w:line="580" w:lineRule="exact"/>
        <w:ind w:left="712" w:right="0" w:firstLine="0"/>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审核市场法及其衍生方法，应当关注可比</w:t>
      </w:r>
    </w:p>
    <w:p>
      <w:pPr>
        <w:keepNext w:val="0"/>
        <w:keepLines w:val="0"/>
        <w:widowControl w:val="0"/>
        <w:numPr>
          <w:ilvl w:val="0"/>
          <w:numId w:val="0"/>
        </w:numPr>
        <w:suppressLineNumbers w:val="0"/>
        <w:spacing w:before="0" w:beforeAutospacing="0" w:after="0" w:afterAutospacing="0" w:line="580" w:lineRule="exact"/>
        <w:ind w:right="0" w:rightChars="0"/>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公司或可比交易案例是否能够获得，与被估值对象是否具有可比性，对价值影响因素存在的主要差异是否可以修正。</w:t>
      </w:r>
    </w:p>
    <w:p>
      <w:pPr>
        <w:keepNext w:val="0"/>
        <w:keepLines w:val="0"/>
        <w:widowControl w:val="0"/>
        <w:numPr>
          <w:ilvl w:val="0"/>
          <w:numId w:val="1"/>
        </w:numPr>
        <w:suppressLineNumbers w:val="0"/>
        <w:spacing w:before="0" w:beforeAutospacing="0" w:after="0" w:afterAutospacing="0" w:line="580" w:lineRule="exact"/>
        <w:ind w:left="712" w:right="0" w:firstLine="0"/>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 xml:space="preserve"> 审核市场法选取的价值比率或分析模型，</w:t>
      </w:r>
    </w:p>
    <w:p>
      <w:pPr>
        <w:keepNext w:val="0"/>
        <w:keepLines w:val="0"/>
        <w:widowControl w:val="0"/>
        <w:numPr>
          <w:ilvl w:val="0"/>
          <w:numId w:val="0"/>
        </w:numPr>
        <w:suppressLineNumbers w:val="0"/>
        <w:spacing w:before="0" w:beforeAutospacing="0" w:after="0" w:afterAutospacing="0" w:line="580" w:lineRule="exact"/>
        <w:ind w:right="0" w:rightChars="0"/>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应当关注是否符合被估值对象的行业特点、盈利模式等；是否对可比对象和被估值对象所处行业、行业地位、企业规模、盈利模式、主要财务数据等进行分析比对，是否对存在的差异进行修正，并说明修正依据。采用可比交易案例估值时，还需关注是否对可比交易案例和被估值对象的交易时间、交易条件、交易股比等进行分析比对，是否对存在的差异进行修正，并说明修正依据。</w:t>
      </w:r>
    </w:p>
    <w:p>
      <w:pPr>
        <w:keepNext w:val="0"/>
        <w:keepLines w:val="0"/>
        <w:widowControl w:val="0"/>
        <w:numPr>
          <w:ilvl w:val="0"/>
          <w:numId w:val="1"/>
        </w:numPr>
        <w:suppressLineNumbers w:val="0"/>
        <w:spacing w:before="0" w:beforeAutospacing="0" w:after="0" w:afterAutospacing="0" w:line="580" w:lineRule="exact"/>
        <w:ind w:left="712" w:right="0" w:firstLine="0"/>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审核资产基础法及其衍生方法，应当关注</w:t>
      </w:r>
    </w:p>
    <w:p>
      <w:pPr>
        <w:keepNext w:val="0"/>
        <w:keepLines w:val="0"/>
        <w:widowControl w:val="0"/>
        <w:numPr>
          <w:ilvl w:val="0"/>
          <w:numId w:val="0"/>
        </w:numPr>
        <w:suppressLineNumbers w:val="0"/>
        <w:spacing w:before="0" w:beforeAutospacing="0" w:after="0" w:afterAutospacing="0" w:line="580" w:lineRule="exact"/>
        <w:ind w:right="0" w:rightChars="0"/>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被估值对象资产负债表及表外各项资产、负债是否可识别，各项资产、负债的价值是否可判断、可估算。</w:t>
      </w:r>
    </w:p>
    <w:p>
      <w:pPr>
        <w:keepNext w:val="0"/>
        <w:keepLines w:val="0"/>
        <w:widowControl w:val="0"/>
        <w:numPr>
          <w:ilvl w:val="0"/>
          <w:numId w:val="1"/>
        </w:numPr>
        <w:suppressLineNumbers w:val="0"/>
        <w:spacing w:before="0" w:beforeAutospacing="0" w:after="0" w:afterAutospacing="0" w:line="580" w:lineRule="exact"/>
        <w:ind w:left="712" w:right="0" w:firstLine="0"/>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审核资产基础法相关参数，应当关注是否</w:t>
      </w:r>
    </w:p>
    <w:p>
      <w:pPr>
        <w:keepNext w:val="0"/>
        <w:keepLines w:val="0"/>
        <w:widowControl w:val="0"/>
        <w:numPr>
          <w:ilvl w:val="0"/>
          <w:numId w:val="0"/>
        </w:numPr>
        <w:suppressLineNumbers w:val="0"/>
        <w:spacing w:before="0" w:beforeAutospacing="0" w:after="0" w:afterAutospacing="0" w:line="580" w:lineRule="exact"/>
        <w:ind w:right="0" w:rightChars="0"/>
        <w:jc w:val="both"/>
        <w:rPr>
          <w:rFonts w:hint="eastAsia" w:ascii="仿宋_GB2312"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说明各项资产、负债重置成本的构成要素，是否结合被估值对象的实际情况以及影响其价值变化的条件，充分考虑可能影响资产贬值的因素，是否合理确定各项贬值。主要资产、负债是否选取典型案例，是否描述估值过程、方法、参数选取及结论等。</w:t>
      </w:r>
    </w:p>
    <w:p>
      <w:pPr>
        <w:keepNext w:val="0"/>
        <w:keepLines w:val="0"/>
        <w:widowControl w:val="0"/>
        <w:numPr>
          <w:ilvl w:val="0"/>
          <w:numId w:val="1"/>
        </w:numPr>
        <w:suppressLineNumbers w:val="0"/>
        <w:spacing w:before="0" w:beforeAutospacing="0" w:after="0" w:afterAutospacing="0" w:line="580" w:lineRule="exact"/>
        <w:ind w:left="712" w:right="0" w:firstLine="0"/>
        <w:jc w:val="both"/>
        <w:rPr>
          <w:rFonts w:hint="eastAsia" w:ascii="仿宋_GB2312" w:eastAsia="仿宋_GB2312" w:cs="仿宋_GB2312"/>
          <w:spacing w:val="0"/>
          <w:kern w:val="2"/>
          <w:sz w:val="32"/>
          <w:szCs w:val="32"/>
        </w:rPr>
      </w:pPr>
      <w:r>
        <w:rPr>
          <w:rFonts w:hint="eastAsia" w:ascii="仿宋_GB2312" w:hAnsi="Times New Roman" w:eastAsia="仿宋_GB2312" w:cs="仿宋_GB2312"/>
          <w:b w:val="0"/>
          <w:bCs w:val="0"/>
          <w:spacing w:val="0"/>
          <w:kern w:val="2"/>
          <w:sz w:val="32"/>
          <w:szCs w:val="32"/>
          <w:lang w:val="en-US" w:eastAsia="zh-CN" w:bidi="ar"/>
        </w:rPr>
        <w:t>审核其他估值方法时，应当关注估值方法</w:t>
      </w:r>
    </w:p>
    <w:p>
      <w:r>
        <w:rPr>
          <w:rFonts w:hint="eastAsia" w:ascii="仿宋_GB2312" w:hAnsi="Times New Roman" w:eastAsia="仿宋_GB2312" w:cs="仿宋_GB2312"/>
          <w:b w:val="0"/>
          <w:bCs w:val="0"/>
          <w:spacing w:val="0"/>
          <w:kern w:val="2"/>
          <w:sz w:val="32"/>
          <w:szCs w:val="32"/>
          <w:lang w:val="en-US" w:eastAsia="zh-CN" w:bidi="ar"/>
        </w:rPr>
        <w:t>是否与被估值对象匹配，关键参数和估值依据是否合理。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EF05D"/>
    <w:multiLevelType w:val="multilevel"/>
    <w:tmpl w:val="8DBEF05D"/>
    <w:lvl w:ilvl="0" w:tentative="0">
      <w:start w:val="2"/>
      <w:numFmt w:val="chineseCounting"/>
      <w:suff w:val="space"/>
      <w:lvlText w:val="第%1条"/>
      <w:lvlJc w:val="left"/>
      <w:pPr>
        <w:ind w:left="712" w:firstLine="0"/>
      </w:pPr>
      <w:rPr>
        <w:rFonts w:hint="eastAsia" w:ascii="楷体_GB2312" w:hAnsi="楷体_GB2312" w:eastAsia="楷体_GB2312" w:cs="楷体_GB231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xOTU0YmMxOTgyZTg1OTk5ODFiYWFhZjJkMTYyZjgifQ=="/>
  </w:docVars>
  <w:rsids>
    <w:rsidRoot w:val="179041C6"/>
    <w:rsid w:val="17904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2024-01-30T08:42:00Z</dcterms:created>
  <dc:creator>Administrator</dc:creator>
  <cp:lastModifiedBy>Administrator</cp:lastModifiedBy>
  <dcterms:modified xsi:type="dcterms:W3CDTF">2024-01-30T08:42:31Z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1624728EF93E4C368F3EC47A1F395568_11</vt:lpwstr>
  </property>
</Properties>
</file>