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after="0" w:afterLines="50" w:line="240" w:lineRule="auto"/>
        <w:ind w:left="0"/>
        <w:jc w:val="center"/>
        <w:rPr>
          <w:rFonts w:hint="eastAsia" w:cs="宋体"/>
          <w:b/>
          <w:bCs/>
          <w:sz w:val="28"/>
          <w:szCs w:val="28"/>
          <w:highlight w:val="none"/>
          <w:lang w:val="en-US" w:eastAsia="zh-CN"/>
        </w:rPr>
      </w:pPr>
      <w:r>
        <w:rPr>
          <w:rFonts w:hint="eastAsia" w:cs="宋体"/>
          <w:b/>
          <w:bCs/>
          <w:sz w:val="28"/>
          <w:szCs w:val="28"/>
          <w:highlight w:val="none"/>
          <w:lang w:val="en-US" w:eastAsia="zh-CN"/>
        </w:rPr>
        <w:t>投标文件补充格式</w:t>
      </w:r>
    </w:p>
    <w:p>
      <w:pPr>
        <w:pStyle w:val="2"/>
        <w:ind w:left="0" w:leftChars="0" w:firstLine="0" w:firstLineChars="0"/>
        <w:rPr>
          <w:rFonts w:hint="eastAsia" w:cs="宋体"/>
          <w:b w:val="0"/>
          <w:bCs w:val="0"/>
          <w:sz w:val="28"/>
          <w:szCs w:val="28"/>
          <w:highlight w:val="none"/>
          <w:lang w:val="en-US" w:eastAsia="zh-CN"/>
        </w:rPr>
      </w:pPr>
      <w:r>
        <w:rPr>
          <w:rFonts w:hint="eastAsia" w:cs="宋体"/>
          <w:b w:val="0"/>
          <w:bCs w:val="0"/>
          <w:sz w:val="28"/>
          <w:szCs w:val="28"/>
          <w:highlight w:val="none"/>
          <w:lang w:val="en-US" w:eastAsia="zh-CN"/>
        </w:rPr>
        <w:t>注：</w:t>
      </w:r>
    </w:p>
    <w:p>
      <w:pPr>
        <w:pStyle w:val="2"/>
        <w:numPr>
          <w:ilvl w:val="0"/>
          <w:numId w:val="1"/>
        </w:numPr>
        <w:ind w:left="0" w:leftChars="0" w:firstLine="0" w:firstLineChars="0"/>
        <w:rPr>
          <w:rFonts w:hint="eastAsia" w:cs="宋体"/>
          <w:b w:val="0"/>
          <w:bCs w:val="0"/>
          <w:sz w:val="28"/>
          <w:szCs w:val="28"/>
          <w:highlight w:val="none"/>
          <w:lang w:val="en-US" w:eastAsia="zh-CN"/>
        </w:rPr>
      </w:pPr>
      <w:r>
        <w:rPr>
          <w:rFonts w:hint="eastAsia" w:cs="宋体"/>
          <w:b w:val="0"/>
          <w:bCs w:val="0"/>
          <w:sz w:val="28"/>
          <w:szCs w:val="28"/>
          <w:highlight w:val="none"/>
          <w:lang w:val="en-US" w:eastAsia="zh-CN"/>
        </w:rPr>
        <w:t>招标人要求投标人提供的其他资料：新增“点对点应答表”、“免缴投标保证金承诺函（若有）”“产品质量及售后服务的承诺函”、“信用中国查询”。</w:t>
      </w:r>
    </w:p>
    <w:p>
      <w:pPr>
        <w:numPr>
          <w:ilvl w:val="0"/>
          <w:numId w:val="0"/>
        </w:numPr>
        <w:ind w:right="0" w:rightChars="0"/>
        <w:rPr>
          <w:rFonts w:hint="eastAsia"/>
          <w:lang w:val="en-US" w:eastAsia="zh-CN"/>
        </w:rPr>
      </w:pPr>
    </w:p>
    <w:p>
      <w:pPr>
        <w:pStyle w:val="2"/>
        <w:numPr>
          <w:ilvl w:val="0"/>
          <w:numId w:val="1"/>
        </w:numPr>
        <w:ind w:left="0" w:leftChars="0" w:firstLine="0" w:firstLineChars="0"/>
        <w:rPr>
          <w:rFonts w:hint="eastAsia" w:cs="宋体"/>
          <w:b w:val="0"/>
          <w:bCs w:val="0"/>
          <w:sz w:val="28"/>
          <w:szCs w:val="28"/>
          <w:highlight w:val="none"/>
          <w:lang w:val="en-US" w:eastAsia="zh-CN"/>
        </w:rPr>
      </w:pPr>
      <w:r>
        <w:rPr>
          <w:rFonts w:hint="eastAsia" w:cs="宋体"/>
          <w:b w:val="0"/>
          <w:bCs w:val="0"/>
          <w:sz w:val="28"/>
          <w:szCs w:val="28"/>
          <w:highlight w:val="none"/>
          <w:lang w:val="en-US" w:eastAsia="zh-CN"/>
        </w:rPr>
        <w:t>投标文件的补充格式应按要求补充制作在投标文件格式“十四、其他资料”中。</w:t>
      </w:r>
    </w:p>
    <w:p>
      <w:pPr>
        <w:numPr>
          <w:ilvl w:val="0"/>
          <w:numId w:val="0"/>
        </w:numPr>
        <w:ind w:leftChars="0" w:right="0" w:rightChars="0"/>
        <w:rPr>
          <w:rFonts w:hint="eastAsia"/>
          <w:lang w:val="en-US" w:eastAsia="zh-CN"/>
        </w:rPr>
      </w:pPr>
    </w:p>
    <w:p>
      <w:pPr>
        <w:rPr>
          <w:rFonts w:hint="default"/>
          <w:lang w:val="en-US" w:eastAsia="zh-CN"/>
        </w:rPr>
      </w:pPr>
    </w:p>
    <w:p>
      <w:pPr>
        <w:autoSpaceDE/>
        <w:autoSpaceDN/>
        <w:spacing w:after="0" w:afterLines="50" w:line="240" w:lineRule="auto"/>
        <w:ind w:left="0"/>
        <w:jc w:val="center"/>
        <w:rPr>
          <w:rFonts w:hint="eastAsia" w:cs="宋体"/>
          <w:b/>
          <w:bCs/>
          <w:sz w:val="28"/>
          <w:szCs w:val="28"/>
          <w:highlight w:val="none"/>
          <w:lang w:val="en-US" w:eastAsia="zh-CN"/>
        </w:rPr>
        <w:sectPr>
          <w:pgSz w:w="11906" w:h="16838"/>
          <w:pgMar w:top="1134" w:right="1134" w:bottom="1134" w:left="1134" w:header="0" w:footer="886" w:gutter="0"/>
          <w:pgNumType w:fmt="decimal"/>
          <w:cols w:space="0" w:num="1"/>
          <w:rtlGutter w:val="0"/>
          <w:docGrid w:linePitch="0" w:charSpace="0"/>
        </w:sectPr>
      </w:pPr>
    </w:p>
    <w:p>
      <w:pPr>
        <w:autoSpaceDE/>
        <w:autoSpaceDN/>
        <w:spacing w:after="0" w:afterLines="50" w:line="240" w:lineRule="auto"/>
        <w:ind w:left="0"/>
        <w:jc w:val="center"/>
        <w:rPr>
          <w:rFonts w:hint="default" w:ascii="宋体" w:hAnsi="宋体" w:eastAsia="宋体" w:cs="宋体"/>
          <w:b/>
          <w:bCs/>
          <w:sz w:val="28"/>
          <w:szCs w:val="28"/>
          <w:highlight w:val="none"/>
          <w:lang w:val="en-US" w:eastAsia="zh-CN"/>
        </w:rPr>
      </w:pPr>
      <w:r>
        <w:rPr>
          <w:rFonts w:hint="eastAsia" w:cs="宋体"/>
          <w:b/>
          <w:bCs/>
          <w:sz w:val="28"/>
          <w:szCs w:val="28"/>
          <w:highlight w:val="none"/>
          <w:lang w:val="en-US" w:eastAsia="zh-CN"/>
        </w:rPr>
        <w:t>点对点应答表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6974"/>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971" w:type="dxa"/>
            <w:noWrap w:val="0"/>
            <w:vAlign w:val="center"/>
          </w:tcPr>
          <w:p>
            <w:pPr>
              <w:adjustRightInd w:val="0"/>
              <w:snapToGrid w:val="0"/>
              <w:spacing w:line="240" w:lineRule="auto"/>
              <w:ind w:firstLine="0" w:firstLineChars="0"/>
              <w:jc w:val="center"/>
              <w:rPr>
                <w:rFonts w:hint="eastAsia"/>
                <w:b/>
                <w:color w:val="auto"/>
                <w:sz w:val="20"/>
                <w:szCs w:val="20"/>
                <w:highlight w:val="none"/>
              </w:rPr>
            </w:pPr>
            <w:r>
              <w:rPr>
                <w:rFonts w:hint="eastAsia"/>
                <w:b/>
                <w:color w:val="auto"/>
                <w:sz w:val="20"/>
                <w:szCs w:val="20"/>
                <w:highlight w:val="none"/>
              </w:rPr>
              <w:t>序号</w:t>
            </w:r>
          </w:p>
        </w:tc>
        <w:tc>
          <w:tcPr>
            <w:tcW w:w="6974" w:type="dxa"/>
            <w:noWrap w:val="0"/>
            <w:vAlign w:val="center"/>
          </w:tcPr>
          <w:p>
            <w:pPr>
              <w:adjustRightInd w:val="0"/>
              <w:snapToGrid w:val="0"/>
              <w:spacing w:line="240" w:lineRule="auto"/>
              <w:ind w:firstLine="0" w:firstLineChars="0"/>
              <w:jc w:val="center"/>
              <w:rPr>
                <w:rFonts w:hint="eastAsia"/>
                <w:b/>
                <w:color w:val="auto"/>
                <w:sz w:val="20"/>
                <w:szCs w:val="20"/>
                <w:highlight w:val="none"/>
              </w:rPr>
            </w:pPr>
            <w:r>
              <w:rPr>
                <w:rFonts w:hint="eastAsia"/>
                <w:b/>
                <w:color w:val="auto"/>
                <w:sz w:val="20"/>
                <w:szCs w:val="20"/>
                <w:highlight w:val="none"/>
              </w:rPr>
              <w:t>名称</w:t>
            </w:r>
          </w:p>
        </w:tc>
        <w:tc>
          <w:tcPr>
            <w:tcW w:w="1909" w:type="dxa"/>
            <w:noWrap w:val="0"/>
            <w:vAlign w:val="center"/>
          </w:tcPr>
          <w:p>
            <w:pPr>
              <w:adjustRightInd w:val="0"/>
              <w:snapToGrid w:val="0"/>
              <w:spacing w:line="240" w:lineRule="auto"/>
              <w:ind w:firstLine="0" w:firstLineChars="0"/>
              <w:jc w:val="center"/>
              <w:rPr>
                <w:rFonts w:hint="eastAsia"/>
                <w:b/>
                <w:color w:val="auto"/>
                <w:sz w:val="20"/>
                <w:szCs w:val="20"/>
                <w:highlight w:val="none"/>
              </w:rPr>
            </w:pPr>
            <w:r>
              <w:rPr>
                <w:rFonts w:hint="eastAsia"/>
                <w:b/>
                <w:color w:val="auto"/>
                <w:sz w:val="20"/>
                <w:szCs w:val="20"/>
                <w:highlight w:val="none"/>
                <w:lang w:val="en-US"/>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eastAsia" w:ascii="宋体" w:hAnsi="宋体" w:eastAsia="宋体" w:cs="宋体"/>
                <w:b w:val="0"/>
                <w:color w:val="auto"/>
                <w:sz w:val="20"/>
                <w:szCs w:val="20"/>
                <w:highlight w:val="none"/>
                <w:lang w:eastAsia="zh-CN"/>
              </w:rPr>
            </w:pPr>
            <w:r>
              <w:rPr>
                <w:rFonts w:hint="eastAsia" w:ascii="宋体" w:hAnsi="宋体" w:eastAsia="宋体" w:cs="宋体"/>
                <w:b w:val="0"/>
                <w:color w:val="auto"/>
                <w:sz w:val="20"/>
                <w:szCs w:val="20"/>
                <w:highlight w:val="none"/>
                <w:lang w:val="en-US" w:eastAsia="zh-CN"/>
              </w:rPr>
              <w:t>1</w:t>
            </w:r>
          </w:p>
        </w:tc>
        <w:tc>
          <w:tcPr>
            <w:tcW w:w="6974" w:type="dxa"/>
            <w:noWrap w:val="0"/>
            <w:vAlign w:val="center"/>
          </w:tcPr>
          <w:p>
            <w:pPr>
              <w:adjustRightInd w:val="0"/>
              <w:snapToGrid w:val="0"/>
              <w:spacing w:line="360" w:lineRule="exact"/>
              <w:ind w:firstLine="0" w:firstLineChars="0"/>
              <w:jc w:val="center"/>
              <w:rPr>
                <w:rFonts w:hint="default" w:eastAsia="宋体"/>
                <w:b/>
                <w:color w:val="auto"/>
                <w:sz w:val="20"/>
                <w:szCs w:val="20"/>
                <w:highlight w:val="none"/>
                <w:lang w:val="en-US" w:eastAsia="zh-CN"/>
              </w:rPr>
            </w:pPr>
            <w:r>
              <w:rPr>
                <w:rFonts w:hint="eastAsia"/>
                <w:b/>
                <w:color w:val="auto"/>
                <w:sz w:val="20"/>
                <w:szCs w:val="20"/>
                <w:highlight w:val="none"/>
                <w:lang w:val="en-US" w:eastAsia="zh-CN"/>
              </w:rPr>
              <w:t>资格部分</w:t>
            </w:r>
          </w:p>
        </w:tc>
        <w:tc>
          <w:tcPr>
            <w:tcW w:w="1909" w:type="dxa"/>
            <w:noWrap w:val="0"/>
            <w:vAlign w:val="center"/>
          </w:tcPr>
          <w:p>
            <w:pPr>
              <w:adjustRightInd w:val="0"/>
              <w:snapToGrid w:val="0"/>
              <w:spacing w:line="240" w:lineRule="auto"/>
              <w:ind w:firstLine="0" w:firstLineChars="0"/>
              <w:jc w:val="center"/>
              <w:rPr>
                <w:rFonts w:hint="eastAsia"/>
                <w:b/>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u w:val="none"/>
                <w:lang w:val="en-US" w:eastAsia="zh-CN"/>
              </w:rPr>
              <w:t>1.1</w:t>
            </w:r>
          </w:p>
        </w:tc>
        <w:tc>
          <w:tcPr>
            <w:tcW w:w="6974" w:type="dxa"/>
            <w:noWrap w:val="0"/>
            <w:vAlign w:val="center"/>
          </w:tcPr>
          <w:p>
            <w:pPr>
              <w:adjustRightInd w:val="0"/>
              <w:snapToGrid w:val="0"/>
              <w:spacing w:line="360" w:lineRule="exact"/>
              <w:ind w:firstLine="0" w:firstLineChars="0"/>
              <w:rPr>
                <w:rFonts w:hint="eastAsia" w:cs="宋体"/>
                <w:sz w:val="20"/>
                <w:szCs w:val="20"/>
                <w:highlight w:val="none"/>
                <w:u w:val="none"/>
                <w:lang w:val="en-US" w:eastAsia="zh-CN"/>
              </w:rPr>
            </w:pPr>
            <w:r>
              <w:rPr>
                <w:rFonts w:hint="eastAsia" w:cs="宋体"/>
                <w:sz w:val="20"/>
                <w:szCs w:val="20"/>
                <w:highlight w:val="none"/>
                <w:u w:val="none"/>
                <w:lang w:val="en-US" w:eastAsia="zh-CN"/>
              </w:rPr>
              <w:t>本次招标要求投标人须具备中华人民共和国境内依法注册、具有独立法人资格，且具有增值税一般纳税人资格资质，并具有与本招标项目相应的供货能力（具体要求详见招标文件）</w:t>
            </w:r>
          </w:p>
          <w:p>
            <w:pPr>
              <w:adjustRightInd w:val="0"/>
              <w:snapToGrid w:val="0"/>
              <w:spacing w:line="360" w:lineRule="exact"/>
              <w:ind w:firstLine="0" w:firstLineChars="0"/>
              <w:rPr>
                <w:rFonts w:hint="eastAsia" w:ascii="宋体" w:hAnsi="宋体" w:eastAsia="宋体" w:cs="宋体"/>
                <w:sz w:val="20"/>
                <w:szCs w:val="20"/>
                <w:highlight w:val="none"/>
                <w:u w:val="none"/>
                <w:lang w:eastAsia="zh-CN"/>
              </w:rPr>
            </w:pPr>
            <w:r>
              <w:rPr>
                <w:rFonts w:hint="eastAsia" w:cs="宋体"/>
                <w:sz w:val="20"/>
                <w:szCs w:val="20"/>
                <w:highlight w:val="none"/>
                <w:u w:val="none"/>
                <w:lang w:val="en-US" w:eastAsia="zh-CN"/>
              </w:rPr>
              <w:t>（</w:t>
            </w:r>
            <w:r>
              <w:rPr>
                <w:rFonts w:hint="eastAsia" w:ascii="宋体" w:hAnsi="宋体"/>
                <w:color w:val="auto"/>
                <w:sz w:val="21"/>
                <w:szCs w:val="21"/>
                <w:highlight w:val="none"/>
                <w:lang w:val="en-US" w:eastAsia="zh-CN"/>
              </w:rPr>
              <w:t>提供</w:t>
            </w:r>
            <w:r>
              <w:rPr>
                <w:rFonts w:hint="eastAsia" w:ascii="宋体" w:hAnsi="宋体"/>
                <w:color w:val="auto"/>
                <w:sz w:val="21"/>
                <w:szCs w:val="21"/>
                <w:highlight w:val="none"/>
              </w:rPr>
              <w:t>有效的营业执照副本</w:t>
            </w:r>
            <w:r>
              <w:rPr>
                <w:rFonts w:hint="eastAsia" w:ascii="宋体" w:hAnsi="宋体"/>
                <w:color w:val="auto"/>
                <w:sz w:val="21"/>
                <w:szCs w:val="21"/>
                <w:highlight w:val="none"/>
                <w:lang w:val="en-US" w:eastAsia="zh-CN"/>
              </w:rPr>
              <w:t>和</w:t>
            </w:r>
            <w:r>
              <w:rPr>
                <w:rFonts w:hint="eastAsia" w:ascii="宋体" w:hAnsi="宋体"/>
                <w:color w:val="auto"/>
                <w:sz w:val="21"/>
                <w:szCs w:val="21"/>
                <w:highlight w:val="none"/>
              </w:rPr>
              <w:t>增值税一般纳税人资格查询网站截图</w:t>
            </w:r>
            <w:r>
              <w:rPr>
                <w:rFonts w:hint="eastAsia" w:ascii="宋体" w:hAnsi="宋体"/>
                <w:color w:val="auto"/>
                <w:sz w:val="21"/>
                <w:szCs w:val="21"/>
                <w:highlight w:val="none"/>
                <w:lang w:eastAsia="zh-CN"/>
              </w:rPr>
              <w:t>。）</w:t>
            </w:r>
          </w:p>
        </w:tc>
        <w:tc>
          <w:tcPr>
            <w:tcW w:w="1909" w:type="dxa"/>
            <w:noWrap w:val="0"/>
            <w:vAlign w:val="center"/>
          </w:tcPr>
          <w:p>
            <w:pPr>
              <w:adjustRightInd w:val="0"/>
              <w:snapToGrid w:val="0"/>
              <w:spacing w:line="240" w:lineRule="auto"/>
              <w:ind w:firstLine="0" w:firstLineChars="0"/>
              <w:jc w:val="both"/>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u w:val="none"/>
                <w:lang w:val="en-US" w:eastAsia="zh-CN"/>
              </w:rPr>
              <w:t>1.2</w:t>
            </w:r>
          </w:p>
        </w:tc>
        <w:tc>
          <w:tcPr>
            <w:tcW w:w="6974" w:type="dxa"/>
            <w:noWrap w:val="0"/>
            <w:vAlign w:val="center"/>
          </w:tcPr>
          <w:p>
            <w:pPr>
              <w:adjustRightInd w:val="0"/>
              <w:snapToGrid w:val="0"/>
              <w:spacing w:line="360" w:lineRule="exact"/>
              <w:ind w:firstLine="0" w:firstLineChars="0"/>
              <w:rPr>
                <w:rFonts w:hint="eastAsia" w:cs="宋体"/>
                <w:sz w:val="20"/>
                <w:szCs w:val="20"/>
                <w:highlight w:val="none"/>
                <w:u w:val="none"/>
                <w:lang w:val="en-US" w:eastAsia="zh-CN"/>
              </w:rPr>
            </w:pPr>
            <w:r>
              <w:rPr>
                <w:rFonts w:hint="eastAsia" w:cs="宋体"/>
                <w:sz w:val="20"/>
                <w:szCs w:val="20"/>
                <w:highlight w:val="none"/>
                <w:u w:val="none"/>
                <w:lang w:val="en-US" w:eastAsia="zh-CN"/>
              </w:rPr>
              <w:t>本次招标不接受联合体投标。联合体投标的，应满足下列要求：/。</w:t>
            </w:r>
          </w:p>
        </w:tc>
        <w:tc>
          <w:tcPr>
            <w:tcW w:w="1909" w:type="dxa"/>
            <w:noWrap w:val="0"/>
            <w:vAlign w:val="center"/>
          </w:tcPr>
          <w:p>
            <w:pPr>
              <w:adjustRightInd w:val="0"/>
              <w:snapToGrid w:val="0"/>
              <w:spacing w:line="240" w:lineRule="auto"/>
              <w:ind w:firstLine="0" w:firstLineChars="0"/>
              <w:jc w:val="center"/>
              <w:rPr>
                <w:rFonts w:hint="eastAsia" w:hAnsi="宋体" w:eastAsia="宋体"/>
                <w:color w:val="auto"/>
                <w:sz w:val="20"/>
                <w:szCs w:val="20"/>
                <w:highlight w:val="none"/>
                <w:lang w:val="en-US" w:eastAsia="zh-CN"/>
              </w:rPr>
            </w:pPr>
            <w:r>
              <w:rPr>
                <w:rFonts w:hint="eastAsia"/>
                <w:color w:val="auto"/>
                <w:sz w:val="20"/>
                <w:szCs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default"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u w:val="none"/>
                <w:lang w:val="en-US" w:eastAsia="zh-CN"/>
              </w:rPr>
              <w:t>1.3</w:t>
            </w:r>
          </w:p>
        </w:tc>
        <w:tc>
          <w:tcPr>
            <w:tcW w:w="6974" w:type="dxa"/>
            <w:noWrap w:val="0"/>
            <w:vAlign w:val="center"/>
          </w:tcPr>
          <w:p>
            <w:pPr>
              <w:adjustRightInd w:val="0"/>
              <w:snapToGrid w:val="0"/>
              <w:spacing w:line="360" w:lineRule="exact"/>
              <w:ind w:left="0" w:leftChars="0" w:right="0" w:rightChars="0" w:firstLine="0" w:firstLineChars="0"/>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类似项目业绩要求：自2019年7月1日至投标截止日止(以投运日期为准),投标人应至少具有2台柴油发电机组（单台高压10.5kV柴油发电机组功率≥1800kW)的投运业绩，且至少运行一年。</w:t>
            </w:r>
          </w:p>
          <w:p>
            <w:pPr>
              <w:adjustRightInd w:val="0"/>
              <w:snapToGrid w:val="0"/>
              <w:spacing w:line="360" w:lineRule="exact"/>
              <w:ind w:left="0" w:leftChars="0" w:right="0" w:rightChars="0" w:firstLine="0" w:firstLineChars="0"/>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注：投标人提供业绩证明材料至少应当包括合同买卖双方的盖章页和能清晰显示项目名称、合同签订日期、供货范围、数量型号、关键技术参数的合同主要页和盖章或签字的用户证明材料（如:验收证明、使用证明、回访记录或其他能证明合同标的物已成功投运1年及以上的资料）等复印件，并加盖投标人公章。</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default"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u w:val="none"/>
                <w:lang w:val="en-US" w:eastAsia="zh-CN"/>
              </w:rPr>
              <w:t>1.4</w:t>
            </w:r>
          </w:p>
        </w:tc>
        <w:tc>
          <w:tcPr>
            <w:tcW w:w="6974" w:type="dxa"/>
            <w:noWrap w:val="0"/>
            <w:vAlign w:val="center"/>
          </w:tcPr>
          <w:p>
            <w:pPr>
              <w:adjustRightInd w:val="0"/>
              <w:snapToGrid w:val="0"/>
              <w:spacing w:line="360" w:lineRule="exact"/>
              <w:ind w:left="0" w:leftChars="0" w:right="0" w:rightChars="0" w:firstLine="0" w:firstLineChars="0"/>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本次招标</w:t>
            </w:r>
            <w:bookmarkStart w:id="0" w:name="EB46dfafe62ff743db8047db45134ec2f6"/>
            <w:r>
              <w:rPr>
                <w:rFonts w:hint="eastAsia" w:ascii="宋体" w:hAnsi="宋体" w:eastAsia="宋体" w:cs="宋体"/>
                <w:sz w:val="20"/>
                <w:szCs w:val="20"/>
                <w:highlight w:val="none"/>
                <w:u w:val="none"/>
                <w:lang w:eastAsia="zh-CN"/>
              </w:rPr>
              <w:t>接受</w:t>
            </w:r>
            <w:bookmarkEnd w:id="0"/>
            <w:r>
              <w:rPr>
                <w:rFonts w:hint="eastAsia" w:ascii="宋体" w:hAnsi="宋体" w:eastAsia="宋体" w:cs="宋体"/>
                <w:sz w:val="20"/>
                <w:szCs w:val="20"/>
                <w:highlight w:val="none"/>
                <w:u w:val="none"/>
                <w:lang w:eastAsia="zh-CN"/>
              </w:rPr>
              <w:t>代理商或经销商投标。代理商或经销商投标的须按照招标文件的具体要求，提供相应品目号投标货物主机品牌制造商的授权函（一个制造商对同一品牌同一型号的货物，仅能委托一个代理商参加投标，且制造商与代理商不能同时参加投标，否则将否决其所有投标）</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default" w:ascii="宋体" w:hAnsi="宋体" w:eastAsia="宋体" w:cs="宋体"/>
                <w:b w:val="0"/>
                <w:color w:val="auto"/>
                <w:sz w:val="20"/>
                <w:szCs w:val="20"/>
                <w:highlight w:val="none"/>
                <w:lang w:val="en-US" w:eastAsia="zh-CN" w:bidi="ar-SA"/>
              </w:rPr>
            </w:pPr>
            <w:r>
              <w:rPr>
                <w:rFonts w:hint="eastAsia" w:ascii="宋体" w:hAnsi="宋体" w:eastAsia="宋体" w:cs="宋体"/>
                <w:b w:val="0"/>
                <w:color w:val="auto"/>
                <w:sz w:val="20"/>
                <w:szCs w:val="20"/>
                <w:highlight w:val="none"/>
                <w:lang w:val="en-US" w:eastAsia="zh-CN"/>
              </w:rPr>
              <w:t>1.5</w:t>
            </w:r>
          </w:p>
        </w:tc>
        <w:tc>
          <w:tcPr>
            <w:tcW w:w="6974" w:type="dxa"/>
            <w:noWrap w:val="0"/>
            <w:vAlign w:val="center"/>
          </w:tcPr>
          <w:p>
            <w:pPr>
              <w:adjustRightInd w:val="0"/>
              <w:snapToGrid w:val="0"/>
              <w:spacing w:line="360" w:lineRule="exact"/>
              <w:ind w:left="0" w:leftChars="0" w:right="0" w:rightChars="0" w:firstLine="0" w:firstLineChars="0"/>
              <w:rPr>
                <w:rFonts w:hint="eastAsia" w:ascii="宋体" w:hAnsi="宋体" w:eastAsia="宋体" w:cs="宋体"/>
                <w:sz w:val="20"/>
                <w:szCs w:val="20"/>
                <w:highlight w:val="none"/>
                <w:u w:val="none"/>
                <w:lang w:eastAsia="zh-CN"/>
              </w:rPr>
            </w:pPr>
            <w:r>
              <w:rPr>
                <w:rFonts w:hint="eastAsia" w:ascii="宋体" w:hAnsi="宋体" w:eastAsia="宋体" w:cs="宋体"/>
                <w:spacing w:val="0"/>
                <w:sz w:val="20"/>
                <w:szCs w:val="20"/>
                <w:highlight w:val="none"/>
                <w:u w:val="none"/>
                <w:lang w:eastAsia="zh-CN"/>
              </w:rPr>
              <w:t>投标人被列为失信主体或投标人法人代表被列为失信被执行人，不得参加投标；联合体投标的(如有)，联合体中有一个或一个以上成员属于失信主体或法人代表被列为失信被执行人的，不得参与投标。</w:t>
            </w:r>
            <w:r>
              <w:rPr>
                <w:rFonts w:hint="eastAsia" w:cs="宋体"/>
                <w:spacing w:val="0"/>
                <w:sz w:val="20"/>
                <w:szCs w:val="20"/>
                <w:highlight w:val="none"/>
                <w:u w:val="none"/>
                <w:lang w:eastAsia="zh-CN"/>
              </w:rPr>
              <w:t>（</w:t>
            </w:r>
            <w:r>
              <w:rPr>
                <w:rFonts w:hint="eastAsia" w:cs="宋体"/>
                <w:spacing w:val="0"/>
                <w:sz w:val="20"/>
                <w:szCs w:val="20"/>
                <w:highlight w:val="none"/>
                <w:u w:val="none"/>
                <w:lang w:val="en-US" w:eastAsia="zh-CN"/>
              </w:rPr>
              <w:t>投标函）</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default" w:ascii="宋体" w:hAnsi="宋体" w:eastAsia="宋体" w:cs="宋体"/>
                <w:b w:val="0"/>
                <w:color w:val="auto"/>
                <w:sz w:val="20"/>
                <w:szCs w:val="20"/>
                <w:highlight w:val="none"/>
                <w:lang w:val="en-US" w:eastAsia="zh-CN" w:bidi="ar-SA"/>
              </w:rPr>
            </w:pPr>
            <w:r>
              <w:rPr>
                <w:rFonts w:hint="eastAsia" w:cs="宋体"/>
                <w:b w:val="0"/>
                <w:color w:val="auto"/>
                <w:sz w:val="20"/>
                <w:szCs w:val="20"/>
                <w:highlight w:val="none"/>
                <w:lang w:val="en-US" w:eastAsia="zh-CN"/>
              </w:rPr>
              <w:t>1.6</w:t>
            </w:r>
          </w:p>
        </w:tc>
        <w:tc>
          <w:tcPr>
            <w:tcW w:w="6974" w:type="dxa"/>
            <w:noWrap w:val="0"/>
            <w:vAlign w:val="center"/>
          </w:tcPr>
          <w:p>
            <w:pPr>
              <w:adjustRightInd w:val="0"/>
              <w:snapToGrid w:val="0"/>
              <w:spacing w:line="360" w:lineRule="exact"/>
              <w:ind w:left="0" w:leftChars="0" w:right="0" w:rightChars="0" w:firstLine="0" w:firstLineChars="0"/>
              <w:rPr>
                <w:rFonts w:hint="eastAsia" w:ascii="宋体" w:hAnsi="宋体" w:eastAsia="宋体" w:cs="宋体"/>
                <w:b w:val="0"/>
                <w:sz w:val="20"/>
                <w:szCs w:val="20"/>
                <w:highlight w:val="none"/>
                <w:u w:val="none"/>
                <w:lang w:eastAsia="zh-CN"/>
              </w:rPr>
            </w:pPr>
            <w:r>
              <w:rPr>
                <w:rFonts w:hint="eastAsia" w:ascii="宋体" w:hAnsi="宋体" w:eastAsia="宋体" w:cs="宋体"/>
                <w:sz w:val="20"/>
                <w:szCs w:val="20"/>
                <w:highlight w:val="none"/>
                <w:u w:val="none"/>
                <w:lang w:eastAsia="zh-CN"/>
              </w:rPr>
              <w:t>投标人若非产品的制造商（成套商）需具有投标产品所配置的柴油发动机制造商的OEM证书。同时，投标时需提供柴油发动机、交流发电机制造商针对本项目的产品质量及售后服务的承诺函（OEM证书</w:t>
            </w:r>
            <w:r>
              <w:rPr>
                <w:rFonts w:hint="eastAsia" w:cs="宋体"/>
                <w:sz w:val="20"/>
                <w:szCs w:val="20"/>
                <w:highlight w:val="none"/>
                <w:u w:val="none"/>
                <w:lang w:val="en-US" w:eastAsia="zh-CN"/>
              </w:rPr>
              <w:t>和承诺函</w:t>
            </w:r>
            <w:r>
              <w:rPr>
                <w:rFonts w:hint="eastAsia" w:ascii="宋体" w:hAnsi="宋体" w:eastAsia="宋体" w:cs="宋体"/>
                <w:sz w:val="20"/>
                <w:szCs w:val="20"/>
                <w:highlight w:val="none"/>
                <w:u w:val="none"/>
                <w:lang w:eastAsia="zh-CN"/>
              </w:rPr>
              <w:t>格式</w:t>
            </w:r>
            <w:r>
              <w:rPr>
                <w:rFonts w:hint="eastAsia" w:ascii="宋体" w:hAnsi="宋体" w:eastAsia="宋体" w:cs="宋体"/>
                <w:sz w:val="20"/>
                <w:szCs w:val="20"/>
                <w:highlight w:val="none"/>
                <w:u w:val="none"/>
                <w:lang w:val="en-US" w:eastAsia="zh-CN"/>
              </w:rPr>
              <w:t>自拟</w:t>
            </w:r>
            <w:r>
              <w:rPr>
                <w:rFonts w:hint="eastAsia" w:ascii="宋体" w:hAnsi="宋体" w:eastAsia="宋体" w:cs="宋体"/>
                <w:sz w:val="20"/>
                <w:szCs w:val="20"/>
                <w:highlight w:val="none"/>
                <w:u w:val="none"/>
                <w:lang w:eastAsia="zh-CN"/>
              </w:rPr>
              <w:t>）。</w:t>
            </w:r>
          </w:p>
        </w:tc>
        <w:tc>
          <w:tcPr>
            <w:tcW w:w="1909" w:type="dxa"/>
            <w:noWrap w:val="0"/>
            <w:vAlign w:val="center"/>
          </w:tcPr>
          <w:p>
            <w:pPr>
              <w:adjustRightInd w:val="0"/>
              <w:snapToGrid w:val="0"/>
              <w:spacing w:line="240" w:lineRule="auto"/>
              <w:ind w:firstLine="0" w:firstLineChars="0"/>
              <w:jc w:val="center"/>
              <w:rPr>
                <w:rFonts w:hint="eastAsia"/>
                <w:b/>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71" w:type="dxa"/>
            <w:noWrap w:val="0"/>
            <w:vAlign w:val="center"/>
          </w:tcPr>
          <w:p>
            <w:pPr>
              <w:adjustRightInd w:val="0"/>
              <w:snapToGrid w:val="0"/>
              <w:spacing w:line="360" w:lineRule="exact"/>
              <w:ind w:left="0" w:leftChars="0" w:right="0" w:rightChars="0" w:firstLine="0" w:firstLineChars="0"/>
              <w:jc w:val="center"/>
              <w:rPr>
                <w:rFonts w:hint="default" w:ascii="宋体" w:hAnsi="宋体" w:eastAsia="宋体" w:cs="宋体"/>
                <w:b w:val="0"/>
                <w:color w:val="auto"/>
                <w:sz w:val="20"/>
                <w:szCs w:val="20"/>
                <w:highlight w:val="none"/>
                <w:lang w:val="en-US" w:eastAsia="zh-CN" w:bidi="ar-SA"/>
              </w:rPr>
            </w:pPr>
            <w:r>
              <w:rPr>
                <w:rFonts w:hint="eastAsia" w:cs="宋体"/>
                <w:b w:val="0"/>
                <w:color w:val="auto"/>
                <w:sz w:val="20"/>
                <w:szCs w:val="20"/>
                <w:highlight w:val="none"/>
                <w:lang w:val="en-US" w:eastAsia="zh-CN"/>
              </w:rPr>
              <w:t>1.7</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投标人至投标截止时间前未被最高人民法院在“信用中国”网站（www.creditchina.gov.cn）中列入失信被执行人名单。</w:t>
            </w:r>
            <w:r>
              <w:rPr>
                <w:rFonts w:hint="eastAsia" w:cs="宋体"/>
                <w:sz w:val="20"/>
                <w:szCs w:val="20"/>
                <w:highlight w:val="none"/>
                <w:u w:val="none"/>
                <w:lang w:eastAsia="zh-CN"/>
              </w:rPr>
              <w:t>（</w:t>
            </w:r>
            <w:r>
              <w:rPr>
                <w:rFonts w:hint="eastAsia" w:hAnsi="宋体" w:eastAsia="宋体" w:cs="宋体"/>
                <w:strike w:val="0"/>
                <w:sz w:val="20"/>
                <w:szCs w:val="20"/>
                <w:highlight w:val="none"/>
                <w:u w:val="none"/>
                <w:lang w:eastAsia="zh-CN"/>
              </w:rPr>
              <w:t>网站查询截图）</w:t>
            </w:r>
          </w:p>
        </w:tc>
        <w:tc>
          <w:tcPr>
            <w:tcW w:w="1909" w:type="dxa"/>
            <w:noWrap w:val="0"/>
            <w:vAlign w:val="center"/>
          </w:tcPr>
          <w:p>
            <w:pPr>
              <w:adjustRightInd w:val="0"/>
              <w:snapToGrid w:val="0"/>
              <w:spacing w:line="240" w:lineRule="auto"/>
              <w:ind w:firstLine="0" w:firstLineChars="0"/>
              <w:jc w:val="center"/>
              <w:rPr>
                <w:rFonts w:hint="eastAsia" w:hAnsi="宋体"/>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71" w:type="dxa"/>
            <w:noWrap w:val="0"/>
            <w:vAlign w:val="center"/>
          </w:tcPr>
          <w:p>
            <w:pPr>
              <w:adjustRightInd w:val="0"/>
              <w:snapToGrid w:val="0"/>
              <w:spacing w:line="360" w:lineRule="exact"/>
              <w:ind w:firstLine="0" w:firstLineChars="0"/>
              <w:jc w:val="center"/>
              <w:rPr>
                <w:rFonts w:hint="default" w:cs="宋体"/>
                <w:b w:val="0"/>
                <w:color w:val="auto"/>
                <w:sz w:val="20"/>
                <w:szCs w:val="20"/>
                <w:highlight w:val="none"/>
                <w:lang w:val="en-US" w:eastAsia="zh-CN"/>
              </w:rPr>
            </w:pPr>
            <w:r>
              <w:rPr>
                <w:rFonts w:hint="eastAsia" w:cs="宋体"/>
                <w:b w:val="0"/>
                <w:color w:val="auto"/>
                <w:sz w:val="20"/>
                <w:szCs w:val="20"/>
                <w:highlight w:val="none"/>
                <w:lang w:val="en-US" w:eastAsia="zh-CN"/>
              </w:rPr>
              <w:t>1.8</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与招标人存在利害关系可能影响招标公正性的法人、其他组织或者个人，不得参加投标。单位负责人为同一人或者存在控股、管理关系的不同单位，不得同时参加投标。违反以上规定的，相关投标均无效。</w:t>
            </w:r>
            <w:r>
              <w:rPr>
                <w:rFonts w:hint="eastAsia" w:cs="宋体"/>
                <w:spacing w:val="0"/>
                <w:sz w:val="20"/>
                <w:szCs w:val="20"/>
                <w:highlight w:val="none"/>
                <w:u w:val="none"/>
                <w:lang w:eastAsia="zh-CN"/>
              </w:rPr>
              <w:t>（</w:t>
            </w:r>
            <w:r>
              <w:rPr>
                <w:rFonts w:hint="eastAsia" w:cs="宋体"/>
                <w:spacing w:val="0"/>
                <w:sz w:val="20"/>
                <w:szCs w:val="20"/>
                <w:highlight w:val="none"/>
                <w:u w:val="none"/>
                <w:lang w:val="en-US" w:eastAsia="zh-CN"/>
              </w:rPr>
              <w:t>投标函）</w:t>
            </w:r>
          </w:p>
        </w:tc>
        <w:tc>
          <w:tcPr>
            <w:tcW w:w="1909" w:type="dxa"/>
            <w:noWrap w:val="0"/>
            <w:vAlign w:val="center"/>
          </w:tcPr>
          <w:p>
            <w:pPr>
              <w:adjustRightInd w:val="0"/>
              <w:snapToGrid w:val="0"/>
              <w:spacing w:line="240" w:lineRule="auto"/>
              <w:ind w:firstLine="0" w:firstLineChars="0"/>
              <w:jc w:val="center"/>
              <w:rPr>
                <w:rFonts w:hint="eastAsia" w:hAnsi="宋体"/>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2</w:t>
            </w:r>
          </w:p>
        </w:tc>
        <w:tc>
          <w:tcPr>
            <w:tcW w:w="6974" w:type="dxa"/>
            <w:noWrap w:val="0"/>
            <w:vAlign w:val="center"/>
          </w:tcPr>
          <w:p>
            <w:pPr>
              <w:adjustRightInd w:val="0"/>
              <w:snapToGrid w:val="0"/>
              <w:spacing w:line="360" w:lineRule="exact"/>
              <w:ind w:firstLine="0" w:firstLineChars="0"/>
              <w:jc w:val="center"/>
              <w:rPr>
                <w:rFonts w:hint="default" w:ascii="宋体" w:hAnsi="宋体" w:eastAsia="宋体" w:cs="宋体"/>
                <w:sz w:val="20"/>
                <w:szCs w:val="20"/>
                <w:highlight w:val="none"/>
                <w:u w:val="none"/>
                <w:lang w:eastAsia="zh-CN"/>
              </w:rPr>
            </w:pPr>
            <w:r>
              <w:rPr>
                <w:rFonts w:hint="eastAsia" w:ascii="宋体" w:hAnsi="宋体" w:eastAsia="宋体" w:cs="宋体"/>
                <w:b/>
                <w:bCs/>
                <w:sz w:val="20"/>
                <w:szCs w:val="20"/>
                <w:highlight w:val="none"/>
                <w:u w:val="none"/>
                <w:lang w:val="en-US" w:eastAsia="zh-CN"/>
              </w:rPr>
              <w:t>商务部分</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2.1</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对招标文件商务条款的响应程度</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2.2</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报价完整性、合理性的综合评价</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2.3</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销售及运行业绩</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w:t>
            </w:r>
          </w:p>
        </w:tc>
        <w:tc>
          <w:tcPr>
            <w:tcW w:w="6974" w:type="dxa"/>
            <w:noWrap w:val="0"/>
            <w:vAlign w:val="center"/>
          </w:tcPr>
          <w:p>
            <w:pPr>
              <w:adjustRightInd w:val="0"/>
              <w:snapToGrid w:val="0"/>
              <w:spacing w:line="360" w:lineRule="exact"/>
              <w:ind w:firstLine="0" w:firstLineChars="0"/>
              <w:jc w:val="center"/>
              <w:rPr>
                <w:rFonts w:hint="default" w:ascii="宋体" w:hAnsi="宋体" w:eastAsia="宋体" w:cs="宋体"/>
                <w:sz w:val="20"/>
                <w:szCs w:val="20"/>
                <w:highlight w:val="none"/>
                <w:u w:val="none"/>
                <w:lang w:eastAsia="zh-CN"/>
              </w:rPr>
            </w:pPr>
            <w:r>
              <w:rPr>
                <w:rFonts w:hint="eastAsia" w:ascii="宋体" w:hAnsi="宋体" w:eastAsia="宋体" w:cs="宋体"/>
                <w:b/>
                <w:bCs/>
                <w:sz w:val="20"/>
                <w:szCs w:val="20"/>
                <w:highlight w:val="none"/>
                <w:u w:val="none"/>
                <w:lang w:val="en-US" w:eastAsia="zh-CN"/>
              </w:rPr>
              <w:t>技术部分</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3.1</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技术条款的响应性</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3.2</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设备特性及性能保证综合评价</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3.3</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主要设备配置综合评价</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971" w:type="dxa"/>
            <w:noWrap w:val="0"/>
            <w:vAlign w:val="center"/>
          </w:tcPr>
          <w:p>
            <w:pPr>
              <w:adjustRightInd w:val="0"/>
              <w:snapToGrid w:val="0"/>
              <w:spacing w:line="360" w:lineRule="exact"/>
              <w:ind w:firstLine="0" w:firstLineChars="0"/>
              <w:jc w:val="center"/>
              <w:rPr>
                <w:rFonts w:hint="default"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3.4</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附属设备、元器件及材料配置综合评价</w:t>
            </w:r>
          </w:p>
        </w:tc>
        <w:tc>
          <w:tcPr>
            <w:tcW w:w="1909" w:type="dxa"/>
            <w:noWrap w:val="0"/>
            <w:vAlign w:val="center"/>
          </w:tcPr>
          <w:p>
            <w:pPr>
              <w:adjustRightInd w:val="0"/>
              <w:snapToGrid w:val="0"/>
              <w:spacing w:line="240" w:lineRule="auto"/>
              <w:ind w:firstLine="0" w:firstLineChars="0"/>
              <w:jc w:val="center"/>
              <w:rPr>
                <w:rFonts w:hint="eastAsia"/>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71" w:type="dxa"/>
            <w:noWrap w:val="0"/>
            <w:vAlign w:val="center"/>
          </w:tcPr>
          <w:p>
            <w:pPr>
              <w:adjustRightInd w:val="0"/>
              <w:snapToGrid w:val="0"/>
              <w:spacing w:line="360" w:lineRule="exact"/>
              <w:ind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3.5</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交货进度保证措施、安装方案合理性的综合评价</w:t>
            </w:r>
          </w:p>
        </w:tc>
        <w:tc>
          <w:tcPr>
            <w:tcW w:w="1909" w:type="dxa"/>
            <w:noWrap w:val="0"/>
            <w:vAlign w:val="center"/>
          </w:tcPr>
          <w:p>
            <w:pPr>
              <w:adjustRightInd w:val="0"/>
              <w:snapToGrid w:val="0"/>
              <w:spacing w:line="240" w:lineRule="auto"/>
              <w:ind w:left="0" w:leftChars="0" w:right="0" w:rightChars="0" w:firstLine="0" w:firstLineChars="0"/>
              <w:jc w:val="center"/>
              <w:rPr>
                <w:rFonts w:hint="eastAsia" w:hAnsi="宋体"/>
                <w:color w:val="auto"/>
                <w:sz w:val="20"/>
                <w:szCs w:val="20"/>
                <w:highlight w:val="none"/>
              </w:rPr>
            </w:pPr>
            <w:r>
              <w:rPr>
                <w:rFonts w:hint="eastAsia" w:hAnsi="宋体"/>
                <w:color w:val="auto"/>
                <w:sz w:val="20"/>
                <w:szCs w:val="20"/>
                <w:highlight w:val="none"/>
              </w:rPr>
              <w:t>见第  页-第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971" w:type="dxa"/>
            <w:noWrap w:val="0"/>
            <w:vAlign w:val="center"/>
          </w:tcPr>
          <w:p>
            <w:pPr>
              <w:adjustRightInd w:val="0"/>
              <w:snapToGrid w:val="0"/>
              <w:spacing w:line="360" w:lineRule="exact"/>
              <w:ind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3.6</w:t>
            </w:r>
          </w:p>
        </w:tc>
        <w:tc>
          <w:tcPr>
            <w:tcW w:w="6974" w:type="dxa"/>
            <w:noWrap w:val="0"/>
            <w:vAlign w:val="center"/>
          </w:tcPr>
          <w:p>
            <w:pPr>
              <w:adjustRightInd w:val="0"/>
              <w:snapToGrid w:val="0"/>
              <w:spacing w:line="360" w:lineRule="exact"/>
              <w:ind w:left="0" w:leftChars="0" w:right="0" w:rightChars="0" w:firstLine="0" w:firstLineChars="0"/>
              <w:jc w:val="left"/>
              <w:rPr>
                <w:rFonts w:hint="eastAsia" w:ascii="宋体" w:hAnsi="宋体" w:eastAsia="宋体" w:cs="宋体"/>
                <w:sz w:val="20"/>
                <w:szCs w:val="20"/>
                <w:highlight w:val="none"/>
                <w:u w:val="none"/>
                <w:lang w:eastAsia="zh-CN"/>
              </w:rPr>
            </w:pPr>
            <w:r>
              <w:rPr>
                <w:rFonts w:hint="eastAsia" w:ascii="宋体" w:hAnsi="宋体" w:eastAsia="宋体" w:cs="宋体"/>
                <w:sz w:val="20"/>
                <w:szCs w:val="20"/>
                <w:highlight w:val="none"/>
                <w:u w:val="none"/>
                <w:lang w:eastAsia="zh-CN"/>
              </w:rPr>
              <w:t>质量保证措施及相关技术服务措施的综合评价</w:t>
            </w:r>
          </w:p>
        </w:tc>
        <w:tc>
          <w:tcPr>
            <w:tcW w:w="1909" w:type="dxa"/>
            <w:noWrap w:val="0"/>
            <w:vAlign w:val="center"/>
          </w:tcPr>
          <w:p>
            <w:pPr>
              <w:adjustRightInd w:val="0"/>
              <w:snapToGrid w:val="0"/>
              <w:spacing w:line="240" w:lineRule="auto"/>
              <w:ind w:left="0" w:leftChars="0" w:right="0" w:rightChars="0" w:firstLine="0" w:firstLineChars="0"/>
              <w:jc w:val="center"/>
              <w:rPr>
                <w:rFonts w:hint="eastAsia" w:hAnsi="宋体"/>
                <w:color w:val="auto"/>
                <w:sz w:val="20"/>
                <w:szCs w:val="20"/>
                <w:highlight w:val="none"/>
              </w:rPr>
            </w:pPr>
            <w:r>
              <w:rPr>
                <w:rFonts w:hint="eastAsia" w:hAnsi="宋体"/>
                <w:color w:val="auto"/>
                <w:sz w:val="20"/>
                <w:szCs w:val="20"/>
                <w:highlight w:val="none"/>
              </w:rPr>
              <w:t>见第  页-第  页</w:t>
            </w:r>
          </w:p>
        </w:tc>
      </w:tr>
    </w:tbl>
    <w:p>
      <w:pPr>
        <w:spacing w:after="0" w:line="480" w:lineRule="auto"/>
        <w:ind w:left="777"/>
        <w:jc w:val="left"/>
        <w:rPr>
          <w:rFonts w:hint="eastAsia" w:ascii="宋体" w:hAnsi="宋体" w:eastAsia="宋体" w:cs="宋体"/>
          <w:sz w:val="22"/>
          <w:highlight w:val="none"/>
        </w:rPr>
        <w:sectPr>
          <w:pgSz w:w="11906" w:h="16838"/>
          <w:pgMar w:top="1134" w:right="1134" w:bottom="1134" w:left="1134" w:header="0" w:footer="886" w:gutter="0"/>
          <w:pgNumType w:fmt="decimal"/>
          <w:cols w:space="0" w:num="1"/>
          <w:rtlGutter w:val="0"/>
          <w:docGrid w:linePitch="0" w:charSpace="0"/>
        </w:sectPr>
      </w:pPr>
    </w:p>
    <w:p>
      <w:pPr>
        <w:pStyle w:val="10"/>
        <w:spacing w:before="1" w:line="399" w:lineRule="auto"/>
        <w:ind w:right="0"/>
        <w:rPr>
          <w:rFonts w:hint="eastAsia" w:ascii="宋体" w:hAnsi="宋体" w:eastAsia="宋体" w:cs="宋体"/>
          <w:highlight w:val="none"/>
          <w:lang w:eastAsia="zh-CN"/>
        </w:rPr>
      </w:pPr>
      <w:r>
        <w:rPr>
          <w:rFonts w:hint="eastAsia" w:ascii="宋体" w:hAnsi="宋体" w:eastAsia="宋体" w:cs="宋体"/>
          <w:highlight w:val="none"/>
        </w:rPr>
        <w:t>若采用免缴投标保证金承诺函，格式如下</w:t>
      </w:r>
      <w:r>
        <w:rPr>
          <w:rFonts w:hint="eastAsia" w:cs="宋体"/>
          <w:highlight w:val="none"/>
          <w:lang w:eastAsia="zh-CN"/>
        </w:rPr>
        <w:t>：</w:t>
      </w:r>
    </w:p>
    <w:p>
      <w:pPr>
        <w:pStyle w:val="10"/>
        <w:rPr>
          <w:rFonts w:hint="eastAsia" w:ascii="宋体" w:hAnsi="宋体" w:eastAsia="宋体" w:cs="宋体"/>
          <w:sz w:val="20"/>
          <w:highlight w:val="none"/>
        </w:rPr>
      </w:pPr>
    </w:p>
    <w:p>
      <w:pPr>
        <w:keepNext w:val="0"/>
        <w:keepLines w:val="0"/>
        <w:widowControl/>
        <w:suppressLineNumbers w:val="0"/>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免缴投标保证金承诺函</w:t>
      </w:r>
      <w:r>
        <w:rPr>
          <w:rFonts w:hint="eastAsia" w:cs="宋体"/>
          <w:b/>
          <w:bCs/>
          <w:color w:val="000000"/>
          <w:kern w:val="0"/>
          <w:sz w:val="24"/>
          <w:szCs w:val="24"/>
          <w:highlight w:val="none"/>
          <w:lang w:val="en-US" w:eastAsia="zh-CN" w:bidi="ar"/>
        </w:rPr>
        <w:t>（若有）</w:t>
      </w:r>
      <w:r>
        <w:rPr>
          <w:rFonts w:hint="eastAsia" w:ascii="宋体" w:hAnsi="宋体" w:eastAsia="宋体" w:cs="宋体"/>
          <w:color w:val="000000"/>
          <w:kern w:val="0"/>
          <w:sz w:val="24"/>
          <w:szCs w:val="24"/>
          <w:highlight w:val="none"/>
          <w:lang w:val="en-US" w:eastAsia="zh-CN" w:bidi="ar"/>
        </w:rPr>
        <w:t xml:space="preserve"> </w:t>
      </w:r>
    </w:p>
    <w:p>
      <w:pPr>
        <w:keepNext w:val="0"/>
        <w:keepLines w:val="0"/>
        <w:widowControl/>
        <w:suppressLineNumbers w:val="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（招标人名称）： </w:t>
      </w:r>
    </w:p>
    <w:p>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我司参加 （招标项目名称及标段） 投标活动，符合招标文件规定的允许免缴投标保证金第 种情形，现免缴投标保证金参与投标。我司承诺按照招标文件要求依法履行投标人义务。若我司存在下列任何一种事实的，收到你方书面通知，我司在 7 日内无条件地向你方全额付清本招标文件规定的投标保证金金额。 </w:t>
      </w:r>
    </w:p>
    <w:p>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（1）中标人无正当理由不与招标人订立合同，在签订合同时向贵方提出附加条件，或者不按照招标文件要求 提交履约保证金。 </w:t>
      </w:r>
    </w:p>
    <w:p>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（2）投标人存在投标须知前附表第3.4.4条规定投标保证金不予退还的其他情形。 </w:t>
      </w:r>
    </w:p>
    <w:p>
      <w:pPr>
        <w:keepNext w:val="0"/>
        <w:keepLines w:val="0"/>
        <w:widowControl/>
        <w:suppressLineNumbers w:val="0"/>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（3）法律、法规规定的其他情形。 </w:t>
      </w:r>
    </w:p>
    <w:p>
      <w:pPr>
        <w:keepNext w:val="0"/>
        <w:keepLines w:val="0"/>
        <w:widowControl/>
        <w:suppressLineNumbers w:val="0"/>
        <w:jc w:val="right"/>
        <w:rPr>
          <w:rFonts w:hint="eastAsia" w:ascii="宋体" w:hAnsi="宋体" w:eastAsia="宋体" w:cs="宋体"/>
          <w:color w:val="000000"/>
          <w:kern w:val="0"/>
          <w:sz w:val="24"/>
          <w:szCs w:val="24"/>
          <w:highlight w:val="none"/>
          <w:lang w:val="en-US" w:eastAsia="zh-CN" w:bidi="ar"/>
        </w:rPr>
      </w:pPr>
    </w:p>
    <w:p>
      <w:pPr>
        <w:keepNext w:val="0"/>
        <w:keepLines w:val="0"/>
        <w:widowControl/>
        <w:suppressLineNumbers w:val="0"/>
        <w:jc w:val="right"/>
        <w:rPr>
          <w:rFonts w:hint="eastAsia" w:ascii="宋体" w:hAnsi="宋体" w:eastAsia="宋体" w:cs="宋体"/>
          <w:color w:val="000000"/>
          <w:kern w:val="0"/>
          <w:sz w:val="24"/>
          <w:szCs w:val="24"/>
          <w:highlight w:val="none"/>
          <w:lang w:val="en-US" w:eastAsia="zh-CN" w:bidi="ar"/>
        </w:rPr>
      </w:pPr>
    </w:p>
    <w:p>
      <w:pPr>
        <w:keepNext w:val="0"/>
        <w:keepLines w:val="0"/>
        <w:widowControl/>
        <w:suppressLineNumbers w:val="0"/>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 （盖单位公章） </w:t>
      </w:r>
    </w:p>
    <w:p>
      <w:pPr>
        <w:keepNext w:val="0"/>
        <w:keepLines w:val="0"/>
        <w:widowControl/>
        <w:suppressLineNumbers w:val="0"/>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日期： 年 月 日 </w:t>
      </w:r>
    </w:p>
    <w:p>
      <w:pPr>
        <w:spacing w:before="40"/>
        <w:ind w:left="2475" w:right="2499" w:firstLine="0"/>
        <w:jc w:val="center"/>
        <w:outlineLvl w:val="2"/>
        <w:rPr>
          <w:rFonts w:hint="eastAsia" w:ascii="宋体" w:hAnsi="宋体" w:eastAsia="宋体" w:cs="宋体"/>
          <w:b/>
          <w:sz w:val="32"/>
          <w:highlight w:val="none"/>
        </w:rPr>
        <w:sectPr>
          <w:pgSz w:w="11906" w:h="16838"/>
          <w:pgMar w:top="1134" w:right="1134" w:bottom="1134" w:left="1134" w:header="0" w:footer="886" w:gutter="0"/>
          <w:pgNumType w:fmt="decimal"/>
          <w:cols w:space="0" w:num="1"/>
          <w:rtlGutter w:val="0"/>
          <w:docGrid w:linePitch="0" w:charSpace="0"/>
        </w:sectPr>
      </w:pPr>
    </w:p>
    <w:p>
      <w:pPr>
        <w:jc w:val="center"/>
        <w:rPr>
          <w:rFonts w:hint="default" w:ascii="宋体" w:hAnsi="宋体" w:eastAsia="宋体" w:cs="宋体"/>
          <w:b/>
          <w:sz w:val="24"/>
          <w:szCs w:val="24"/>
          <w:highlight w:val="none"/>
          <w:lang w:val="en-US" w:eastAsia="zh-CN"/>
        </w:rPr>
        <w:sectPr>
          <w:pgSz w:w="11906" w:h="16838"/>
          <w:pgMar w:top="1134" w:right="1134" w:bottom="1134" w:left="1134" w:header="0" w:footer="886" w:gutter="0"/>
          <w:pgNumType w:fmt="decimal"/>
          <w:cols w:space="0" w:num="1"/>
          <w:rtlGutter w:val="0"/>
          <w:docGrid w:linePitch="0" w:charSpace="0"/>
        </w:sectPr>
      </w:pPr>
      <w:bookmarkStart w:id="1" w:name="_Toc13191"/>
      <w:bookmarkStart w:id="2" w:name="_Toc3863"/>
      <w:r>
        <w:rPr>
          <w:rFonts w:hint="eastAsia" w:ascii="宋体" w:hAnsi="宋体" w:eastAsia="宋体" w:cs="宋体"/>
          <w:b/>
          <w:sz w:val="24"/>
          <w:szCs w:val="24"/>
          <w:highlight w:val="none"/>
        </w:rPr>
        <w:t>投标产品所配置的柴油发动机制造商的OEM证书</w:t>
      </w:r>
      <w:r>
        <w:rPr>
          <w:rFonts w:hint="eastAsia" w:cs="宋体"/>
          <w:b/>
          <w:sz w:val="24"/>
          <w:szCs w:val="24"/>
          <w:highlight w:val="none"/>
          <w:lang w:eastAsia="zh-CN"/>
        </w:rPr>
        <w:t>（</w:t>
      </w:r>
      <w:r>
        <w:rPr>
          <w:rFonts w:hint="eastAsia" w:cs="宋体"/>
          <w:b/>
          <w:sz w:val="24"/>
          <w:szCs w:val="24"/>
          <w:highlight w:val="none"/>
          <w:lang w:val="en-US" w:eastAsia="zh-CN"/>
        </w:rPr>
        <w:t>若有）</w:t>
      </w:r>
    </w:p>
    <w:p>
      <w:pPr>
        <w:jc w:val="center"/>
        <w:rPr>
          <w:rFonts w:hint="eastAsia"/>
          <w:sz w:val="24"/>
          <w:szCs w:val="24"/>
          <w:highlight w:val="none"/>
        </w:rPr>
      </w:pPr>
      <w:r>
        <w:rPr>
          <w:rFonts w:hint="eastAsia" w:ascii="宋体" w:hAnsi="宋体" w:eastAsia="宋体" w:cs="宋体"/>
          <w:b/>
          <w:sz w:val="24"/>
          <w:szCs w:val="24"/>
          <w:highlight w:val="none"/>
        </w:rPr>
        <w:t>产品质量及售后服务的承诺函</w:t>
      </w:r>
    </w:p>
    <w:p>
      <w:pPr>
        <w:pStyle w:val="2"/>
        <w:rPr>
          <w:rFonts w:hint="eastAsia"/>
          <w:sz w:val="24"/>
          <w:szCs w:val="24"/>
          <w:highlight w:val="none"/>
        </w:rPr>
      </w:pPr>
    </w:p>
    <w:p>
      <w:pPr>
        <w:pStyle w:val="10"/>
        <w:tabs>
          <w:tab w:val="left" w:pos="1600"/>
        </w:tabs>
        <w:spacing w:before="74"/>
        <w:ind w:left="119"/>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pacing w:val="-7"/>
          <w:sz w:val="24"/>
          <w:szCs w:val="24"/>
          <w:highlight w:val="none"/>
        </w:rPr>
        <w:t>(招标人名称):</w:t>
      </w:r>
    </w:p>
    <w:p>
      <w:pPr>
        <w:rPr>
          <w:rFonts w:hint="eastAsia"/>
          <w:sz w:val="24"/>
          <w:szCs w:val="24"/>
          <w:highlight w:val="none"/>
        </w:rPr>
      </w:pPr>
    </w:p>
    <w:p>
      <w:pPr>
        <w:pStyle w:val="2"/>
        <w:rPr>
          <w:rFonts w:hint="eastAsia"/>
          <w:sz w:val="24"/>
          <w:szCs w:val="24"/>
          <w:highlight w:val="none"/>
        </w:rPr>
      </w:pPr>
    </w:p>
    <w:p>
      <w:pPr>
        <w:rPr>
          <w:rFonts w:hint="eastAsia"/>
          <w:sz w:val="24"/>
          <w:szCs w:val="24"/>
          <w:highlight w:val="none"/>
        </w:rPr>
      </w:pPr>
    </w:p>
    <w:p>
      <w:pPr>
        <w:pStyle w:val="2"/>
        <w:rPr>
          <w:rFonts w:hint="eastAsia"/>
          <w:sz w:val="24"/>
          <w:szCs w:val="24"/>
          <w:highlight w:val="none"/>
        </w:rPr>
      </w:pPr>
    </w:p>
    <w:p>
      <w:pPr>
        <w:jc w:val="center"/>
        <w:rPr>
          <w:rFonts w:hint="default" w:eastAsia="宋体"/>
          <w:sz w:val="24"/>
          <w:szCs w:val="24"/>
          <w:highlight w:val="none"/>
          <w:lang w:val="en-US" w:eastAsia="zh-CN"/>
        </w:rPr>
      </w:pPr>
      <w:r>
        <w:rPr>
          <w:rFonts w:hint="eastAsia"/>
          <w:sz w:val="24"/>
          <w:szCs w:val="24"/>
          <w:highlight w:val="none"/>
          <w:lang w:val="en-US" w:eastAsia="zh-CN"/>
        </w:rPr>
        <w:t>（内容自拟）</w:t>
      </w:r>
    </w:p>
    <w:p>
      <w:pPr>
        <w:pStyle w:val="2"/>
        <w:rPr>
          <w:rFonts w:hint="eastAsia"/>
          <w:sz w:val="24"/>
          <w:szCs w:val="24"/>
          <w:highlight w:val="none"/>
        </w:rPr>
      </w:pPr>
    </w:p>
    <w:p>
      <w:pPr>
        <w:rPr>
          <w:rFonts w:hint="eastAsia"/>
          <w:sz w:val="24"/>
          <w:szCs w:val="24"/>
          <w:highlight w:val="none"/>
        </w:rPr>
      </w:pPr>
    </w:p>
    <w:p>
      <w:pPr>
        <w:rPr>
          <w:rFonts w:hint="eastAsia"/>
          <w:sz w:val="24"/>
          <w:szCs w:val="24"/>
          <w:highlight w:val="none"/>
        </w:rPr>
      </w:pPr>
    </w:p>
    <w:p>
      <w:pPr>
        <w:autoSpaceDE/>
        <w:autoSpaceDN/>
        <w:ind w:firstLine="4800" w:firstLineChars="2000"/>
        <w:rPr>
          <w:rFonts w:hint="eastAsia" w:ascii="宋体" w:hAnsi="宋体" w:eastAsia="宋体" w:cs="宋体"/>
          <w:color w:val="000000"/>
          <w:sz w:val="24"/>
          <w:szCs w:val="24"/>
          <w:highlight w:val="none"/>
        </w:rPr>
      </w:pPr>
    </w:p>
    <w:p>
      <w:pPr>
        <w:autoSpaceDE/>
        <w:autoSpaceDN/>
        <w:ind w:firstLine="4800" w:firstLineChars="2000"/>
        <w:rPr>
          <w:rFonts w:hint="eastAsia" w:ascii="宋体" w:hAnsi="宋体" w:eastAsia="宋体" w:cs="宋体"/>
          <w:color w:val="000000"/>
          <w:sz w:val="24"/>
          <w:szCs w:val="24"/>
          <w:highlight w:val="none"/>
        </w:rPr>
      </w:pPr>
    </w:p>
    <w:p>
      <w:pPr>
        <w:autoSpaceDE/>
        <w:autoSpaceDN/>
        <w:ind w:firstLine="4800" w:firstLineChars="2000"/>
        <w:rPr>
          <w:rFonts w:hint="eastAsia" w:ascii="宋体" w:hAnsi="宋体" w:eastAsia="宋体" w:cs="宋体"/>
          <w:color w:val="000000"/>
          <w:sz w:val="24"/>
          <w:szCs w:val="24"/>
          <w:highlight w:val="none"/>
        </w:rPr>
      </w:pPr>
    </w:p>
    <w:p>
      <w:pPr>
        <w:autoSpaceDE/>
        <w:autoSpaceDN/>
        <w:ind w:firstLine="4800" w:firstLineChars="20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投标人： （盖单位章）</w:t>
      </w:r>
    </w:p>
    <w:p>
      <w:pPr>
        <w:autoSpaceDE/>
        <w:autoSpaceDN/>
        <w:ind w:firstLine="4800" w:firstLineChars="20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法定代表人(或授权代表)：   （</w:t>
      </w:r>
      <w:r>
        <w:rPr>
          <w:rFonts w:hint="eastAsia" w:ascii="宋体" w:hAnsi="宋体" w:eastAsia="宋体" w:cs="宋体"/>
          <w:color w:val="000000"/>
          <w:sz w:val="24"/>
          <w:szCs w:val="24"/>
          <w:highlight w:val="none"/>
          <w:lang w:eastAsia="zh-CN"/>
        </w:rPr>
        <w:t>签字或盖章</w:t>
      </w:r>
      <w:r>
        <w:rPr>
          <w:rFonts w:hint="eastAsia" w:ascii="宋体" w:hAnsi="宋体" w:eastAsia="宋体" w:cs="宋体"/>
          <w:color w:val="000000"/>
          <w:sz w:val="24"/>
          <w:szCs w:val="24"/>
          <w:highlight w:val="none"/>
        </w:rPr>
        <w:t>）</w:t>
      </w:r>
    </w:p>
    <w:p>
      <w:pPr>
        <w:ind w:firstLine="480"/>
        <w:rPr>
          <w:rFonts w:hint="eastAsia" w:ascii="宋体" w:hAnsi="宋体" w:eastAsia="宋体" w:cs="宋体"/>
          <w:color w:val="000000"/>
          <w:sz w:val="24"/>
          <w:szCs w:val="24"/>
          <w:highlight w:val="none"/>
        </w:rPr>
        <w:sectPr>
          <w:pgSz w:w="11906" w:h="16838"/>
          <w:pgMar w:top="1134" w:right="1134" w:bottom="1134" w:left="1134" w:header="0" w:footer="886" w:gutter="0"/>
          <w:pgNumType w:fmt="decimal"/>
          <w:cols w:space="0" w:num="1"/>
          <w:rtlGutter w:val="0"/>
          <w:docGrid w:linePitch="0" w:charSpace="0"/>
        </w:sectPr>
      </w:pPr>
      <w:r>
        <w:rPr>
          <w:rFonts w:hint="eastAsia" w:ascii="宋体" w:hAnsi="宋体" w:eastAsia="宋体" w:cs="宋体"/>
          <w:color w:val="000000"/>
          <w:sz w:val="24"/>
          <w:szCs w:val="24"/>
          <w:highlight w:val="none"/>
        </w:rPr>
        <w:t xml:space="preserve">                                                  年    月    日</w:t>
      </w:r>
    </w:p>
    <w:p>
      <w:pPr>
        <w:numPr>
          <w:ilvl w:val="0"/>
          <w:numId w:val="0"/>
        </w:numPr>
        <w:spacing w:before="49"/>
        <w:ind w:left="220" w:leftChars="0" w:right="0" w:rightChars="0"/>
        <w:jc w:val="center"/>
        <w:outlineLvl w:val="3"/>
        <w:rPr>
          <w:rFonts w:hint="eastAsia" w:cs="宋体"/>
          <w:b/>
          <w:sz w:val="24"/>
          <w:szCs w:val="24"/>
          <w:highlight w:val="none"/>
          <w:lang w:val="en-US" w:eastAsia="zh-CN"/>
        </w:rPr>
      </w:pPr>
      <w:r>
        <w:rPr>
          <w:rFonts w:hint="eastAsia" w:cs="宋体"/>
          <w:b/>
          <w:sz w:val="24"/>
          <w:szCs w:val="24"/>
          <w:highlight w:val="none"/>
          <w:lang w:val="en-US" w:eastAsia="zh-CN"/>
        </w:rPr>
        <w:t>信用中国查询</w:t>
      </w:r>
    </w:p>
    <w:p>
      <w:pPr>
        <w:pStyle w:val="2"/>
        <w:numPr>
          <w:ilvl w:val="-1"/>
          <w:numId w:val="0"/>
        </w:numPr>
        <w:ind w:left="747" w:firstLine="0"/>
        <w:rPr>
          <w:rFonts w:hint="default"/>
          <w:sz w:val="24"/>
          <w:szCs w:val="24"/>
          <w:highlight w:val="none"/>
          <w:lang w:val="en-US" w:eastAsia="zh-CN"/>
        </w:rPr>
      </w:pPr>
    </w:p>
    <w:p>
      <w:pPr>
        <w:pStyle w:val="10"/>
        <w:tabs>
          <w:tab w:val="left" w:pos="1600"/>
        </w:tabs>
        <w:spacing w:before="74" w:line="360" w:lineRule="auto"/>
        <w:ind w:left="119"/>
        <w:rPr>
          <w:rFonts w:hint="eastAsia"/>
          <w:sz w:val="24"/>
          <w:szCs w:val="24"/>
          <w:highlight w:val="none"/>
          <w:u w:val="single"/>
        </w:rPr>
      </w:pPr>
    </w:p>
    <w:p>
      <w:pPr>
        <w:pStyle w:val="10"/>
        <w:tabs>
          <w:tab w:val="left" w:pos="1600"/>
        </w:tabs>
        <w:spacing w:before="74" w:line="360" w:lineRule="auto"/>
        <w:ind w:left="119" w:firstLine="480" w:firstLineChars="200"/>
        <w:rPr>
          <w:rFonts w:hint="eastAsia"/>
          <w:sz w:val="24"/>
          <w:szCs w:val="24"/>
          <w:highlight w:val="none"/>
          <w:u w:val="none"/>
        </w:rPr>
        <w:sectPr>
          <w:pgSz w:w="11906" w:h="16838"/>
          <w:pgMar w:top="1134" w:right="1134" w:bottom="1134" w:left="1134" w:header="0" w:footer="806" w:gutter="0"/>
          <w:pgNumType w:fmt="decimal"/>
          <w:cols w:space="0" w:num="1"/>
          <w:rtlGutter w:val="0"/>
          <w:docGrid w:linePitch="0" w:charSpace="0"/>
        </w:sectPr>
      </w:pPr>
      <w:r>
        <w:rPr>
          <w:rFonts w:hint="eastAsia" w:ascii="宋体" w:hAnsi="宋体" w:eastAsia="宋体" w:cs="宋体"/>
          <w:sz w:val="24"/>
          <w:szCs w:val="24"/>
          <w:highlight w:val="none"/>
          <w:u w:val="none"/>
          <w:lang w:eastAsia="zh-CN"/>
        </w:rPr>
        <w:t>投标人至投标截止时间前未被最高人民法院在“信用中国”网站（www.creditchina.gov.cn）中列入失信被执行人名单。</w:t>
      </w:r>
      <w:r>
        <w:rPr>
          <w:rFonts w:hint="eastAsia" w:cs="宋体"/>
          <w:sz w:val="24"/>
          <w:szCs w:val="24"/>
          <w:highlight w:val="none"/>
          <w:u w:val="none"/>
          <w:lang w:eastAsia="zh-CN"/>
        </w:rPr>
        <w:t>（</w:t>
      </w:r>
      <w:r>
        <w:rPr>
          <w:rFonts w:hint="eastAsia" w:hAnsi="宋体" w:eastAsia="宋体" w:cs="宋体"/>
          <w:strike w:val="0"/>
          <w:sz w:val="24"/>
          <w:szCs w:val="24"/>
          <w:highlight w:val="none"/>
          <w:u w:val="none"/>
          <w:lang w:eastAsia="zh-CN"/>
        </w:rPr>
        <w:t>网站查询截图</w:t>
      </w:r>
      <w:r>
        <w:rPr>
          <w:rFonts w:hint="eastAsia" w:cs="宋体"/>
          <w:strike w:val="0"/>
          <w:sz w:val="24"/>
          <w:szCs w:val="24"/>
          <w:highlight w:val="none"/>
          <w:u w:val="none"/>
          <w:lang w:eastAsia="zh-CN"/>
        </w:rPr>
        <w:t>）</w:t>
      </w:r>
      <w:bookmarkStart w:id="3" w:name="_GoBack"/>
      <w:bookmarkEnd w:id="3"/>
    </w:p>
    <w:bookmarkEnd w:id="1"/>
    <w:bookmarkEnd w:id="2"/>
    <w:p>
      <w:pPr>
        <w:pStyle w:val="16"/>
        <w:numPr>
          <w:ilvl w:val="-1"/>
          <w:numId w:val="0"/>
        </w:numPr>
        <w:tabs>
          <w:tab w:val="left" w:pos="837"/>
        </w:tabs>
        <w:spacing w:before="192" w:line="389" w:lineRule="auto"/>
        <w:ind w:right="0"/>
        <w:jc w:val="left"/>
        <w:outlineLvl w:val="9"/>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540"/>
      </w:tabs>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0416B"/>
    <w:multiLevelType w:val="singleLevel"/>
    <w:tmpl w:val="0FD041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DU0M2U0ZDU2ZWE1NTIwZTVlNjE2MWZjMjQzY2QifQ=="/>
  </w:docVars>
  <w:rsids>
    <w:rsidRoot w:val="1BD12736"/>
    <w:rsid w:val="049F343C"/>
    <w:rsid w:val="09C4209A"/>
    <w:rsid w:val="0CDB522D"/>
    <w:rsid w:val="0FAE6C29"/>
    <w:rsid w:val="106D0892"/>
    <w:rsid w:val="16B85280"/>
    <w:rsid w:val="1934019F"/>
    <w:rsid w:val="1BD12736"/>
    <w:rsid w:val="1C6638C6"/>
    <w:rsid w:val="299B6018"/>
    <w:rsid w:val="2D5B7F98"/>
    <w:rsid w:val="2E2B796A"/>
    <w:rsid w:val="2F6C0B02"/>
    <w:rsid w:val="31945827"/>
    <w:rsid w:val="3FA84DCB"/>
    <w:rsid w:val="42CD0B98"/>
    <w:rsid w:val="46276812"/>
    <w:rsid w:val="46601D24"/>
    <w:rsid w:val="49C64593"/>
    <w:rsid w:val="4AB712E4"/>
    <w:rsid w:val="5235306E"/>
    <w:rsid w:val="59D00896"/>
    <w:rsid w:val="621873D5"/>
    <w:rsid w:val="635D166D"/>
    <w:rsid w:val="63F20007"/>
    <w:rsid w:val="7C4149C4"/>
    <w:rsid w:val="7EE80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9">
    <w:name w:val="heading 3"/>
    <w:basedOn w:val="1"/>
    <w:next w:val="1"/>
    <w:qFormat/>
    <w:uiPriority w:val="1"/>
    <w:pPr>
      <w:spacing w:line="321" w:lineRule="exact"/>
      <w:ind w:left="20"/>
      <w:outlineLvl w:val="3"/>
    </w:pPr>
    <w:rPr>
      <w:rFonts w:ascii="宋体" w:hAnsi="宋体" w:eastAsia="宋体" w:cs="宋体"/>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before="0" w:beforeLines="0"/>
      <w:ind w:left="1208"/>
    </w:pPr>
    <w:rPr>
      <w:szCs w:val="20"/>
    </w:rPr>
  </w:style>
  <w:style w:type="paragraph" w:styleId="3">
    <w:name w:val="Body Text Indent"/>
    <w:basedOn w:val="1"/>
    <w:next w:val="4"/>
    <w:qFormat/>
    <w:uiPriority w:val="0"/>
    <w:pPr>
      <w:ind w:left="1669" w:hanging="461" w:firstLineChars="0"/>
    </w:pPr>
    <w:rPr>
      <w:szCs w:val="20"/>
    </w:rPr>
  </w:style>
  <w:style w:type="paragraph" w:customStyle="1" w:styleId="4">
    <w:name w:val="样式 标题 3 + (中文) 黑体 小四 非加粗 段前: 7.8 磅 段后: 0 磅 行距: 固定值 20 磅"/>
    <w:basedOn w:val="5"/>
    <w:qFormat/>
    <w:uiPriority w:val="0"/>
    <w:pPr>
      <w:spacing w:before="0" w:after="0" w:line="400" w:lineRule="exact"/>
    </w:pPr>
    <w:rPr>
      <w:rFonts w:cs="宋体"/>
      <w:kern w:val="2"/>
      <w:szCs w:val="24"/>
      <w:lang w:val="en-US"/>
    </w:rPr>
  </w:style>
  <w:style w:type="paragraph" w:customStyle="1" w:styleId="5">
    <w:name w:val="标题 3_0"/>
    <w:basedOn w:val="6"/>
    <w:next w:val="6"/>
    <w:qFormat/>
    <w:uiPriority w:val="1"/>
    <w:pPr>
      <w:spacing w:line="321" w:lineRule="exact"/>
      <w:ind w:left="20"/>
      <w:outlineLvl w:val="3"/>
    </w:pPr>
    <w:rPr>
      <w:rFonts w:ascii="宋体" w:hAnsi="宋体" w:eastAsia="宋体" w:cs="宋体"/>
      <w:sz w:val="28"/>
      <w:szCs w:val="28"/>
    </w:rPr>
  </w:style>
  <w:style w:type="paragraph" w:customStyle="1" w:styleId="6">
    <w:name w:val="正文_0"/>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正文首行缩进 2_0"/>
    <w:basedOn w:val="8"/>
    <w:next w:val="6"/>
    <w:qFormat/>
    <w:uiPriority w:val="0"/>
    <w:pPr>
      <w:spacing w:before="0" w:beforeLines="0"/>
      <w:ind w:left="1208"/>
    </w:pPr>
    <w:rPr>
      <w:szCs w:val="20"/>
    </w:rPr>
  </w:style>
  <w:style w:type="paragraph" w:customStyle="1" w:styleId="8">
    <w:name w:val="正文文本缩进_0"/>
    <w:basedOn w:val="6"/>
    <w:next w:val="4"/>
    <w:qFormat/>
    <w:uiPriority w:val="0"/>
    <w:pPr>
      <w:ind w:left="1669" w:hanging="461" w:firstLineChars="0"/>
    </w:pPr>
    <w:rPr>
      <w:szCs w:val="20"/>
    </w:rPr>
  </w:style>
  <w:style w:type="paragraph" w:styleId="10">
    <w:name w:val="Body Text"/>
    <w:basedOn w:val="1"/>
    <w:qFormat/>
    <w:uiPriority w:val="1"/>
    <w:rPr>
      <w:rFonts w:ascii="宋体" w:hAnsi="宋体" w:eastAsia="宋体" w:cs="宋体"/>
      <w:sz w:val="24"/>
      <w:szCs w:val="24"/>
    </w:rPr>
  </w:style>
  <w:style w:type="paragraph" w:styleId="11">
    <w:name w:val="Plain Text"/>
    <w:basedOn w:val="1"/>
    <w:qFormat/>
    <w:uiPriority w:val="0"/>
    <w:pPr>
      <w:spacing w:line="240" w:lineRule="auto"/>
      <w:ind w:firstLine="0" w:firstLineChars="0"/>
      <w:jc w:val="both"/>
    </w:pPr>
    <w:rPr>
      <w:rFonts w:hAnsi="Courier New"/>
      <w:sz w:val="21"/>
      <w:szCs w:val="20"/>
    </w:rPr>
  </w:style>
  <w:style w:type="paragraph" w:customStyle="1" w:styleId="14">
    <w:name w:val="表格"/>
    <w:basedOn w:val="1"/>
    <w:qFormat/>
    <w:uiPriority w:val="0"/>
    <w:pPr>
      <w:adjustRightInd w:val="0"/>
      <w:snapToGrid w:val="0"/>
      <w:spacing w:line="360" w:lineRule="auto"/>
      <w:ind w:firstLine="4" w:firstLineChars="2"/>
      <w:jc w:val="both"/>
      <w:textAlignment w:val="baseline"/>
    </w:pPr>
    <w:rPr>
      <w:rFonts w:ascii="Arial" w:hAnsi="Arial"/>
      <w:color w:val="000000"/>
      <w:spacing w:val="-10"/>
      <w:sz w:val="21"/>
    </w:rPr>
  </w:style>
  <w:style w:type="paragraph" w:customStyle="1" w:styleId="15">
    <w:name w:val="正文文本1"/>
    <w:basedOn w:val="1"/>
    <w:qFormat/>
    <w:uiPriority w:val="0"/>
    <w:pPr>
      <w:spacing w:line="240" w:lineRule="auto"/>
      <w:ind w:firstLine="0" w:firstLineChars="0"/>
      <w:jc w:val="both"/>
    </w:pPr>
    <w:rPr>
      <w:rFonts w:ascii="Times New Roman"/>
    </w:rPr>
  </w:style>
  <w:style w:type="paragraph" w:styleId="16">
    <w:name w:val="List Paragraph"/>
    <w:basedOn w:val="1"/>
    <w:qFormat/>
    <w:uiPriority w:val="1"/>
    <w:pPr>
      <w:ind w:left="124" w:firstLine="434"/>
    </w:pPr>
    <w:rPr>
      <w:rFonts w:ascii="宋体" w:hAnsi="宋体" w:eastAsia="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2024-09-02T12:51:00Z</dcterms:created>
  <dc:creator>NTKO</dc:creator>
  <cp:lastModifiedBy>庄铃强</cp:lastModifiedBy>
  <dcterms:modified xsi:type="dcterms:W3CDTF">2024-09-03T02:09:46Z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8A255D49E1A245BCA637D7EEB763CA4D_11</vt:lpwstr>
  </property>
</Properties>
</file>