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widowControl/>
        <w:ind w:firstLine="1440"/>
        <w:rPr>
          <w:rFonts w:ascii="华文中宋" w:hAnsi="华文中宋" w:eastAsia="华文中宋"/>
          <w:sz w:val="72"/>
        </w:rPr>
      </w:pPr>
    </w:p>
    <w:p>
      <w:pPr>
        <w:widowControl/>
        <w:autoSpaceDE w:val="0"/>
        <w:autoSpaceDN w:val="0"/>
        <w:jc w:val="center"/>
        <w:rPr>
          <w:b/>
          <w:bCs/>
          <w:sz w:val="72"/>
          <w:szCs w:val="72"/>
        </w:rPr>
      </w:pPr>
      <w:r>
        <w:rPr>
          <w:rFonts w:hint="eastAsia"/>
          <w:b/>
          <w:bCs/>
          <w:sz w:val="72"/>
          <w:szCs w:val="72"/>
        </w:rPr>
        <w:t>三明市尤溪县城关镇北门</w:t>
      </w:r>
      <w:r>
        <w:rPr>
          <w:rFonts w:hint="eastAsia"/>
          <w:b/>
          <w:bCs/>
          <w:sz w:val="72"/>
          <w:szCs w:val="72"/>
          <w:lang w:val="en-US" w:eastAsia="zh-CN"/>
        </w:rPr>
        <w:t>路</w:t>
      </w:r>
      <w:r>
        <w:rPr>
          <w:rFonts w:hint="eastAsia"/>
          <w:b/>
          <w:bCs/>
          <w:sz w:val="72"/>
          <w:szCs w:val="72"/>
        </w:rPr>
        <w:t>31、32、33号宅前</w:t>
      </w:r>
    </w:p>
    <w:p>
      <w:pPr>
        <w:widowControl/>
        <w:autoSpaceDE w:val="0"/>
        <w:autoSpaceDN w:val="0"/>
        <w:jc w:val="center"/>
        <w:rPr>
          <w:rFonts w:ascii="华文中宋" w:hAnsi="华文中宋" w:eastAsia="华文中宋"/>
          <w:b/>
          <w:sz w:val="84"/>
        </w:rPr>
      </w:pPr>
      <w:r>
        <w:rPr>
          <w:rFonts w:hint="eastAsia"/>
          <w:b/>
          <w:bCs/>
          <w:sz w:val="72"/>
          <w:szCs w:val="72"/>
        </w:rPr>
        <w:t>崩塌治理工程</w:t>
      </w:r>
      <w:r>
        <w:rPr>
          <w:b/>
          <w:sz w:val="72"/>
        </w:rPr>
        <w:t>勘查报告</w:t>
      </w:r>
    </w:p>
    <w:p>
      <w:pPr>
        <w:widowControl/>
        <w:ind w:firstLine="960"/>
        <w:jc w:val="center"/>
        <w:rPr>
          <w:rFonts w:ascii="华文中宋" w:hAnsi="华文中宋" w:eastAsia="华文中宋"/>
          <w:sz w:val="48"/>
        </w:rPr>
      </w:pPr>
    </w:p>
    <w:p>
      <w:pPr>
        <w:pStyle w:val="21"/>
      </w:pPr>
    </w:p>
    <w:p>
      <w:pPr>
        <w:widowControl/>
        <w:ind w:firstLine="960"/>
        <w:jc w:val="center"/>
        <w:rPr>
          <w:rFonts w:ascii="华文中宋" w:hAnsi="华文中宋" w:eastAsia="华文中宋"/>
          <w:sz w:val="48"/>
        </w:rPr>
      </w:pPr>
    </w:p>
    <w:p>
      <w:pPr>
        <w:widowControl/>
        <w:ind w:firstLine="960"/>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1"/>
        <w:jc w:val="center"/>
        <w:rPr>
          <w:b/>
          <w:bCs/>
          <w:sz w:val="48"/>
        </w:rPr>
      </w:pPr>
      <w:r>
        <w:rPr>
          <w:rFonts w:hint="eastAsia"/>
          <w:b/>
          <w:bCs/>
          <w:sz w:val="48"/>
        </w:rPr>
        <w:t>中化地质矿山总局福建地质勘查院</w:t>
      </w:r>
    </w:p>
    <w:p>
      <w:pPr>
        <w:widowControl/>
        <w:ind w:firstLine="961"/>
        <w:jc w:val="center"/>
        <w:rPr>
          <w:rFonts w:ascii="华文中宋" w:hAnsi="华文中宋" w:eastAsia="华文中宋"/>
          <w:b/>
          <w:bCs/>
          <w:sz w:val="48"/>
        </w:rPr>
      </w:pPr>
      <w:r>
        <w:rPr>
          <w:b/>
          <w:bCs/>
          <w:sz w:val="48"/>
        </w:rPr>
        <w:t>二Ｏ</w:t>
      </w:r>
      <w:r>
        <w:rPr>
          <w:rFonts w:hint="eastAsia"/>
          <w:b/>
          <w:bCs/>
          <w:sz w:val="48"/>
        </w:rPr>
        <w:t>二</w:t>
      </w:r>
      <w:r>
        <w:rPr>
          <w:rFonts w:hint="eastAsia"/>
          <w:b/>
          <w:bCs/>
          <w:sz w:val="48"/>
          <w:lang w:val="en-US" w:eastAsia="zh-CN"/>
        </w:rPr>
        <w:t>三</w:t>
      </w:r>
      <w:r>
        <w:rPr>
          <w:b/>
          <w:bCs/>
          <w:sz w:val="48"/>
        </w:rPr>
        <w:t>年</w:t>
      </w:r>
      <w:r>
        <w:rPr>
          <w:rFonts w:hint="eastAsia"/>
          <w:b/>
          <w:bCs/>
          <w:sz w:val="48"/>
          <w:lang w:val="en-US" w:eastAsia="zh-CN"/>
        </w:rPr>
        <w:t>二</w:t>
      </w:r>
      <w:r>
        <w:rPr>
          <w:b/>
          <w:bCs/>
          <w:sz w:val="48"/>
        </w:rPr>
        <w:t>月</w:t>
      </w:r>
    </w:p>
    <w:p>
      <w:pPr>
        <w:widowControl/>
        <w:spacing w:line="480" w:lineRule="auto"/>
        <w:ind w:firstLine="1441"/>
        <w:jc w:val="center"/>
        <w:rPr>
          <w:b/>
          <w:sz w:val="72"/>
        </w:rPr>
      </w:pPr>
    </w:p>
    <w:p>
      <w:pPr>
        <w:widowControl/>
        <w:autoSpaceDE w:val="0"/>
        <w:autoSpaceDN w:val="0"/>
        <w:jc w:val="center"/>
        <w:rPr>
          <w:b/>
          <w:bCs/>
          <w:sz w:val="72"/>
          <w:szCs w:val="72"/>
        </w:rPr>
      </w:pPr>
      <w:r>
        <w:rPr>
          <w:rFonts w:hint="eastAsia"/>
          <w:b/>
          <w:bCs/>
          <w:sz w:val="72"/>
          <w:szCs w:val="72"/>
        </w:rPr>
        <w:t>三明市尤溪县城关镇北门</w:t>
      </w:r>
      <w:r>
        <w:rPr>
          <w:rFonts w:hint="eastAsia"/>
          <w:b/>
          <w:bCs/>
          <w:sz w:val="72"/>
          <w:szCs w:val="72"/>
          <w:lang w:val="en-US" w:eastAsia="zh-CN"/>
        </w:rPr>
        <w:t>路</w:t>
      </w:r>
      <w:r>
        <w:rPr>
          <w:rFonts w:hint="eastAsia"/>
          <w:b/>
          <w:bCs/>
          <w:sz w:val="72"/>
          <w:szCs w:val="72"/>
        </w:rPr>
        <w:t>31、32、33号宅前</w:t>
      </w:r>
    </w:p>
    <w:p>
      <w:pPr>
        <w:widowControl/>
        <w:autoSpaceDE w:val="0"/>
        <w:autoSpaceDN w:val="0"/>
        <w:jc w:val="center"/>
        <w:rPr>
          <w:rFonts w:ascii="华文中宋" w:hAnsi="华文中宋" w:eastAsia="华文中宋"/>
          <w:b/>
          <w:sz w:val="84"/>
        </w:rPr>
      </w:pPr>
      <w:r>
        <w:rPr>
          <w:rFonts w:hint="eastAsia"/>
          <w:b/>
          <w:bCs/>
          <w:sz w:val="72"/>
          <w:szCs w:val="72"/>
        </w:rPr>
        <w:t>崩塌治理工程</w:t>
      </w:r>
      <w:r>
        <w:rPr>
          <w:b/>
          <w:sz w:val="72"/>
        </w:rPr>
        <w:t>勘查报告</w:t>
      </w:r>
    </w:p>
    <w:p>
      <w:pPr>
        <w:widowControl/>
        <w:spacing w:line="540" w:lineRule="auto"/>
        <w:ind w:firstLine="800"/>
        <w:jc w:val="left"/>
        <w:rPr>
          <w:bCs/>
          <w:sz w:val="40"/>
        </w:rPr>
      </w:pPr>
    </w:p>
    <w:p>
      <w:pPr>
        <w:widowControl/>
        <w:spacing w:line="540" w:lineRule="auto"/>
        <w:ind w:firstLine="800"/>
        <w:jc w:val="left"/>
        <w:rPr>
          <w:bCs/>
          <w:sz w:val="40"/>
        </w:rPr>
      </w:pPr>
    </w:p>
    <w:p>
      <w:pPr>
        <w:widowControl/>
        <w:spacing w:line="540" w:lineRule="auto"/>
        <w:ind w:firstLine="8280" w:firstLineChars="2300"/>
        <w:jc w:val="left"/>
        <w:rPr>
          <w:bCs/>
          <w:sz w:val="36"/>
        </w:rPr>
      </w:pPr>
      <w:r>
        <w:rPr>
          <w:bCs/>
          <w:sz w:val="36"/>
        </w:rPr>
        <w:t>工程编号：2022-K</w:t>
      </w:r>
      <w:r>
        <w:rPr>
          <w:rFonts w:hint="eastAsia"/>
          <w:bCs/>
          <w:sz w:val="36"/>
        </w:rPr>
        <w:t>1022</w:t>
      </w:r>
    </w:p>
    <w:p>
      <w:pPr>
        <w:widowControl/>
        <w:tabs>
          <w:tab w:val="left" w:pos="10920"/>
        </w:tabs>
        <w:spacing w:line="540" w:lineRule="auto"/>
        <w:ind w:firstLine="8280" w:firstLineChars="2300"/>
        <w:jc w:val="left"/>
        <w:rPr>
          <w:bCs/>
          <w:sz w:val="36"/>
        </w:rPr>
      </w:pPr>
      <w:r>
        <w:rPr>
          <w:bCs/>
          <w:sz w:val="36"/>
        </w:rPr>
        <w:t>勘查阶段：详细勘查</w:t>
      </w:r>
    </w:p>
    <w:p>
      <w:pPr>
        <w:widowControl/>
        <w:spacing w:line="540" w:lineRule="auto"/>
        <w:ind w:firstLine="8280" w:firstLineChars="2300"/>
        <w:jc w:val="left"/>
        <w:rPr>
          <w:bCs/>
          <w:sz w:val="36"/>
        </w:rPr>
      </w:pPr>
      <w:r>
        <w:rPr>
          <w:rFonts w:hint="eastAsia"/>
          <w:bCs/>
          <w:sz w:val="36"/>
        </w:rPr>
        <w:t>项目</w:t>
      </w:r>
      <w:r>
        <w:rPr>
          <w:bCs/>
          <w:sz w:val="36"/>
        </w:rPr>
        <w:t>负责：</w:t>
      </w:r>
      <w:r>
        <w:rPr>
          <w:rFonts w:hint="eastAsia"/>
          <w:bCs/>
          <w:sz w:val="36"/>
        </w:rPr>
        <w:t xml:space="preserve"> 刘俊清</w:t>
      </w:r>
    </w:p>
    <w:p>
      <w:pPr>
        <w:widowControl/>
        <w:spacing w:line="540" w:lineRule="auto"/>
        <w:ind w:firstLine="8280" w:firstLineChars="2300"/>
        <w:jc w:val="left"/>
        <w:rPr>
          <w:bCs/>
          <w:sz w:val="36"/>
        </w:rPr>
      </w:pPr>
      <w:r>
        <w:rPr>
          <w:bCs/>
          <w:sz w:val="36"/>
        </w:rPr>
        <w:t>编    写：</w:t>
      </w:r>
      <w:r>
        <w:rPr>
          <w:rFonts w:hint="eastAsia"/>
          <w:bCs/>
          <w:sz w:val="36"/>
        </w:rPr>
        <w:t xml:space="preserve"> 唐慧彬</w:t>
      </w:r>
    </w:p>
    <w:p>
      <w:pPr>
        <w:widowControl/>
        <w:spacing w:line="540" w:lineRule="auto"/>
        <w:ind w:firstLine="8280" w:firstLineChars="2300"/>
        <w:jc w:val="left"/>
        <w:rPr>
          <w:bCs/>
          <w:sz w:val="36"/>
        </w:rPr>
      </w:pPr>
      <w:r>
        <w:rPr>
          <w:bCs/>
          <w:sz w:val="36"/>
        </w:rPr>
        <w:t>审 核 人：</w:t>
      </w:r>
      <w:r>
        <w:rPr>
          <w:rFonts w:hint="eastAsia"/>
          <w:bCs/>
          <w:sz w:val="36"/>
        </w:rPr>
        <w:t xml:space="preserve"> 罗金妹</w:t>
      </w:r>
    </w:p>
    <w:p>
      <w:pPr>
        <w:widowControl/>
        <w:spacing w:line="540" w:lineRule="auto"/>
        <w:ind w:firstLine="8280" w:firstLineChars="2300"/>
        <w:jc w:val="left"/>
        <w:rPr>
          <w:bCs/>
          <w:sz w:val="36"/>
        </w:rPr>
      </w:pPr>
      <w:r>
        <w:rPr>
          <w:rFonts w:hint="eastAsia"/>
          <w:bCs/>
          <w:sz w:val="36"/>
          <w:lang w:val="en-US" w:eastAsia="zh-CN"/>
        </w:rPr>
        <w:t>专业总工</w:t>
      </w:r>
      <w:r>
        <w:rPr>
          <w:bCs/>
          <w:sz w:val="36"/>
        </w:rPr>
        <w:t>：</w:t>
      </w:r>
      <w:r>
        <w:rPr>
          <w:rFonts w:hint="eastAsia"/>
          <w:bCs/>
          <w:sz w:val="36"/>
        </w:rPr>
        <w:t xml:space="preserve"> 陈新栭</w:t>
      </w:r>
    </w:p>
    <w:p>
      <w:pPr>
        <w:widowControl/>
        <w:spacing w:line="540" w:lineRule="auto"/>
        <w:ind w:firstLine="8280" w:firstLineChars="2300"/>
        <w:jc w:val="left"/>
        <w:rPr>
          <w:bCs/>
          <w:sz w:val="36"/>
        </w:rPr>
      </w:pPr>
      <w:r>
        <w:rPr>
          <w:rFonts w:hint="eastAsia"/>
          <w:bCs/>
          <w:sz w:val="36"/>
        </w:rPr>
        <w:t>院    长</w:t>
      </w:r>
      <w:r>
        <w:rPr>
          <w:bCs/>
          <w:sz w:val="36"/>
        </w:rPr>
        <w:t>：</w:t>
      </w:r>
      <w:r>
        <w:rPr>
          <w:rFonts w:hint="eastAsia"/>
          <w:bCs/>
          <w:sz w:val="36"/>
        </w:rPr>
        <w:t xml:space="preserve"> 黄晓毅</w:t>
      </w:r>
      <w:bookmarkStart w:id="34" w:name="_GoBack"/>
      <w:bookmarkEnd w:id="34"/>
    </w:p>
    <w:p>
      <w:pPr>
        <w:widowControl/>
        <w:spacing w:line="540" w:lineRule="auto"/>
        <w:jc w:val="left"/>
        <w:rPr>
          <w:bCs/>
          <w:sz w:val="44"/>
        </w:rPr>
      </w:pPr>
    </w:p>
    <w:p>
      <w:pPr>
        <w:widowControl/>
        <w:autoSpaceDE w:val="0"/>
        <w:autoSpaceDN w:val="0"/>
        <w:ind w:firstLine="420"/>
        <w:rPr>
          <w:bCs/>
          <w:sz w:val="21"/>
        </w:rPr>
      </w:pPr>
    </w:p>
    <w:p>
      <w:pPr>
        <w:widowControl/>
        <w:ind w:firstLine="880"/>
        <w:jc w:val="center"/>
        <w:rPr>
          <w:bCs/>
          <w:sz w:val="44"/>
        </w:rPr>
      </w:pPr>
      <w:r>
        <w:rPr>
          <w:rFonts w:hint="eastAsia"/>
          <w:bCs/>
          <w:sz w:val="44"/>
        </w:rPr>
        <w:t xml:space="preserve"> </w:t>
      </w:r>
      <w:r>
        <w:rPr>
          <w:bCs/>
          <w:sz w:val="44"/>
        </w:rPr>
        <w:t>提交单位：</w:t>
      </w:r>
      <w:r>
        <w:rPr>
          <w:rFonts w:hint="eastAsia"/>
          <w:bCs/>
          <w:sz w:val="44"/>
        </w:rPr>
        <w:t>中化地质矿山总局福建地质勘查院</w:t>
      </w:r>
      <w:r>
        <w:rPr>
          <w:bCs/>
          <w:sz w:val="44"/>
        </w:rPr>
        <w:t xml:space="preserve">           </w:t>
      </w:r>
    </w:p>
    <w:p>
      <w:pPr>
        <w:widowControl/>
        <w:ind w:firstLine="880"/>
        <w:jc w:val="left"/>
        <w:rPr>
          <w:bCs/>
          <w:sz w:val="44"/>
        </w:rPr>
        <w:sectPr>
          <w:footerReference r:id="rId4" w:type="default"/>
          <w:headerReference r:id="rId3" w:type="even"/>
          <w:footerReference r:id="rId5" w:type="even"/>
          <w:pgSz w:w="23811" w:h="16838" w:orient="landscape"/>
          <w:pgMar w:top="1191" w:right="1247" w:bottom="1701" w:left="1588" w:header="851" w:footer="709" w:gutter="0"/>
          <w:pgBorders>
            <w:top w:val="none" w:sz="0" w:space="0"/>
            <w:left w:val="none" w:sz="0" w:space="0"/>
            <w:bottom w:val="none" w:sz="0" w:space="0"/>
            <w:right w:val="none" w:sz="0" w:space="0"/>
          </w:pgBorders>
          <w:pgNumType w:start="1"/>
          <w:cols w:space="720" w:num="1"/>
          <w:docGrid w:type="lines" w:linePitch="381" w:charSpace="0"/>
        </w:sectPr>
      </w:pPr>
      <w:r>
        <w:rPr>
          <w:rFonts w:hint="eastAsia"/>
          <w:bCs/>
          <w:sz w:val="44"/>
        </w:rPr>
        <w:t xml:space="preserve">   </w:t>
      </w:r>
      <w:r>
        <w:rPr>
          <w:bCs/>
          <w:sz w:val="44"/>
        </w:rPr>
        <w:t xml:space="preserve">                      </w:t>
      </w:r>
      <w:r>
        <w:rPr>
          <w:rFonts w:hint="eastAsia"/>
          <w:bCs/>
          <w:sz w:val="44"/>
        </w:rPr>
        <w:t xml:space="preserve"> </w:t>
      </w:r>
      <w:r>
        <w:rPr>
          <w:bCs/>
          <w:sz w:val="44"/>
        </w:rPr>
        <w:t>提交时间：二0</w:t>
      </w:r>
      <w:r>
        <w:rPr>
          <w:rFonts w:hint="eastAsia"/>
          <w:bCs/>
          <w:sz w:val="44"/>
        </w:rPr>
        <w:t>二</w:t>
      </w:r>
      <w:r>
        <w:rPr>
          <w:rFonts w:hint="eastAsia"/>
          <w:bCs/>
          <w:sz w:val="44"/>
          <w:lang w:val="en-US" w:eastAsia="zh-CN"/>
        </w:rPr>
        <w:t>三</w:t>
      </w:r>
      <w:r>
        <w:rPr>
          <w:bCs/>
          <w:sz w:val="44"/>
        </w:rPr>
        <w:t>年</w:t>
      </w:r>
      <w:r>
        <w:rPr>
          <w:rFonts w:hint="eastAsia"/>
          <w:bCs/>
          <w:sz w:val="44"/>
          <w:lang w:val="en-US" w:eastAsia="zh-CN"/>
        </w:rPr>
        <w:t>二</w:t>
      </w:r>
      <w:r>
        <w:rPr>
          <w:bCs/>
          <w:sz w:val="44"/>
        </w:rPr>
        <w:t>月</w:t>
      </w:r>
    </w:p>
    <w:p>
      <w:pPr>
        <w:widowControl/>
        <w:tabs>
          <w:tab w:val="right" w:leader="dot" w:pos="20912"/>
        </w:tabs>
        <w:ind w:left="420" w:firstLine="801"/>
        <w:jc w:val="center"/>
        <w:rPr>
          <w:b/>
          <w:bCs/>
          <w:sz w:val="40"/>
        </w:rPr>
      </w:pPr>
      <w:r>
        <w:rPr>
          <w:b/>
          <w:bCs/>
          <w:sz w:val="40"/>
        </w:rPr>
        <w:t>目  录</w:t>
      </w:r>
    </w:p>
    <w:p>
      <w:pPr>
        <w:pStyle w:val="11"/>
        <w:tabs>
          <w:tab w:val="right" w:leader="dot" w:pos="10068"/>
        </w:tabs>
        <w:rPr>
          <w:b/>
          <w:bCs/>
        </w:rPr>
      </w:pPr>
      <w:r>
        <w:rPr>
          <w:szCs w:val="28"/>
        </w:rPr>
        <w:fldChar w:fldCharType="begin"/>
      </w:r>
      <w:r>
        <w:rPr>
          <w:szCs w:val="28"/>
        </w:rPr>
        <w:instrText xml:space="preserve"> TOC \o "1-3" \h \z \u </w:instrText>
      </w:r>
      <w:r>
        <w:rPr>
          <w:szCs w:val="28"/>
        </w:rPr>
        <w:fldChar w:fldCharType="separate"/>
      </w:r>
      <w:r>
        <w:fldChar w:fldCharType="begin"/>
      </w:r>
      <w:r>
        <w:instrText xml:space="preserve"> HYPERLINK \l "_Toc22854" </w:instrText>
      </w:r>
      <w:r>
        <w:fldChar w:fldCharType="separate"/>
      </w:r>
      <w:r>
        <w:rPr>
          <w:b/>
          <w:bCs/>
        </w:rPr>
        <w:t>1前言</w:t>
      </w:r>
      <w:r>
        <w:rPr>
          <w:b/>
          <w:bCs/>
        </w:rPr>
        <w:tab/>
      </w:r>
      <w:r>
        <w:rPr>
          <w:b/>
          <w:bCs/>
        </w:rPr>
        <w:fldChar w:fldCharType="begin"/>
      </w:r>
      <w:r>
        <w:rPr>
          <w:b/>
          <w:bCs/>
        </w:rPr>
        <w:instrText xml:space="preserve"> PAGEREF _Toc22854 \h </w:instrText>
      </w:r>
      <w:r>
        <w:rPr>
          <w:b/>
          <w:bCs/>
        </w:rPr>
        <w:fldChar w:fldCharType="separate"/>
      </w:r>
      <w:r>
        <w:rPr>
          <w:b/>
          <w:bCs/>
        </w:rPr>
        <w:t>1</w:t>
      </w:r>
      <w:r>
        <w:rPr>
          <w:b/>
          <w:bCs/>
        </w:rPr>
        <w:fldChar w:fldCharType="end"/>
      </w:r>
      <w:r>
        <w:rPr>
          <w:b/>
          <w:bCs/>
        </w:rPr>
        <w:fldChar w:fldCharType="end"/>
      </w:r>
    </w:p>
    <w:p>
      <w:pPr>
        <w:pStyle w:val="11"/>
        <w:tabs>
          <w:tab w:val="right" w:leader="dot" w:pos="10068"/>
        </w:tabs>
      </w:pPr>
      <w:r>
        <w:fldChar w:fldCharType="begin"/>
      </w:r>
      <w:r>
        <w:instrText xml:space="preserve"> HYPERLINK \l "_Toc13675" </w:instrText>
      </w:r>
      <w:r>
        <w:fldChar w:fldCharType="separate"/>
      </w:r>
      <w:r>
        <w:t>1.1工程概况</w:t>
      </w:r>
      <w:r>
        <w:tab/>
      </w:r>
      <w:r>
        <w:fldChar w:fldCharType="begin"/>
      </w:r>
      <w:r>
        <w:instrText xml:space="preserve"> PAGEREF _Toc13675 \h </w:instrText>
      </w:r>
      <w:r>
        <w:fldChar w:fldCharType="separate"/>
      </w:r>
      <w:r>
        <w:t>1</w:t>
      </w:r>
      <w:r>
        <w:fldChar w:fldCharType="end"/>
      </w:r>
      <w:r>
        <w:fldChar w:fldCharType="end"/>
      </w:r>
    </w:p>
    <w:p>
      <w:pPr>
        <w:pStyle w:val="11"/>
        <w:tabs>
          <w:tab w:val="right" w:leader="dot" w:pos="10068"/>
        </w:tabs>
      </w:pPr>
      <w:r>
        <w:fldChar w:fldCharType="begin"/>
      </w:r>
      <w:r>
        <w:instrText xml:space="preserve"> HYPERLINK \l "_Toc30310" </w:instrText>
      </w:r>
      <w:r>
        <w:fldChar w:fldCharType="separate"/>
      </w:r>
      <w:r>
        <w:t>1.2勘查目的、技术要求和依据的技术标准</w:t>
      </w:r>
      <w:r>
        <w:tab/>
      </w:r>
      <w:r>
        <w:fldChar w:fldCharType="begin"/>
      </w:r>
      <w:r>
        <w:instrText xml:space="preserve"> PAGEREF _Toc30310 \h </w:instrText>
      </w:r>
      <w:r>
        <w:fldChar w:fldCharType="separate"/>
      </w:r>
      <w:r>
        <w:t>1</w:t>
      </w:r>
      <w:r>
        <w:fldChar w:fldCharType="end"/>
      </w:r>
      <w:r>
        <w:fldChar w:fldCharType="end"/>
      </w:r>
    </w:p>
    <w:p>
      <w:pPr>
        <w:pStyle w:val="11"/>
        <w:tabs>
          <w:tab w:val="right" w:leader="dot" w:pos="10068"/>
        </w:tabs>
      </w:pPr>
      <w:r>
        <w:fldChar w:fldCharType="begin"/>
      </w:r>
      <w:r>
        <w:instrText xml:space="preserve"> HYPERLINK \l "_Toc28708" </w:instrText>
      </w:r>
      <w:r>
        <w:fldChar w:fldCharType="separate"/>
      </w:r>
      <w:r>
        <w:t>1.3勘查手段和勘查工作量布置</w:t>
      </w:r>
      <w:r>
        <w:tab/>
      </w:r>
      <w:r>
        <w:fldChar w:fldCharType="begin"/>
      </w:r>
      <w:r>
        <w:instrText xml:space="preserve"> PAGEREF _Toc28708 \h </w:instrText>
      </w:r>
      <w:r>
        <w:fldChar w:fldCharType="separate"/>
      </w:r>
      <w:r>
        <w:t>2</w:t>
      </w:r>
      <w:r>
        <w:fldChar w:fldCharType="end"/>
      </w:r>
      <w:r>
        <w:fldChar w:fldCharType="end"/>
      </w:r>
    </w:p>
    <w:p>
      <w:pPr>
        <w:pStyle w:val="11"/>
        <w:tabs>
          <w:tab w:val="right" w:leader="dot" w:pos="10068"/>
        </w:tabs>
      </w:pPr>
      <w:r>
        <w:fldChar w:fldCharType="begin"/>
      </w:r>
      <w:r>
        <w:instrText xml:space="preserve"> HYPERLINK \l "_Toc22024" </w:instrText>
      </w:r>
      <w:r>
        <w:fldChar w:fldCharType="separate"/>
      </w:r>
      <w:r>
        <w:t>1.4勘查施工及完成实物工作量</w:t>
      </w:r>
      <w:r>
        <w:tab/>
      </w:r>
      <w:r>
        <w:fldChar w:fldCharType="begin"/>
      </w:r>
      <w:r>
        <w:instrText xml:space="preserve"> PAGEREF _Toc22024 \h </w:instrText>
      </w:r>
      <w:r>
        <w:fldChar w:fldCharType="separate"/>
      </w:r>
      <w:r>
        <w:t>2</w:t>
      </w:r>
      <w:r>
        <w:fldChar w:fldCharType="end"/>
      </w:r>
      <w:r>
        <w:fldChar w:fldCharType="end"/>
      </w:r>
    </w:p>
    <w:p>
      <w:pPr>
        <w:pStyle w:val="11"/>
        <w:tabs>
          <w:tab w:val="right" w:leader="dot" w:pos="10068"/>
        </w:tabs>
        <w:rPr>
          <w:b/>
          <w:bCs/>
        </w:rPr>
      </w:pPr>
      <w:r>
        <w:fldChar w:fldCharType="begin"/>
      </w:r>
      <w:r>
        <w:instrText xml:space="preserve"> HYPERLINK \l "_Toc20337" </w:instrText>
      </w:r>
      <w:r>
        <w:fldChar w:fldCharType="separate"/>
      </w:r>
      <w:r>
        <w:rPr>
          <w:b/>
          <w:bCs/>
        </w:rPr>
        <w:t>2 勘查区地质环境条件</w:t>
      </w:r>
      <w:r>
        <w:rPr>
          <w:b/>
          <w:bCs/>
        </w:rPr>
        <w:tab/>
      </w:r>
      <w:r>
        <w:rPr>
          <w:b/>
          <w:bCs/>
        </w:rPr>
        <w:fldChar w:fldCharType="begin"/>
      </w:r>
      <w:r>
        <w:rPr>
          <w:b/>
          <w:bCs/>
        </w:rPr>
        <w:instrText xml:space="preserve"> PAGEREF _Toc20337 \h </w:instrText>
      </w:r>
      <w:r>
        <w:rPr>
          <w:b/>
          <w:bCs/>
        </w:rPr>
        <w:fldChar w:fldCharType="separate"/>
      </w:r>
      <w:r>
        <w:rPr>
          <w:b/>
          <w:bCs/>
        </w:rPr>
        <w:t>3</w:t>
      </w:r>
      <w:r>
        <w:rPr>
          <w:b/>
          <w:bCs/>
        </w:rPr>
        <w:fldChar w:fldCharType="end"/>
      </w:r>
      <w:r>
        <w:rPr>
          <w:b/>
          <w:bCs/>
        </w:rPr>
        <w:fldChar w:fldCharType="end"/>
      </w:r>
    </w:p>
    <w:p>
      <w:pPr>
        <w:pStyle w:val="11"/>
        <w:tabs>
          <w:tab w:val="right" w:leader="dot" w:pos="10068"/>
        </w:tabs>
      </w:pPr>
      <w:r>
        <w:fldChar w:fldCharType="begin"/>
      </w:r>
      <w:r>
        <w:instrText xml:space="preserve"> HYPERLINK \l "_Toc13480" </w:instrText>
      </w:r>
      <w:r>
        <w:fldChar w:fldCharType="separate"/>
      </w:r>
      <w:r>
        <w:t>2.1勘查区地形地貌特征</w:t>
      </w:r>
      <w:r>
        <w:tab/>
      </w:r>
      <w:r>
        <w:fldChar w:fldCharType="begin"/>
      </w:r>
      <w:r>
        <w:instrText xml:space="preserve"> PAGEREF _Toc13480 \h </w:instrText>
      </w:r>
      <w:r>
        <w:fldChar w:fldCharType="separate"/>
      </w:r>
      <w:r>
        <w:t>3</w:t>
      </w:r>
      <w:r>
        <w:fldChar w:fldCharType="end"/>
      </w:r>
      <w:r>
        <w:fldChar w:fldCharType="end"/>
      </w:r>
    </w:p>
    <w:p>
      <w:pPr>
        <w:pStyle w:val="11"/>
        <w:tabs>
          <w:tab w:val="right" w:leader="dot" w:pos="10068"/>
        </w:tabs>
      </w:pPr>
      <w:r>
        <w:fldChar w:fldCharType="begin"/>
      </w:r>
      <w:r>
        <w:instrText xml:space="preserve"> HYPERLINK \l "_Toc22688" </w:instrText>
      </w:r>
      <w:r>
        <w:fldChar w:fldCharType="separate"/>
      </w:r>
      <w:r>
        <w:t>2.2气象、水文条件</w:t>
      </w:r>
      <w:r>
        <w:tab/>
      </w:r>
      <w:r>
        <w:fldChar w:fldCharType="begin"/>
      </w:r>
      <w:r>
        <w:instrText xml:space="preserve"> PAGEREF _Toc22688 \h </w:instrText>
      </w:r>
      <w:r>
        <w:fldChar w:fldCharType="separate"/>
      </w:r>
      <w:r>
        <w:t>4</w:t>
      </w:r>
      <w:r>
        <w:fldChar w:fldCharType="end"/>
      </w:r>
      <w:r>
        <w:fldChar w:fldCharType="end"/>
      </w:r>
    </w:p>
    <w:p>
      <w:pPr>
        <w:pStyle w:val="12"/>
        <w:tabs>
          <w:tab w:val="right" w:leader="dot" w:pos="10068"/>
          <w:tab w:val="clear" w:pos="10322"/>
        </w:tabs>
      </w:pPr>
      <w:r>
        <w:fldChar w:fldCharType="begin"/>
      </w:r>
      <w:r>
        <w:instrText xml:space="preserve"> HYPERLINK \l "_Toc23059" </w:instrText>
      </w:r>
      <w:r>
        <w:fldChar w:fldCharType="separate"/>
      </w:r>
      <w:r>
        <w:rPr>
          <w:szCs w:val="30"/>
        </w:rPr>
        <w:t xml:space="preserve">2.3 </w:t>
      </w:r>
      <w:r>
        <w:t>勘查区地层岩性及岩土层特征</w:t>
      </w:r>
      <w:r>
        <w:tab/>
      </w:r>
      <w:r>
        <w:fldChar w:fldCharType="begin"/>
      </w:r>
      <w:r>
        <w:instrText xml:space="preserve"> PAGEREF _Toc23059 \h </w:instrText>
      </w:r>
      <w:r>
        <w:fldChar w:fldCharType="separate"/>
      </w:r>
      <w:r>
        <w:t>4</w:t>
      </w:r>
      <w:r>
        <w:fldChar w:fldCharType="end"/>
      </w:r>
      <w:r>
        <w:fldChar w:fldCharType="end"/>
      </w:r>
    </w:p>
    <w:p>
      <w:pPr>
        <w:pStyle w:val="11"/>
        <w:tabs>
          <w:tab w:val="right" w:leader="dot" w:pos="10068"/>
        </w:tabs>
      </w:pPr>
      <w:r>
        <w:fldChar w:fldCharType="begin"/>
      </w:r>
      <w:r>
        <w:instrText xml:space="preserve"> HYPERLINK \l "_Toc5400" </w:instrText>
      </w:r>
      <w:r>
        <w:fldChar w:fldCharType="separate"/>
      </w:r>
      <w:r>
        <w:t>2.4勘查区地下水类型及埋藏条件</w:t>
      </w:r>
      <w:r>
        <w:tab/>
      </w:r>
      <w:r>
        <w:fldChar w:fldCharType="begin"/>
      </w:r>
      <w:r>
        <w:instrText xml:space="preserve"> PAGEREF _Toc5400 \h </w:instrText>
      </w:r>
      <w:r>
        <w:fldChar w:fldCharType="separate"/>
      </w:r>
      <w:r>
        <w:t>5</w:t>
      </w:r>
      <w:r>
        <w:fldChar w:fldCharType="end"/>
      </w:r>
      <w:r>
        <w:fldChar w:fldCharType="end"/>
      </w:r>
    </w:p>
    <w:p>
      <w:pPr>
        <w:pStyle w:val="11"/>
        <w:tabs>
          <w:tab w:val="right" w:leader="dot" w:pos="10068"/>
        </w:tabs>
      </w:pPr>
      <w:r>
        <w:fldChar w:fldCharType="begin"/>
      </w:r>
      <w:r>
        <w:instrText xml:space="preserve"> HYPERLINK \l "_Toc20380" </w:instrText>
      </w:r>
      <w:r>
        <w:fldChar w:fldCharType="separate"/>
      </w:r>
      <w:r>
        <w:t>2.5勘查区不良地质作用描述</w:t>
      </w:r>
      <w:r>
        <w:tab/>
      </w:r>
      <w:r>
        <w:fldChar w:fldCharType="begin"/>
      </w:r>
      <w:r>
        <w:instrText xml:space="preserve"> PAGEREF _Toc20380 \h </w:instrText>
      </w:r>
      <w:r>
        <w:fldChar w:fldCharType="separate"/>
      </w:r>
      <w:r>
        <w:t>6</w:t>
      </w:r>
      <w:r>
        <w:fldChar w:fldCharType="end"/>
      </w:r>
      <w:r>
        <w:fldChar w:fldCharType="end"/>
      </w:r>
    </w:p>
    <w:p>
      <w:pPr>
        <w:pStyle w:val="11"/>
        <w:tabs>
          <w:tab w:val="right" w:leader="dot" w:pos="10068"/>
        </w:tabs>
        <w:rPr>
          <w:b/>
          <w:bCs/>
        </w:rPr>
      </w:pPr>
      <w:r>
        <w:fldChar w:fldCharType="begin"/>
      </w:r>
      <w:r>
        <w:instrText xml:space="preserve"> HYPERLINK \l "_Toc8261" </w:instrText>
      </w:r>
      <w:r>
        <w:fldChar w:fldCharType="separate"/>
      </w:r>
      <w:r>
        <w:rPr>
          <w:b/>
          <w:bCs/>
        </w:rPr>
        <w:t>3稳定性评价</w:t>
      </w:r>
      <w:r>
        <w:rPr>
          <w:b/>
          <w:bCs/>
        </w:rPr>
        <w:tab/>
      </w:r>
      <w:r>
        <w:rPr>
          <w:b/>
          <w:bCs/>
        </w:rPr>
        <w:fldChar w:fldCharType="begin"/>
      </w:r>
      <w:r>
        <w:rPr>
          <w:b/>
          <w:bCs/>
        </w:rPr>
        <w:instrText xml:space="preserve"> PAGEREF _Toc8261 \h </w:instrText>
      </w:r>
      <w:r>
        <w:rPr>
          <w:b/>
          <w:bCs/>
        </w:rPr>
        <w:fldChar w:fldCharType="separate"/>
      </w:r>
      <w:r>
        <w:rPr>
          <w:b/>
          <w:bCs/>
        </w:rPr>
        <w:t>7</w:t>
      </w:r>
      <w:r>
        <w:rPr>
          <w:b/>
          <w:bCs/>
        </w:rPr>
        <w:fldChar w:fldCharType="end"/>
      </w:r>
      <w:r>
        <w:rPr>
          <w:b/>
          <w:bCs/>
        </w:rPr>
        <w:fldChar w:fldCharType="end"/>
      </w:r>
    </w:p>
    <w:p>
      <w:pPr>
        <w:pStyle w:val="11"/>
        <w:tabs>
          <w:tab w:val="right" w:leader="dot" w:pos="10068"/>
        </w:tabs>
      </w:pPr>
      <w:r>
        <w:fldChar w:fldCharType="begin"/>
      </w:r>
      <w:r>
        <w:instrText xml:space="preserve"> HYPERLINK \l "_Toc9437" </w:instrText>
      </w:r>
      <w:r>
        <w:fldChar w:fldCharType="separate"/>
      </w:r>
      <w:r>
        <w:t>3.1边坡各坡段形态特征及变形特征</w:t>
      </w:r>
      <w:r>
        <w:tab/>
      </w:r>
      <w:r>
        <w:fldChar w:fldCharType="begin"/>
      </w:r>
      <w:r>
        <w:instrText xml:space="preserve"> PAGEREF _Toc9437 \h </w:instrText>
      </w:r>
      <w:r>
        <w:fldChar w:fldCharType="separate"/>
      </w:r>
      <w:r>
        <w:t>7</w:t>
      </w:r>
      <w:r>
        <w:fldChar w:fldCharType="end"/>
      </w:r>
      <w:r>
        <w:fldChar w:fldCharType="end"/>
      </w:r>
    </w:p>
    <w:p>
      <w:pPr>
        <w:pStyle w:val="12"/>
        <w:tabs>
          <w:tab w:val="right" w:leader="dot" w:pos="10068"/>
          <w:tab w:val="clear" w:pos="10322"/>
        </w:tabs>
      </w:pPr>
      <w:r>
        <w:fldChar w:fldCharType="begin"/>
      </w:r>
      <w:r>
        <w:instrText xml:space="preserve"> HYPERLINK \l "_Toc3531" </w:instrText>
      </w:r>
      <w:r>
        <w:fldChar w:fldCharType="separate"/>
      </w:r>
      <w:r>
        <w:t>3.2崩塌灾害演变历史</w:t>
      </w:r>
      <w:r>
        <w:tab/>
      </w:r>
      <w:r>
        <w:fldChar w:fldCharType="begin"/>
      </w:r>
      <w:r>
        <w:instrText xml:space="preserve"> PAGEREF _Toc3531 \h </w:instrText>
      </w:r>
      <w:r>
        <w:fldChar w:fldCharType="separate"/>
      </w:r>
      <w:r>
        <w:t>8</w:t>
      </w:r>
      <w:r>
        <w:fldChar w:fldCharType="end"/>
      </w:r>
      <w:r>
        <w:fldChar w:fldCharType="end"/>
      </w:r>
    </w:p>
    <w:p>
      <w:pPr>
        <w:pStyle w:val="12"/>
        <w:tabs>
          <w:tab w:val="right" w:leader="dot" w:pos="10068"/>
          <w:tab w:val="clear" w:pos="10322"/>
        </w:tabs>
      </w:pPr>
      <w:r>
        <w:fldChar w:fldCharType="begin"/>
      </w:r>
      <w:r>
        <w:instrText xml:space="preserve"> HYPERLINK \l "_Toc8083" </w:instrText>
      </w:r>
      <w:r>
        <w:fldChar w:fldCharType="separate"/>
      </w:r>
      <w:r>
        <w:t>3.3边坡稳定性评价</w:t>
      </w:r>
      <w:r>
        <w:tab/>
      </w:r>
      <w:r>
        <w:fldChar w:fldCharType="begin"/>
      </w:r>
      <w:r>
        <w:instrText xml:space="preserve"> PAGEREF _Toc8083 \h </w:instrText>
      </w:r>
      <w:r>
        <w:fldChar w:fldCharType="separate"/>
      </w:r>
      <w:r>
        <w:t>9</w:t>
      </w:r>
      <w:r>
        <w:fldChar w:fldCharType="end"/>
      </w:r>
      <w:r>
        <w:fldChar w:fldCharType="end"/>
      </w:r>
    </w:p>
    <w:p>
      <w:pPr>
        <w:pStyle w:val="12"/>
        <w:tabs>
          <w:tab w:val="right" w:leader="dot" w:pos="10068"/>
          <w:tab w:val="clear" w:pos="10322"/>
        </w:tabs>
        <w:rPr>
          <w:b/>
          <w:bCs/>
        </w:rPr>
      </w:pPr>
      <w:r>
        <w:fldChar w:fldCharType="begin"/>
      </w:r>
      <w:r>
        <w:instrText xml:space="preserve"> HYPERLINK \l "_Toc12914" </w:instrText>
      </w:r>
      <w:r>
        <w:fldChar w:fldCharType="separate"/>
      </w:r>
      <w:r>
        <w:rPr>
          <w:b/>
          <w:bCs/>
          <w:szCs w:val="36"/>
          <w:highlight w:val="none"/>
        </w:rPr>
        <w:t>4崩塌治理方案建议及监测建议</w:t>
      </w:r>
      <w:r>
        <w:rPr>
          <w:b/>
          <w:bCs/>
        </w:rPr>
        <w:tab/>
      </w:r>
      <w:r>
        <w:rPr>
          <w:b/>
          <w:bCs/>
        </w:rPr>
        <w:fldChar w:fldCharType="begin"/>
      </w:r>
      <w:r>
        <w:rPr>
          <w:b/>
          <w:bCs/>
        </w:rPr>
        <w:instrText xml:space="preserve"> PAGEREF _Toc12914 \h </w:instrText>
      </w:r>
      <w:r>
        <w:rPr>
          <w:b/>
          <w:bCs/>
        </w:rPr>
        <w:fldChar w:fldCharType="separate"/>
      </w:r>
      <w:r>
        <w:rPr>
          <w:b/>
          <w:bCs/>
        </w:rPr>
        <w:t>12</w:t>
      </w:r>
      <w:r>
        <w:rPr>
          <w:b/>
          <w:bCs/>
        </w:rPr>
        <w:fldChar w:fldCharType="end"/>
      </w:r>
      <w:r>
        <w:rPr>
          <w:b/>
          <w:bCs/>
        </w:rPr>
        <w:fldChar w:fldCharType="end"/>
      </w:r>
    </w:p>
    <w:p>
      <w:pPr>
        <w:pStyle w:val="8"/>
        <w:tabs>
          <w:tab w:val="right" w:leader="dot" w:pos="10068"/>
        </w:tabs>
        <w:ind w:left="0" w:leftChars="0"/>
      </w:pPr>
      <w:r>
        <w:fldChar w:fldCharType="begin"/>
      </w:r>
      <w:r>
        <w:instrText xml:space="preserve"> HYPERLINK \l "_Toc22365" </w:instrText>
      </w:r>
      <w:r>
        <w:fldChar w:fldCharType="separate"/>
      </w:r>
      <w:r>
        <w:t>4.1 崩塌治理方案建议</w:t>
      </w:r>
      <w:r>
        <w:tab/>
      </w:r>
      <w:r>
        <w:fldChar w:fldCharType="begin"/>
      </w:r>
      <w:r>
        <w:instrText xml:space="preserve"> PAGEREF _Toc22365 \h </w:instrText>
      </w:r>
      <w:r>
        <w:fldChar w:fldCharType="separate"/>
      </w:r>
      <w:r>
        <w:t>12</w:t>
      </w:r>
      <w:r>
        <w:fldChar w:fldCharType="end"/>
      </w:r>
      <w:r>
        <w:fldChar w:fldCharType="end"/>
      </w:r>
    </w:p>
    <w:p>
      <w:pPr>
        <w:pStyle w:val="8"/>
        <w:tabs>
          <w:tab w:val="right" w:leader="dot" w:pos="10068"/>
        </w:tabs>
        <w:ind w:left="0" w:leftChars="0"/>
      </w:pPr>
      <w:r>
        <w:fldChar w:fldCharType="begin"/>
      </w:r>
      <w:r>
        <w:instrText xml:space="preserve"> HYPERLINK \l "_Toc28018" </w:instrText>
      </w:r>
      <w:r>
        <w:fldChar w:fldCharType="separate"/>
      </w:r>
      <w:r>
        <w:t>4.2 监测建议</w:t>
      </w:r>
      <w:r>
        <w:tab/>
      </w:r>
      <w:r>
        <w:fldChar w:fldCharType="begin"/>
      </w:r>
      <w:r>
        <w:instrText xml:space="preserve"> PAGEREF _Toc28018 \h </w:instrText>
      </w:r>
      <w:r>
        <w:fldChar w:fldCharType="separate"/>
      </w:r>
      <w:r>
        <w:t>12</w:t>
      </w:r>
      <w:r>
        <w:fldChar w:fldCharType="end"/>
      </w:r>
      <w:r>
        <w:fldChar w:fldCharType="end"/>
      </w:r>
    </w:p>
    <w:p>
      <w:pPr>
        <w:pStyle w:val="12"/>
        <w:tabs>
          <w:tab w:val="right" w:leader="dot" w:pos="10068"/>
          <w:tab w:val="clear" w:pos="10322"/>
        </w:tabs>
      </w:pPr>
      <w:r>
        <w:fldChar w:fldCharType="begin"/>
      </w:r>
      <w:r>
        <w:instrText xml:space="preserve"> HYPERLINK \l "_Toc1121" </w:instrText>
      </w:r>
      <w:r>
        <w:fldChar w:fldCharType="separate"/>
      </w:r>
      <w:r>
        <w:t>5 结论与建议</w:t>
      </w:r>
      <w:r>
        <w:tab/>
      </w:r>
      <w:r>
        <w:fldChar w:fldCharType="begin"/>
      </w:r>
      <w:r>
        <w:instrText xml:space="preserve"> PAGEREF _Toc1121 \h </w:instrText>
      </w:r>
      <w:r>
        <w:fldChar w:fldCharType="separate"/>
      </w:r>
      <w:r>
        <w:t>12</w:t>
      </w:r>
      <w:r>
        <w:fldChar w:fldCharType="end"/>
      </w:r>
      <w:r>
        <w:fldChar w:fldCharType="end"/>
      </w:r>
    </w:p>
    <w:p>
      <w:pPr>
        <w:ind w:firstLine="560"/>
        <w:rPr>
          <w:bCs/>
          <w:szCs w:val="28"/>
          <w:lang w:val="zh-CN"/>
        </w:rPr>
      </w:pPr>
      <w:r>
        <w:rPr>
          <w:bCs/>
          <w:szCs w:val="28"/>
          <w:lang w:val="zh-CN"/>
        </w:rPr>
        <w:fldChar w:fldCharType="end"/>
      </w:r>
    </w:p>
    <w:p>
      <w:pPr>
        <w:pStyle w:val="2"/>
      </w:pPr>
    </w:p>
    <w:p>
      <w:pPr>
        <w:widowControl/>
        <w:tabs>
          <w:tab w:val="left" w:pos="20580"/>
        </w:tabs>
        <w:ind w:right="542" w:firstLine="641"/>
        <w:rPr>
          <w:b/>
          <w:bCs/>
          <w:sz w:val="32"/>
        </w:rPr>
      </w:pPr>
      <w:r>
        <w:rPr>
          <w:rFonts w:hint="eastAsia"/>
          <w:b/>
          <w:bCs/>
          <w:sz w:val="32"/>
        </w:rPr>
        <w:t>附表</w:t>
      </w:r>
    </w:p>
    <w:p>
      <w:pPr>
        <w:widowControl/>
        <w:tabs>
          <w:tab w:val="left" w:pos="20580"/>
        </w:tabs>
        <w:ind w:right="542" w:firstLine="560"/>
      </w:pPr>
      <w:r>
        <w:t xml:space="preserve">1  </w:t>
      </w:r>
      <w:r>
        <w:rPr>
          <w:rFonts w:hint="eastAsia"/>
        </w:rPr>
        <w:t>勘探点主要数据一览表</w:t>
      </w:r>
      <w:r>
        <w:t xml:space="preserve">  </w:t>
      </w:r>
    </w:p>
    <w:p>
      <w:pPr>
        <w:widowControl/>
        <w:tabs>
          <w:tab w:val="left" w:pos="20580"/>
        </w:tabs>
        <w:ind w:right="542" w:firstLine="560"/>
      </w:pPr>
      <w:r>
        <w:rPr>
          <w:rFonts w:hint="eastAsia"/>
        </w:rPr>
        <w:t>2</w:t>
      </w:r>
      <w:r>
        <w:t xml:space="preserve">  </w:t>
      </w:r>
      <w:r>
        <w:rPr>
          <w:rFonts w:hint="eastAsia"/>
        </w:rPr>
        <w:t>标准贯入试验成果统计表</w:t>
      </w:r>
    </w:p>
    <w:p>
      <w:pPr>
        <w:widowControl/>
        <w:tabs>
          <w:tab w:val="left" w:pos="20580"/>
        </w:tabs>
        <w:ind w:right="542" w:firstLine="560"/>
      </w:pPr>
      <w:r>
        <w:rPr>
          <w:rFonts w:hint="eastAsia"/>
        </w:rPr>
        <w:t>3</w:t>
      </w:r>
      <w:r>
        <w:t xml:space="preserve">  </w:t>
      </w:r>
      <w:r>
        <w:rPr>
          <w:rFonts w:hint="eastAsia"/>
        </w:rPr>
        <w:t>土工试验成果总表</w:t>
      </w:r>
    </w:p>
    <w:p>
      <w:pPr>
        <w:widowControl/>
        <w:tabs>
          <w:tab w:val="left" w:pos="20580"/>
        </w:tabs>
        <w:ind w:right="542" w:firstLine="560"/>
      </w:pPr>
      <w:r>
        <w:rPr>
          <w:rFonts w:hint="eastAsia"/>
        </w:rPr>
        <w:t>4</w:t>
      </w:r>
      <w:r>
        <w:t xml:space="preserve">  </w:t>
      </w:r>
      <w:r>
        <w:rPr>
          <w:rFonts w:hint="eastAsia"/>
        </w:rPr>
        <w:t>岩石点荷载强度试验成果</w:t>
      </w:r>
    </w:p>
    <w:p>
      <w:pPr>
        <w:widowControl/>
        <w:tabs>
          <w:tab w:val="left" w:pos="20580"/>
        </w:tabs>
        <w:ind w:right="542" w:firstLine="641"/>
        <w:rPr>
          <w:b/>
          <w:bCs/>
          <w:sz w:val="32"/>
        </w:rPr>
      </w:pPr>
      <w:r>
        <w:rPr>
          <w:rFonts w:hint="eastAsia"/>
          <w:b/>
          <w:bCs/>
          <w:sz w:val="32"/>
        </w:rPr>
        <w:t>附图</w:t>
      </w:r>
    </w:p>
    <w:p>
      <w:pPr>
        <w:widowControl/>
        <w:spacing w:line="600" w:lineRule="exact"/>
        <w:ind w:firstLine="560"/>
      </w:pPr>
      <w:r>
        <w:t xml:space="preserve">1  </w:t>
      </w:r>
      <w:r>
        <w:rPr>
          <w:rFonts w:hint="eastAsia"/>
        </w:rPr>
        <w:t>工程地质平面图（图号</w:t>
      </w:r>
      <w:r>
        <w:t>01</w:t>
      </w:r>
      <w:r>
        <w:rPr>
          <w:rFonts w:hint="eastAsia"/>
        </w:rPr>
        <w:t>）</w:t>
      </w:r>
    </w:p>
    <w:p>
      <w:pPr>
        <w:widowControl/>
        <w:spacing w:line="600" w:lineRule="exact"/>
        <w:ind w:firstLine="560"/>
      </w:pPr>
      <w:r>
        <w:t>2  1-1’</w:t>
      </w:r>
      <w:r>
        <w:rPr>
          <w:rFonts w:hint="eastAsia"/>
        </w:rPr>
        <w:t>～</w:t>
      </w:r>
      <w:r>
        <w:rPr>
          <w:rFonts w:hint="eastAsia"/>
          <w:lang w:val="en-US" w:eastAsia="zh-CN"/>
        </w:rPr>
        <w:t>2-2</w:t>
      </w:r>
      <w:r>
        <w:t>’</w:t>
      </w:r>
      <w:r>
        <w:rPr>
          <w:rFonts w:hint="eastAsia"/>
        </w:rPr>
        <w:t>工程地质剖面图（图号</w:t>
      </w:r>
      <w:r>
        <w:t>02</w:t>
      </w:r>
      <w:r>
        <w:rPr>
          <w:rFonts w:hint="eastAsia"/>
        </w:rPr>
        <w:t>～0</w:t>
      </w:r>
      <w:r>
        <w:rPr>
          <w:rFonts w:hint="eastAsia"/>
          <w:lang w:val="en-US" w:eastAsia="zh-CN"/>
        </w:rPr>
        <w:t>3</w:t>
      </w:r>
      <w:r>
        <w:rPr>
          <w:rFonts w:hint="eastAsia"/>
        </w:rPr>
        <w:t>）</w:t>
      </w:r>
    </w:p>
    <w:p>
      <w:pPr>
        <w:widowControl/>
        <w:spacing w:line="600" w:lineRule="exact"/>
        <w:ind w:firstLine="560"/>
        <w:jc w:val="left"/>
        <w:sectPr>
          <w:headerReference r:id="rId6" w:type="default"/>
          <w:footerReference r:id="rId7" w:type="default"/>
          <w:pgSz w:w="23811" w:h="16838" w:orient="landscape"/>
          <w:pgMar w:top="1191" w:right="1247" w:bottom="1701" w:left="1588" w:header="1134" w:footer="709" w:gutter="0"/>
          <w:pgBorders>
            <w:top w:val="none" w:sz="0" w:space="0"/>
            <w:left w:val="none" w:sz="0" w:space="0"/>
            <w:bottom w:val="none" w:sz="0" w:space="0"/>
            <w:right w:val="none" w:sz="0" w:space="0"/>
          </w:pgBorders>
          <w:pgNumType w:start="1"/>
          <w:cols w:space="840" w:num="2"/>
          <w:docGrid w:type="lines" w:linePitch="312" w:charSpace="0"/>
        </w:sectPr>
      </w:pPr>
      <w:r>
        <w:t xml:space="preserve">3  </w:t>
      </w:r>
      <w:r>
        <w:rPr>
          <w:rFonts w:hint="eastAsia"/>
        </w:rPr>
        <w:t>工程地质柱状图</w:t>
      </w:r>
    </w:p>
    <w:p>
      <w:pPr>
        <w:pStyle w:val="3"/>
        <w:numPr>
          <w:ilvl w:val="0"/>
          <w:numId w:val="1"/>
        </w:numPr>
      </w:pPr>
      <w:bookmarkStart w:id="0" w:name="_Toc22854"/>
      <w:r>
        <w:t>前言</w:t>
      </w:r>
      <w:bookmarkEnd w:id="0"/>
    </w:p>
    <w:p>
      <w:pPr>
        <w:pStyle w:val="2"/>
        <w:numPr>
          <w:ilvl w:val="1"/>
          <w:numId w:val="2"/>
        </w:numPr>
      </w:pPr>
      <w:bookmarkStart w:id="1" w:name="_Toc13675"/>
      <w:r>
        <w:t>工程概况</w:t>
      </w:r>
      <w:bookmarkEnd w:id="1"/>
    </w:p>
    <w:p>
      <w:pPr>
        <w:ind w:firstLine="562" w:firstLineChars="200"/>
        <w:rPr>
          <w:rFonts w:hint="default" w:eastAsia="宋体"/>
          <w:bCs/>
          <w:lang w:val="en-US" w:eastAsia="zh-CN"/>
        </w:rPr>
      </w:pPr>
      <w:r>
        <w:rPr>
          <w:b/>
        </w:rPr>
        <w:t>1.1.1</w:t>
      </w:r>
      <w:r>
        <w:rPr>
          <w:bCs/>
        </w:rPr>
        <w:t>拟治理崩塌位于</w:t>
      </w:r>
      <w:r>
        <w:rPr>
          <w:rFonts w:hint="eastAsia"/>
          <w:bCs/>
        </w:rPr>
        <w:t>三明市尤溪县城关镇北门</w:t>
      </w:r>
      <w:r>
        <w:rPr>
          <w:rFonts w:hint="eastAsia"/>
          <w:bCs/>
          <w:lang w:val="en-US" w:eastAsia="zh-CN"/>
        </w:rPr>
        <w:t>28、</w:t>
      </w:r>
      <w:r>
        <w:rPr>
          <w:rFonts w:hint="eastAsia"/>
          <w:bCs/>
        </w:rPr>
        <w:t>31、32、33号宅前边坡。</w:t>
      </w:r>
      <w:r>
        <w:rPr>
          <w:rFonts w:hint="eastAsia"/>
          <w:bCs/>
          <w:lang w:val="en-US" w:eastAsia="zh-CN"/>
        </w:rPr>
        <w:t>勘查区原始地形为一小山包，</w:t>
      </w:r>
      <w:r>
        <w:rPr>
          <w:szCs w:val="28"/>
        </w:rPr>
        <w:t>自然山坡坡度</w:t>
      </w:r>
      <w:r>
        <w:rPr>
          <w:rFonts w:hint="eastAsia"/>
          <w:szCs w:val="28"/>
        </w:rPr>
        <w:t>15</w:t>
      </w:r>
      <w:r>
        <w:rPr>
          <w:szCs w:val="28"/>
        </w:rPr>
        <w:t>～</w:t>
      </w:r>
      <w:r>
        <w:rPr>
          <w:rFonts w:hint="eastAsia"/>
          <w:szCs w:val="28"/>
        </w:rPr>
        <w:t>25</w:t>
      </w:r>
      <w:r>
        <w:rPr>
          <w:szCs w:val="28"/>
        </w:rPr>
        <w:t>°，</w:t>
      </w:r>
      <w:r>
        <w:rPr>
          <w:rFonts w:hint="eastAsia"/>
          <w:szCs w:val="28"/>
        </w:rPr>
        <w:t>局部超过30°</w:t>
      </w:r>
      <w:r>
        <w:rPr>
          <w:rFonts w:hint="eastAsia"/>
          <w:szCs w:val="28"/>
          <w:lang w:eastAsia="zh-CN"/>
        </w:rPr>
        <w:t>。</w:t>
      </w:r>
      <w:r>
        <w:rPr>
          <w:rFonts w:hint="eastAsia"/>
          <w:bCs/>
          <w:lang w:val="en-US" w:eastAsia="zh-CN"/>
        </w:rPr>
        <w:t>因村民房屋建设对山坡中下部进行开挖，形成多级台地。</w:t>
      </w:r>
    </w:p>
    <w:p>
      <w:pPr>
        <w:tabs>
          <w:tab w:val="left" w:pos="3360"/>
        </w:tabs>
        <w:ind w:firstLine="560" w:firstLineChars="200"/>
        <w:rPr>
          <w:bCs/>
        </w:rPr>
      </w:pPr>
      <w:r>
        <w:rPr>
          <w:bCs/>
        </w:rPr>
        <w:t>据访问了解，</w:t>
      </w:r>
      <w:r>
        <w:rPr>
          <w:rFonts w:hint="eastAsia"/>
          <w:bCs/>
          <w:lang w:val="en-US" w:eastAsia="zh-CN"/>
        </w:rPr>
        <w:t>28、</w:t>
      </w:r>
      <w:r>
        <w:rPr>
          <w:rFonts w:hint="eastAsia"/>
          <w:bCs/>
        </w:rPr>
        <w:t>31号、32号及33号于1988年建房，对山体进行开挖及堆填整平，</w:t>
      </w:r>
      <w:r>
        <w:rPr>
          <w:rFonts w:hint="eastAsia"/>
          <w:bCs/>
          <w:lang w:val="en-US" w:eastAsia="zh-CN"/>
        </w:rPr>
        <w:t>28、31、32、33号宅前</w:t>
      </w:r>
      <w:r>
        <w:rPr>
          <w:rFonts w:hint="eastAsia"/>
          <w:bCs/>
        </w:rPr>
        <w:t>边坡为二级坡，第一级为填土边坡，第二级为人工开挖边坡。2006年5～6月强降雨期间发生崩塌，方量约1000m</w:t>
      </w:r>
      <w:r>
        <w:rPr>
          <w:rFonts w:hint="eastAsia"/>
          <w:bCs/>
          <w:vertAlign w:val="superscript"/>
        </w:rPr>
        <w:t>3</w:t>
      </w:r>
      <w:r>
        <w:rPr>
          <w:rFonts w:hint="eastAsia"/>
          <w:bCs/>
        </w:rPr>
        <w:t>。发生崩塌后于2006年底在第二级人工开挖边坡坡脚处修建干砌块石护面墙，护面墙高约2～3m，厚0.5m，基础埋深0.5m。20-1号、20-2号于2007年建房，为混凝土结构，采用</w:t>
      </w:r>
      <w:r>
        <w:rPr>
          <w:rFonts w:hint="eastAsia"/>
          <w:bCs/>
          <w:lang w:eastAsia="zh-CN"/>
        </w:rPr>
        <w:t>条形基础</w:t>
      </w:r>
      <w:r>
        <w:rPr>
          <w:rFonts w:hint="eastAsia"/>
          <w:bCs/>
        </w:rPr>
        <w:t>。同年在第一级填土边坡处修建干砌块石护面墙进行支护，护面墙高约2m，厚0.5m，基础埋深0.5m。</w:t>
      </w:r>
    </w:p>
    <w:p>
      <w:pPr>
        <w:tabs>
          <w:tab w:val="left" w:pos="3360"/>
        </w:tabs>
        <w:ind w:firstLine="560" w:firstLineChars="200"/>
        <w:rPr>
          <w:bCs/>
          <w:color w:val="auto"/>
        </w:rPr>
      </w:pPr>
      <w:r>
        <w:rPr>
          <w:rFonts w:hint="eastAsia"/>
          <w:bCs/>
        </w:rPr>
        <w:t>2022年6月13日，在持续强降雨的影响下该处边坡再次发生崩塌（BT1），崩塌方量约1000m</w:t>
      </w:r>
      <w:r>
        <w:rPr>
          <w:rFonts w:hint="eastAsia"/>
          <w:bCs/>
          <w:vertAlign w:val="superscript"/>
        </w:rPr>
        <w:t>3</w:t>
      </w:r>
      <w:r>
        <w:rPr>
          <w:rFonts w:hint="eastAsia"/>
          <w:bCs/>
        </w:rPr>
        <w:t>。崩塌导致</w:t>
      </w:r>
      <w:r>
        <w:rPr>
          <w:rFonts w:hint="eastAsia"/>
          <w:bCs/>
          <w:lang w:val="en-US" w:eastAsia="zh-CN"/>
        </w:rPr>
        <w:t>边坡</w:t>
      </w:r>
      <w:r>
        <w:rPr>
          <w:rFonts w:hint="eastAsia"/>
          <w:bCs/>
        </w:rPr>
        <w:t>上部及坡脚护面墙损毁，坡顶</w:t>
      </w:r>
      <w:r>
        <w:rPr>
          <w:rFonts w:hint="eastAsia"/>
          <w:bCs/>
          <w:lang w:val="en-US" w:eastAsia="zh-CN"/>
        </w:rPr>
        <w:t>28号、</w:t>
      </w:r>
      <w:r>
        <w:rPr>
          <w:rFonts w:hint="eastAsia"/>
          <w:bCs/>
        </w:rPr>
        <w:t>31号、32号院子地面垮塌悬空，31号、32号院子内地面及31号房屋墙体见裂缝。坡脚20-1号、20-2号后墙受损破裂。</w:t>
      </w:r>
      <w:r>
        <w:rPr>
          <w:rFonts w:hint="eastAsia"/>
          <w:bCs/>
          <w:color w:val="auto"/>
          <w:lang w:val="en-US" w:eastAsia="zh-CN"/>
        </w:rPr>
        <w:t>勘查施工期间已对边坡崩塌处上部采取注浆加固+挂网喷锚方式进行临时加固，下部</w:t>
      </w:r>
      <w:r>
        <w:rPr>
          <w:rFonts w:hint="eastAsia"/>
          <w:bCs/>
          <w:color w:val="auto"/>
        </w:rPr>
        <w:t>崩积体</w:t>
      </w:r>
      <w:r>
        <w:rPr>
          <w:rFonts w:hint="eastAsia"/>
          <w:bCs/>
          <w:color w:val="auto"/>
          <w:lang w:val="en-US" w:eastAsia="zh-CN"/>
        </w:rPr>
        <w:t>暂</w:t>
      </w:r>
      <w:r>
        <w:rPr>
          <w:rFonts w:hint="eastAsia"/>
          <w:bCs/>
          <w:color w:val="auto"/>
        </w:rPr>
        <w:t>未进行清理。</w:t>
      </w:r>
    </w:p>
    <w:p>
      <w:pPr>
        <w:ind w:firstLine="560" w:firstLineChars="200"/>
      </w:pPr>
      <w:r>
        <w:t>现状</w:t>
      </w:r>
      <w:r>
        <w:rPr>
          <w:rFonts w:hint="eastAsia"/>
        </w:rPr>
        <w:t>边坡高陡裸露</w:t>
      </w:r>
      <w:r>
        <w:t>，</w:t>
      </w:r>
      <w:r>
        <w:rPr>
          <w:rFonts w:hint="eastAsia"/>
        </w:rPr>
        <w:t>在强降雨条件下，受雨水的冲刷作用，潜在产生崩塌灾害，</w:t>
      </w:r>
      <w:r>
        <w:t>严重威胁</w:t>
      </w:r>
      <w:r>
        <w:rPr>
          <w:rFonts w:hint="eastAsia"/>
        </w:rPr>
        <w:t>坡顶</w:t>
      </w:r>
      <w:r>
        <w:rPr>
          <w:rFonts w:hint="eastAsia"/>
          <w:lang w:val="en-US" w:eastAsia="zh-CN"/>
        </w:rPr>
        <w:t>28、</w:t>
      </w:r>
      <w:r>
        <w:rPr>
          <w:rFonts w:hint="eastAsia"/>
          <w:bCs/>
        </w:rPr>
        <w:t>31、32、33</w:t>
      </w:r>
      <w:r>
        <w:rPr>
          <w:rFonts w:hint="eastAsia"/>
        </w:rPr>
        <w:t>号及坡脚20-1至20-2号居民共53人及过往行人的</w:t>
      </w:r>
      <w:r>
        <w:t>生命财产安全，其危害性大。为了彻底消除崩塌隐患，我院受</w:t>
      </w:r>
      <w:r>
        <w:rPr>
          <w:rFonts w:hint="eastAsia"/>
        </w:rPr>
        <w:t>尤溪县城关镇人民政府</w:t>
      </w:r>
      <w:r>
        <w:t>的委托，于2022年</w:t>
      </w:r>
      <w:r>
        <w:rPr>
          <w:rFonts w:hint="eastAsia"/>
        </w:rPr>
        <w:t>10</w:t>
      </w:r>
      <w:r>
        <w:t>月</w:t>
      </w:r>
      <w:r>
        <w:rPr>
          <w:rFonts w:hint="eastAsia"/>
        </w:rPr>
        <w:t>18</w:t>
      </w:r>
      <w:r>
        <w:t>日对</w:t>
      </w:r>
      <w:r>
        <w:rPr>
          <w:rFonts w:hint="eastAsia"/>
        </w:rPr>
        <w:t>三明市尤溪县城关镇北门居委会</w:t>
      </w:r>
      <w:r>
        <w:rPr>
          <w:rFonts w:hint="eastAsia"/>
          <w:bCs/>
        </w:rPr>
        <w:t>31、32、33</w:t>
      </w:r>
      <w:r>
        <w:rPr>
          <w:rFonts w:hint="eastAsia"/>
        </w:rPr>
        <w:t>号等宅前崩塌</w:t>
      </w:r>
      <w:r>
        <w:t>治理工程进行详细勘查工作。</w:t>
      </w:r>
    </w:p>
    <w:p>
      <w:pPr>
        <w:jc w:val="center"/>
      </w:pPr>
      <w:r>
        <w:rPr>
          <w:rFonts w:hint="eastAsia"/>
          <w:sz w:val="24"/>
          <w:szCs w:val="24"/>
        </w:rPr>
        <w:drawing>
          <wp:anchor distT="0" distB="0" distL="114300" distR="114300" simplePos="0" relativeHeight="251662336" behindDoc="0" locked="0" layoutInCell="1" allowOverlap="1">
            <wp:simplePos x="0" y="0"/>
            <wp:positionH relativeFrom="column">
              <wp:posOffset>5668645</wp:posOffset>
            </wp:positionH>
            <wp:positionV relativeFrom="paragraph">
              <wp:posOffset>21590</wp:posOffset>
            </wp:positionV>
            <wp:extent cx="536575" cy="567055"/>
            <wp:effectExtent l="0" t="0" r="12065" b="12065"/>
            <wp:wrapNone/>
            <wp:docPr id="5"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1"/>
                    <pic:cNvPicPr>
                      <a:picLocks noChangeAspect="1"/>
                    </pic:cNvPicPr>
                  </pic:nvPicPr>
                  <pic:blipFill>
                    <a:blip r:embed="rId10"/>
                    <a:srcRect l="568" t="28845" r="3409"/>
                    <a:stretch>
                      <a:fillRect/>
                    </a:stretch>
                  </pic:blipFill>
                  <pic:spPr>
                    <a:xfrm rot="16200000">
                      <a:off x="0" y="0"/>
                      <a:ext cx="536575" cy="567055"/>
                    </a:xfrm>
                    <a:prstGeom prst="rect">
                      <a:avLst/>
                    </a:prstGeom>
                    <a:noFill/>
                    <a:ln>
                      <a:noFill/>
                    </a:ln>
                  </pic:spPr>
                </pic:pic>
              </a:graphicData>
            </a:graphic>
          </wp:anchor>
        </w:drawing>
      </w:r>
      <w:r>
        <w:rPr>
          <w:rFonts w:hint="eastAsia"/>
          <w:sz w:val="24"/>
          <w:szCs w:val="24"/>
        </w:rPr>
        <w:drawing>
          <wp:inline distT="0" distB="0" distL="114300" distR="114300">
            <wp:extent cx="4843780" cy="6035675"/>
            <wp:effectExtent l="0" t="0" r="14605" b="2540"/>
            <wp:docPr id="13" name="图片 13" descr="崩塌航拍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崩塌航拍照片-1"/>
                    <pic:cNvPicPr>
                      <a:picLocks noChangeAspect="1"/>
                    </pic:cNvPicPr>
                  </pic:nvPicPr>
                  <pic:blipFill>
                    <a:blip r:embed="rId11"/>
                    <a:srcRect l="5073" t="15227" r="12471" b="12148"/>
                    <a:stretch>
                      <a:fillRect/>
                    </a:stretch>
                  </pic:blipFill>
                  <pic:spPr>
                    <a:xfrm rot="16200000">
                      <a:off x="0" y="0"/>
                      <a:ext cx="4843780" cy="6035675"/>
                    </a:xfrm>
                    <a:prstGeom prst="rect">
                      <a:avLst/>
                    </a:prstGeom>
                  </pic:spPr>
                </pic:pic>
              </a:graphicData>
            </a:graphic>
          </wp:inline>
        </w:drawing>
      </w:r>
    </w:p>
    <w:p>
      <w:pPr>
        <w:pStyle w:val="6"/>
        <w:jc w:val="center"/>
        <w:rPr>
          <w:b/>
          <w:bCs/>
          <w:sz w:val="24"/>
          <w:szCs w:val="24"/>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1.1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rFonts w:hint="eastAsia"/>
          <w:sz w:val="24"/>
          <w:szCs w:val="24"/>
        </w:rPr>
        <w:t>北门31</w:t>
      </w:r>
      <w:r>
        <w:rPr>
          <w:rFonts w:hint="eastAsia"/>
          <w:sz w:val="24"/>
          <w:szCs w:val="24"/>
          <w:lang w:eastAsia="zh-CN"/>
        </w:rPr>
        <w:t>、</w:t>
      </w:r>
      <w:r>
        <w:rPr>
          <w:rFonts w:hint="eastAsia"/>
          <w:sz w:val="24"/>
          <w:szCs w:val="24"/>
          <w:lang w:val="en-US" w:eastAsia="zh-CN"/>
        </w:rPr>
        <w:t>32、33</w:t>
      </w:r>
      <w:r>
        <w:rPr>
          <w:rFonts w:hint="eastAsia"/>
          <w:sz w:val="24"/>
          <w:szCs w:val="24"/>
        </w:rPr>
        <w:t>号宅前</w:t>
      </w:r>
      <w:r>
        <w:rPr>
          <w:sz w:val="24"/>
          <w:szCs w:val="24"/>
        </w:rPr>
        <w:t>崩塌航拍照片</w:t>
      </w:r>
    </w:p>
    <w:p>
      <w:pPr>
        <w:pStyle w:val="6"/>
        <w:jc w:val="center"/>
        <w:rPr>
          <w:b/>
          <w:bCs/>
          <w:sz w:val="24"/>
          <w:szCs w:val="24"/>
        </w:rPr>
      </w:pPr>
    </w:p>
    <w:p>
      <w:pPr>
        <w:widowControl/>
        <w:rPr>
          <w:szCs w:val="28"/>
        </w:rPr>
      </w:pPr>
      <w:r>
        <w:rPr>
          <w:b/>
          <w:bCs/>
          <w:szCs w:val="28"/>
        </w:rPr>
        <w:t>1.1.2</w:t>
      </w:r>
      <w:r>
        <w:rPr>
          <w:szCs w:val="28"/>
        </w:rPr>
        <w:t>根据《福建省滑坡勘查技术规范》（试行）3.2.2条规定，本</w:t>
      </w:r>
      <w:r>
        <w:rPr>
          <w:rFonts w:hint="eastAsia"/>
          <w:szCs w:val="28"/>
        </w:rPr>
        <w:t>崩塌</w:t>
      </w:r>
      <w:r>
        <w:rPr>
          <w:szCs w:val="28"/>
        </w:rPr>
        <w:t>威胁人数</w:t>
      </w:r>
      <w:r>
        <w:rPr>
          <w:rFonts w:hint="eastAsia"/>
          <w:szCs w:val="28"/>
        </w:rPr>
        <w:t>53</w:t>
      </w:r>
      <w:r>
        <w:rPr>
          <w:szCs w:val="28"/>
        </w:rPr>
        <w:t>人，潜在经济损失</w:t>
      </w:r>
      <w:r>
        <w:rPr>
          <w:rFonts w:hint="eastAsia"/>
          <w:szCs w:val="28"/>
        </w:rPr>
        <w:t>200</w:t>
      </w:r>
      <w:r>
        <w:rPr>
          <w:szCs w:val="28"/>
        </w:rPr>
        <w:t>万元，确定本地质灾害点防治工程等级为</w:t>
      </w:r>
      <w:r>
        <w:rPr>
          <w:rFonts w:hint="eastAsia"/>
          <w:szCs w:val="28"/>
        </w:rPr>
        <w:t>二</w:t>
      </w:r>
      <w:r>
        <w:rPr>
          <w:szCs w:val="28"/>
        </w:rPr>
        <w:t>级，确定勘查区地质条件类型为复杂的场地。根据国标《建筑抗震设计规范》（GB50011-2010）3.1条规定，勘查区建筑抗震设防类别为</w:t>
      </w:r>
      <w:r>
        <w:rPr>
          <w:rFonts w:hint="eastAsia"/>
          <w:szCs w:val="28"/>
          <w:lang w:val="en-US" w:eastAsia="zh-CN"/>
        </w:rPr>
        <w:t>丙</w:t>
      </w:r>
      <w:r>
        <w:rPr>
          <w:szCs w:val="28"/>
        </w:rPr>
        <w:t>类。</w:t>
      </w:r>
    </w:p>
    <w:p>
      <w:pPr>
        <w:pStyle w:val="2"/>
        <w:numPr>
          <w:ilvl w:val="1"/>
          <w:numId w:val="2"/>
        </w:numPr>
      </w:pPr>
      <w:bookmarkStart w:id="2" w:name="_Toc30310"/>
      <w:r>
        <w:t>勘查目的、技术要求和依据的技术标准</w:t>
      </w:r>
      <w:bookmarkEnd w:id="2"/>
    </w:p>
    <w:p>
      <w:pPr>
        <w:rPr>
          <w:szCs w:val="28"/>
        </w:rPr>
      </w:pPr>
      <w:r>
        <w:rPr>
          <w:b/>
          <w:bCs/>
          <w:szCs w:val="28"/>
        </w:rPr>
        <w:t>1.2.1</w:t>
      </w:r>
      <w:r>
        <w:rPr>
          <w:szCs w:val="28"/>
        </w:rPr>
        <w:t>本工程勘查按详细勘查阶段要求进行，主要目的与任务是：</w:t>
      </w:r>
    </w:p>
    <w:p>
      <w:pPr>
        <w:autoSpaceDE w:val="0"/>
        <w:autoSpaceDN w:val="0"/>
        <w:adjustRightInd w:val="0"/>
        <w:ind w:firstLine="560" w:firstLineChars="200"/>
        <w:jc w:val="left"/>
        <w:rPr>
          <w:bCs/>
          <w:szCs w:val="28"/>
        </w:rPr>
      </w:pPr>
      <w:r>
        <w:rPr>
          <w:bCs/>
          <w:szCs w:val="28"/>
        </w:rPr>
        <w:t>1 查明勘查区的地形地貌特征，灾害点的特征、性质和演化；</w:t>
      </w:r>
    </w:p>
    <w:p>
      <w:pPr>
        <w:autoSpaceDE w:val="0"/>
        <w:autoSpaceDN w:val="0"/>
        <w:adjustRightInd w:val="0"/>
        <w:ind w:firstLine="560" w:firstLineChars="200"/>
        <w:jc w:val="left"/>
        <w:rPr>
          <w:bCs/>
          <w:szCs w:val="28"/>
        </w:rPr>
      </w:pPr>
      <w:r>
        <w:rPr>
          <w:bCs/>
          <w:szCs w:val="28"/>
        </w:rPr>
        <w:t xml:space="preserve">2 查明岩土类型、成因、工程特性、覆盖层厚度及岩土体的物理力学性质； </w:t>
      </w:r>
    </w:p>
    <w:p>
      <w:pPr>
        <w:autoSpaceDE w:val="0"/>
        <w:autoSpaceDN w:val="0"/>
        <w:adjustRightInd w:val="0"/>
        <w:ind w:firstLine="560" w:firstLineChars="200"/>
        <w:jc w:val="left"/>
        <w:rPr>
          <w:bCs/>
          <w:szCs w:val="28"/>
        </w:rPr>
      </w:pPr>
      <w:r>
        <w:rPr>
          <w:bCs/>
          <w:szCs w:val="28"/>
        </w:rPr>
        <w:t>3 评价勘查区地下水及土的腐蚀性；</w:t>
      </w:r>
    </w:p>
    <w:p>
      <w:pPr>
        <w:autoSpaceDE w:val="0"/>
        <w:autoSpaceDN w:val="0"/>
        <w:adjustRightInd w:val="0"/>
        <w:ind w:firstLine="560" w:firstLineChars="200"/>
        <w:jc w:val="left"/>
        <w:rPr>
          <w:bCs/>
          <w:szCs w:val="28"/>
        </w:rPr>
      </w:pPr>
      <w:r>
        <w:rPr>
          <w:bCs/>
          <w:szCs w:val="28"/>
        </w:rPr>
        <w:t>4 查明气象条件，降雨量，汇水面积、坡面植被等环境条件；</w:t>
      </w:r>
    </w:p>
    <w:p>
      <w:pPr>
        <w:autoSpaceDE w:val="0"/>
        <w:autoSpaceDN w:val="0"/>
        <w:adjustRightInd w:val="0"/>
        <w:ind w:firstLine="560" w:firstLineChars="200"/>
        <w:jc w:val="left"/>
        <w:rPr>
          <w:bCs/>
          <w:szCs w:val="28"/>
        </w:rPr>
      </w:pPr>
      <w:r>
        <w:rPr>
          <w:bCs/>
          <w:szCs w:val="28"/>
        </w:rPr>
        <w:t>5 查明地下设施的分布和埋深；</w:t>
      </w:r>
    </w:p>
    <w:p>
      <w:pPr>
        <w:autoSpaceDE w:val="0"/>
        <w:autoSpaceDN w:val="0"/>
        <w:adjustRightInd w:val="0"/>
        <w:ind w:firstLine="560" w:firstLineChars="200"/>
        <w:jc w:val="left"/>
        <w:rPr>
          <w:bCs/>
          <w:szCs w:val="28"/>
        </w:rPr>
      </w:pPr>
      <w:r>
        <w:rPr>
          <w:bCs/>
          <w:szCs w:val="28"/>
        </w:rPr>
        <w:t>6 判定勘查区场地类别，对场地和地基的地震效应进行评价；</w:t>
      </w:r>
    </w:p>
    <w:p>
      <w:pPr>
        <w:autoSpaceDE w:val="0"/>
        <w:autoSpaceDN w:val="0"/>
        <w:adjustRightInd w:val="0"/>
        <w:ind w:firstLine="560" w:firstLineChars="200"/>
        <w:jc w:val="left"/>
        <w:rPr>
          <w:bCs/>
          <w:szCs w:val="28"/>
        </w:rPr>
      </w:pPr>
      <w:r>
        <w:rPr>
          <w:bCs/>
          <w:szCs w:val="28"/>
        </w:rPr>
        <w:t>7 对</w:t>
      </w:r>
      <w:r>
        <w:rPr>
          <w:rFonts w:hint="eastAsia"/>
          <w:bCs/>
          <w:szCs w:val="28"/>
        </w:rPr>
        <w:t>边</w:t>
      </w:r>
      <w:r>
        <w:rPr>
          <w:bCs/>
          <w:szCs w:val="28"/>
        </w:rPr>
        <w:t>坡的稳定性进行验算，提供设计所需的岩土计算参数。</w:t>
      </w:r>
    </w:p>
    <w:p>
      <w:pPr>
        <w:rPr>
          <w:szCs w:val="28"/>
        </w:rPr>
      </w:pPr>
      <w:r>
        <w:rPr>
          <w:b/>
          <w:bCs/>
          <w:szCs w:val="28"/>
        </w:rPr>
        <w:t>1.2.2</w:t>
      </w:r>
      <w:r>
        <w:rPr>
          <w:szCs w:val="28"/>
        </w:rPr>
        <w:t>勘查依据的技术标准</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1 </w:t>
      </w:r>
      <w:r>
        <w:rPr>
          <w:rFonts w:hint="eastAsia" w:ascii="宋体" w:hAnsi="宋体" w:eastAsia="宋体"/>
          <w:sz w:val="28"/>
          <w:szCs w:val="28"/>
          <w:lang w:val="en-GB"/>
        </w:rPr>
        <w:t>国标《滑坡防治工程勘查规范》（GBT32864-2016）；</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2</w:t>
      </w:r>
      <w:r>
        <w:rPr>
          <w:rFonts w:hint="eastAsia" w:ascii="宋体" w:hAnsi="宋体" w:eastAsia="宋体"/>
          <w:sz w:val="28"/>
          <w:szCs w:val="28"/>
          <w:lang w:val="en-GB"/>
        </w:rPr>
        <w:t xml:space="preserve"> 国标《岩土工程勘察规范》(GB50021-2001)（2009年版）；</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3</w:t>
      </w:r>
      <w:r>
        <w:rPr>
          <w:rFonts w:hint="eastAsia" w:ascii="宋体" w:hAnsi="宋体" w:eastAsia="宋体"/>
          <w:sz w:val="28"/>
          <w:szCs w:val="28"/>
          <w:lang w:val="en-GB"/>
        </w:rPr>
        <w:t xml:space="preserve"> 国标《建筑边坡工程技术规范》（GB50330-2013）；</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4</w:t>
      </w:r>
      <w:r>
        <w:rPr>
          <w:rFonts w:ascii="宋体" w:hAnsi="宋体" w:eastAsia="宋体"/>
          <w:sz w:val="28"/>
          <w:szCs w:val="28"/>
          <w:lang w:val="en-GB"/>
        </w:rPr>
        <w:t xml:space="preserve"> </w:t>
      </w:r>
      <w:r>
        <w:rPr>
          <w:rFonts w:hint="eastAsia" w:ascii="宋体" w:hAnsi="宋体" w:eastAsia="宋体"/>
          <w:sz w:val="28"/>
          <w:szCs w:val="28"/>
          <w:lang w:val="en-GB"/>
        </w:rPr>
        <w:t>国标《土工试验方法标准》(GB/T50123-2019)；</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5</w:t>
      </w:r>
      <w:r>
        <w:rPr>
          <w:rFonts w:ascii="宋体" w:hAnsi="宋体" w:eastAsia="宋体"/>
          <w:sz w:val="28"/>
          <w:szCs w:val="28"/>
          <w:lang w:val="en-GB"/>
        </w:rPr>
        <w:t xml:space="preserve"> </w:t>
      </w:r>
      <w:r>
        <w:rPr>
          <w:rFonts w:hint="eastAsia" w:ascii="宋体" w:hAnsi="宋体" w:eastAsia="宋体"/>
          <w:sz w:val="28"/>
          <w:szCs w:val="28"/>
          <w:lang w:val="en-GB"/>
        </w:rPr>
        <w:t>国标《建筑抗震设计规范》（GB50011-2010）（2016版）；</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6</w:t>
      </w:r>
      <w:r>
        <w:rPr>
          <w:rFonts w:ascii="宋体" w:hAnsi="宋体" w:eastAsia="宋体"/>
          <w:sz w:val="28"/>
          <w:szCs w:val="28"/>
          <w:lang w:val="en-GB"/>
        </w:rPr>
        <w:t xml:space="preserve"> </w:t>
      </w:r>
      <w:r>
        <w:rPr>
          <w:rFonts w:hint="eastAsia" w:ascii="宋体" w:hAnsi="宋体" w:eastAsia="宋体"/>
          <w:sz w:val="28"/>
          <w:szCs w:val="28"/>
          <w:lang w:val="en-GB"/>
        </w:rPr>
        <w:t>国标《建筑工程抗震设防分类标准》(GB50223-2008)；</w:t>
      </w:r>
    </w:p>
    <w:p>
      <w:pPr>
        <w:pStyle w:val="7"/>
        <w:spacing w:line="360" w:lineRule="auto"/>
        <w:ind w:firstLine="600"/>
        <w:rPr>
          <w:rFonts w:ascii="宋体" w:hAnsi="宋体" w:eastAsia="宋体"/>
          <w:sz w:val="28"/>
          <w:szCs w:val="28"/>
        </w:rPr>
      </w:pPr>
      <w:r>
        <w:rPr>
          <w:rFonts w:hint="eastAsia" w:ascii="宋体" w:hAnsi="宋体" w:eastAsia="宋体"/>
          <w:sz w:val="28"/>
          <w:szCs w:val="28"/>
        </w:rPr>
        <w:t>7</w:t>
      </w:r>
      <w:r>
        <w:rPr>
          <w:rFonts w:ascii="宋体" w:hAnsi="宋体" w:eastAsia="宋体"/>
          <w:sz w:val="28"/>
          <w:szCs w:val="28"/>
          <w:lang w:val="en-GB"/>
        </w:rPr>
        <w:t xml:space="preserve"> </w:t>
      </w:r>
      <w:r>
        <w:rPr>
          <w:rFonts w:hint="eastAsia" w:ascii="宋体" w:hAnsi="宋体" w:eastAsia="宋体"/>
          <w:sz w:val="28"/>
          <w:szCs w:val="28"/>
          <w:lang w:val="en-GB"/>
        </w:rPr>
        <w:t>国标《建筑地基基础设计规范》（GB50007-2011）。</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8 </w:t>
      </w:r>
      <w:r>
        <w:rPr>
          <w:rFonts w:hint="eastAsia" w:ascii="宋体" w:hAnsi="宋体" w:eastAsia="宋体"/>
          <w:sz w:val="28"/>
          <w:szCs w:val="28"/>
          <w:lang w:val="en-GB"/>
        </w:rPr>
        <w:t>《福建省滑坡勘查技术规范》（试行）；</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9 </w:t>
      </w:r>
      <w:r>
        <w:rPr>
          <w:rFonts w:hint="eastAsia" w:ascii="宋体" w:hAnsi="宋体" w:eastAsia="宋体"/>
          <w:sz w:val="28"/>
          <w:szCs w:val="28"/>
          <w:lang w:val="en-GB"/>
        </w:rPr>
        <w:t>《福建省滑坡防治设计技术规范》（试行）；</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10</w:t>
      </w:r>
      <w:r>
        <w:rPr>
          <w:rFonts w:hint="eastAsia" w:ascii="宋体" w:hAnsi="宋体" w:eastAsia="宋体"/>
          <w:sz w:val="28"/>
          <w:szCs w:val="28"/>
          <w:lang w:val="en-GB"/>
        </w:rPr>
        <w:t xml:space="preserve"> 省标《岩土工程勘察规范》（DBJ13-84-2006）；</w:t>
      </w:r>
    </w:p>
    <w:p>
      <w:pPr>
        <w:autoSpaceDE w:val="0"/>
        <w:autoSpaceDN w:val="0"/>
        <w:adjustRightInd w:val="0"/>
        <w:ind w:firstLine="618" w:firstLineChars="221"/>
        <w:jc w:val="left"/>
        <w:rPr>
          <w:bCs/>
          <w:szCs w:val="28"/>
        </w:rPr>
      </w:pPr>
      <w:r>
        <w:rPr>
          <w:rFonts w:hint="eastAsia" w:ascii="宋体" w:hAnsi="宋体"/>
          <w:szCs w:val="28"/>
        </w:rPr>
        <w:t>11</w:t>
      </w:r>
      <w:r>
        <w:rPr>
          <w:rFonts w:hint="eastAsia" w:ascii="宋体" w:hAnsi="宋体"/>
          <w:szCs w:val="28"/>
          <w:lang w:val="en-GB"/>
        </w:rPr>
        <w:t xml:space="preserve"> 省标《建筑地基基础技术规范》（DBJ13-07-2006）</w:t>
      </w:r>
      <w:r>
        <w:rPr>
          <w:bCs/>
          <w:szCs w:val="28"/>
        </w:rPr>
        <w:t>。</w:t>
      </w:r>
    </w:p>
    <w:p>
      <w:pPr>
        <w:pStyle w:val="2"/>
        <w:numPr>
          <w:ilvl w:val="1"/>
          <w:numId w:val="2"/>
        </w:numPr>
      </w:pPr>
      <w:bookmarkStart w:id="3" w:name="_Toc28708"/>
      <w:r>
        <w:t>勘查手段和勘查工作量布置</w:t>
      </w:r>
      <w:bookmarkEnd w:id="3"/>
    </w:p>
    <w:p>
      <w:pPr>
        <w:rPr>
          <w:szCs w:val="28"/>
        </w:rPr>
      </w:pPr>
      <w:r>
        <w:rPr>
          <w:b/>
          <w:bCs/>
          <w:szCs w:val="28"/>
        </w:rPr>
        <w:t>1.3.1</w:t>
      </w:r>
      <w:r>
        <w:rPr>
          <w:szCs w:val="28"/>
        </w:rPr>
        <w:t>本次勘查以地质资料收集、现场地质调查、地形修测、访问调查</w:t>
      </w:r>
      <w:r>
        <w:rPr>
          <w:rFonts w:hint="eastAsia"/>
          <w:szCs w:val="28"/>
          <w:lang w:val="en-US" w:eastAsia="zh-CN"/>
        </w:rPr>
        <w:t>结合钻探及钻孔内</w:t>
      </w:r>
      <w:r>
        <w:rPr>
          <w:szCs w:val="28"/>
        </w:rPr>
        <w:t>原位标准贯入试验</w:t>
      </w:r>
      <w:r>
        <w:rPr>
          <w:rFonts w:hint="eastAsia"/>
          <w:szCs w:val="28"/>
          <w:lang w:val="en-US" w:eastAsia="zh-CN"/>
        </w:rPr>
        <w:t>并</w:t>
      </w:r>
      <w:r>
        <w:rPr>
          <w:szCs w:val="28"/>
        </w:rPr>
        <w:t>采取岩、土、水试样进行室内试验分析等综合方法进行施工。</w:t>
      </w:r>
    </w:p>
    <w:p>
      <w:pPr>
        <w:rPr>
          <w:b/>
          <w:bCs/>
          <w:szCs w:val="28"/>
        </w:rPr>
      </w:pPr>
      <w:r>
        <w:rPr>
          <w:rFonts w:hint="eastAsia"/>
          <w:b/>
          <w:bCs/>
          <w:szCs w:val="28"/>
        </w:rPr>
        <w:t>1.3.2</w:t>
      </w:r>
      <w:r>
        <w:rPr>
          <w:rFonts w:hint="eastAsia"/>
          <w:szCs w:val="28"/>
        </w:rPr>
        <w:t>本次勘查按1:500精度对勘查区进行地形测量，</w:t>
      </w:r>
      <w:r>
        <w:rPr>
          <w:szCs w:val="28"/>
        </w:rPr>
        <w:t>平面控制系统为2000国家大地坐标系，高程系统为1985国家高程系统。</w:t>
      </w:r>
    </w:p>
    <w:p>
      <w:pPr>
        <w:rPr>
          <w:sz w:val="24"/>
          <w:szCs w:val="24"/>
        </w:rPr>
      </w:pPr>
      <w:r>
        <w:rPr>
          <w:b/>
          <w:bCs/>
          <w:szCs w:val="28"/>
        </w:rPr>
        <w:t>1.3.</w:t>
      </w:r>
      <w:r>
        <w:rPr>
          <w:rFonts w:hint="eastAsia"/>
          <w:b/>
          <w:bCs/>
          <w:szCs w:val="28"/>
        </w:rPr>
        <w:t>3</w:t>
      </w:r>
      <w:r>
        <w:rPr>
          <w:rFonts w:hint="eastAsia"/>
          <w:b w:val="0"/>
          <w:bCs w:val="0"/>
          <w:szCs w:val="28"/>
          <w:lang w:val="en-US" w:eastAsia="zh-CN"/>
        </w:rPr>
        <w:t>根据现有地形</w:t>
      </w:r>
      <w:r>
        <w:rPr>
          <w:rFonts w:hint="eastAsia"/>
          <w:b w:val="0"/>
          <w:bCs w:val="0"/>
          <w:szCs w:val="28"/>
        </w:rPr>
        <w:t>，</w:t>
      </w:r>
      <w:r>
        <w:rPr>
          <w:rFonts w:hint="eastAsia"/>
          <w:szCs w:val="28"/>
        </w:rPr>
        <w:t>本次钻探采用</w:t>
      </w:r>
      <w:r>
        <w:rPr>
          <w:szCs w:val="28"/>
        </w:rPr>
        <w:t>XY-100型</w:t>
      </w:r>
      <w:r>
        <w:rPr>
          <w:rFonts w:hint="eastAsia"/>
          <w:szCs w:val="28"/>
        </w:rPr>
        <w:t>液压回转工程钻机结合背包钻机施钻的方式进行，于坡顶、坡脚共布设5个钻探点（编号ZK1～ZK5,其中ZK1为</w:t>
      </w:r>
      <w:r>
        <w:rPr>
          <w:szCs w:val="28"/>
        </w:rPr>
        <w:t>XY-100型</w:t>
      </w:r>
      <w:r>
        <w:rPr>
          <w:rFonts w:hint="eastAsia"/>
          <w:szCs w:val="28"/>
        </w:rPr>
        <w:t>工程钻机孔，ZK2-ZK5为背包钻机孔），</w:t>
      </w:r>
      <w:r>
        <w:rPr>
          <w:szCs w:val="28"/>
        </w:rPr>
        <w:t>共布设</w:t>
      </w:r>
      <w:r>
        <w:rPr>
          <w:rFonts w:hint="eastAsia"/>
          <w:szCs w:val="28"/>
        </w:rPr>
        <w:t>3</w:t>
      </w:r>
      <w:r>
        <w:rPr>
          <w:szCs w:val="28"/>
        </w:rPr>
        <w:t>条剖面线，调查点</w:t>
      </w:r>
      <w:r>
        <w:rPr>
          <w:rFonts w:hint="eastAsia"/>
          <w:szCs w:val="28"/>
          <w:lang w:val="en-US" w:eastAsia="zh-CN"/>
        </w:rPr>
        <w:t>5</w:t>
      </w:r>
      <w:r>
        <w:rPr>
          <w:szCs w:val="28"/>
        </w:rPr>
        <w:t>个（编号D</w:t>
      </w:r>
      <w:r>
        <w:rPr>
          <w:rFonts w:hint="eastAsia"/>
          <w:szCs w:val="28"/>
        </w:rPr>
        <w:t>C</w:t>
      </w:r>
      <w:r>
        <w:rPr>
          <w:szCs w:val="28"/>
        </w:rPr>
        <w:t>1～D</w:t>
      </w:r>
      <w:r>
        <w:rPr>
          <w:rFonts w:hint="eastAsia"/>
          <w:szCs w:val="28"/>
        </w:rPr>
        <w:t>C</w:t>
      </w:r>
      <w:r>
        <w:rPr>
          <w:rFonts w:hint="eastAsia"/>
          <w:szCs w:val="28"/>
          <w:lang w:val="en-US" w:eastAsia="zh-CN"/>
        </w:rPr>
        <w:t>5</w:t>
      </w:r>
      <w:r>
        <w:rPr>
          <w:szCs w:val="28"/>
        </w:rPr>
        <w:t>）。各钻孔及调查点具体位置详见工程地质平面图（图号01）。</w:t>
      </w:r>
    </w:p>
    <w:p>
      <w:pPr>
        <w:rPr>
          <w:rFonts w:hint="eastAsia" w:eastAsia="宋体"/>
          <w:szCs w:val="28"/>
          <w:lang w:eastAsia="zh-CN"/>
        </w:rPr>
      </w:pPr>
      <w:r>
        <w:rPr>
          <w:b/>
          <w:bCs/>
          <w:szCs w:val="28"/>
        </w:rPr>
        <w:t>1.3.</w:t>
      </w:r>
      <w:r>
        <w:rPr>
          <w:rFonts w:hint="eastAsia"/>
          <w:b/>
          <w:bCs/>
          <w:szCs w:val="28"/>
        </w:rPr>
        <w:t>4</w:t>
      </w:r>
      <w:r>
        <w:rPr>
          <w:szCs w:val="28"/>
        </w:rPr>
        <w:t>本次勘查的勘探孔终孔深度控制原则：</w:t>
      </w:r>
      <w:r>
        <w:rPr>
          <w:rFonts w:hint="eastAsia"/>
          <w:szCs w:val="28"/>
          <w:lang w:val="en-US" w:eastAsia="zh-CN"/>
        </w:rPr>
        <w:t>工程钻机</w:t>
      </w:r>
      <w:r>
        <w:rPr>
          <w:szCs w:val="28"/>
        </w:rPr>
        <w:t>孔深度穿越坡脚地面高程以下或揭露至碎块状强风化岩或中风化岩3m以上；</w:t>
      </w:r>
      <w:r>
        <w:rPr>
          <w:rFonts w:hint="eastAsia"/>
          <w:szCs w:val="28"/>
          <w:lang w:val="en-US" w:eastAsia="zh-CN"/>
        </w:rPr>
        <w:t>背包钻</w:t>
      </w:r>
      <w:r>
        <w:rPr>
          <w:szCs w:val="28"/>
        </w:rPr>
        <w:t>孔深度不少于7m</w:t>
      </w:r>
      <w:r>
        <w:rPr>
          <w:rFonts w:hint="eastAsia"/>
          <w:szCs w:val="28"/>
          <w:lang w:eastAsia="zh-CN"/>
        </w:rPr>
        <w:t>。</w:t>
      </w:r>
    </w:p>
    <w:p>
      <w:pPr>
        <w:spacing w:line="520" w:lineRule="exact"/>
        <w:rPr>
          <w:szCs w:val="28"/>
        </w:rPr>
      </w:pPr>
      <w:r>
        <w:rPr>
          <w:b/>
          <w:bCs/>
          <w:szCs w:val="28"/>
        </w:rPr>
        <w:t>1.3.</w:t>
      </w:r>
      <w:r>
        <w:rPr>
          <w:rFonts w:hint="eastAsia"/>
          <w:b/>
          <w:bCs/>
          <w:szCs w:val="28"/>
        </w:rPr>
        <w:t>5</w:t>
      </w:r>
      <w:r>
        <w:rPr>
          <w:szCs w:val="28"/>
        </w:rPr>
        <w:t>原位标准贯入试验在</w:t>
      </w:r>
      <w:r>
        <w:rPr>
          <w:rFonts w:hint="eastAsia"/>
          <w:szCs w:val="28"/>
        </w:rPr>
        <w:t>②</w:t>
      </w:r>
      <w:r>
        <w:rPr>
          <w:rFonts w:hint="eastAsia"/>
          <w:szCs w:val="28"/>
          <w:lang w:eastAsia="zh-CN"/>
        </w:rPr>
        <w:t>坡积黏性土</w:t>
      </w:r>
      <w:r>
        <w:rPr>
          <w:rFonts w:hint="eastAsia"/>
          <w:szCs w:val="28"/>
        </w:rPr>
        <w:t>、③</w:t>
      </w:r>
      <w:r>
        <w:rPr>
          <w:szCs w:val="28"/>
        </w:rPr>
        <w:t>全风化</w:t>
      </w:r>
      <w:r>
        <w:rPr>
          <w:rFonts w:hint="eastAsia"/>
          <w:szCs w:val="28"/>
        </w:rPr>
        <w:t>粉砂</w:t>
      </w:r>
      <w:r>
        <w:rPr>
          <w:szCs w:val="28"/>
        </w:rPr>
        <w:t>岩、</w:t>
      </w:r>
      <w:r>
        <w:rPr>
          <w:rFonts w:hint="eastAsia"/>
          <w:szCs w:val="28"/>
        </w:rPr>
        <w:t>④</w:t>
      </w:r>
      <w:r>
        <w:rPr>
          <w:szCs w:val="28"/>
        </w:rPr>
        <w:t>强风化</w:t>
      </w:r>
      <w:r>
        <w:rPr>
          <w:rFonts w:hint="eastAsia"/>
          <w:szCs w:val="28"/>
        </w:rPr>
        <w:t>粉砂</w:t>
      </w:r>
      <w:r>
        <w:rPr>
          <w:szCs w:val="28"/>
        </w:rPr>
        <w:t>岩</w:t>
      </w:r>
      <w:r>
        <w:rPr>
          <w:rFonts w:hint="eastAsia"/>
          <w:szCs w:val="28"/>
        </w:rPr>
        <w:t>（碎块状）</w:t>
      </w:r>
      <w:r>
        <w:rPr>
          <w:szCs w:val="28"/>
        </w:rPr>
        <w:t>层中进行，竖向测试间距约2.0～3.0m。</w:t>
      </w:r>
    </w:p>
    <w:p>
      <w:pPr>
        <w:widowControl/>
        <w:rPr>
          <w:sz w:val="24"/>
          <w:szCs w:val="24"/>
        </w:rPr>
      </w:pPr>
      <w:r>
        <w:rPr>
          <w:b/>
          <w:bCs/>
          <w:szCs w:val="28"/>
        </w:rPr>
        <w:t>1.3.</w:t>
      </w:r>
      <w:r>
        <w:rPr>
          <w:rFonts w:hint="eastAsia"/>
          <w:b/>
          <w:bCs/>
          <w:szCs w:val="28"/>
        </w:rPr>
        <w:t>6</w:t>
      </w:r>
      <w:r>
        <w:rPr>
          <w:szCs w:val="28"/>
        </w:rPr>
        <w:t>在</w:t>
      </w:r>
      <w:r>
        <w:rPr>
          <w:rFonts w:hint="eastAsia"/>
          <w:szCs w:val="28"/>
        </w:rPr>
        <w:t>②</w:t>
      </w:r>
      <w:r>
        <w:rPr>
          <w:rFonts w:hint="eastAsia"/>
          <w:szCs w:val="28"/>
          <w:lang w:eastAsia="zh-CN"/>
        </w:rPr>
        <w:t>坡积黏性土</w:t>
      </w:r>
      <w:r>
        <w:rPr>
          <w:szCs w:val="28"/>
        </w:rPr>
        <w:t>采取</w:t>
      </w:r>
      <w:r>
        <w:rPr>
          <w:rFonts w:hint="eastAsia"/>
          <w:szCs w:val="28"/>
        </w:rPr>
        <w:t>扰动</w:t>
      </w:r>
      <w:r>
        <w:rPr>
          <w:szCs w:val="28"/>
        </w:rPr>
        <w:t>样1组，室内对</w:t>
      </w:r>
      <w:r>
        <w:rPr>
          <w:rFonts w:hint="eastAsia"/>
          <w:szCs w:val="28"/>
          <w:lang w:eastAsia="zh-CN"/>
        </w:rPr>
        <w:t>坡积黏性土</w:t>
      </w:r>
      <w:r>
        <w:rPr>
          <w:szCs w:val="28"/>
        </w:rPr>
        <w:t>颗粒分析试验；</w:t>
      </w:r>
      <w:r>
        <w:rPr>
          <w:rFonts w:hint="eastAsia"/>
          <w:szCs w:val="28"/>
        </w:rPr>
        <w:t>④</w:t>
      </w:r>
      <w:r>
        <w:rPr>
          <w:szCs w:val="28"/>
        </w:rPr>
        <w:t>强风化</w:t>
      </w:r>
      <w:r>
        <w:rPr>
          <w:rFonts w:hint="eastAsia"/>
          <w:szCs w:val="28"/>
        </w:rPr>
        <w:t>粉砂岩（</w:t>
      </w:r>
      <w:r>
        <w:rPr>
          <w:szCs w:val="28"/>
        </w:rPr>
        <w:t>碎块状</w:t>
      </w:r>
      <w:r>
        <w:rPr>
          <w:rFonts w:hint="eastAsia"/>
          <w:szCs w:val="28"/>
        </w:rPr>
        <w:t>）</w:t>
      </w:r>
      <w:r>
        <w:rPr>
          <w:szCs w:val="28"/>
        </w:rPr>
        <w:t>中采取碎块状样</w:t>
      </w:r>
      <w:r>
        <w:rPr>
          <w:rFonts w:hint="eastAsia"/>
          <w:szCs w:val="28"/>
        </w:rPr>
        <w:t>1</w:t>
      </w:r>
      <w:r>
        <w:rPr>
          <w:szCs w:val="28"/>
        </w:rPr>
        <w:t>组，室内对碎块状强风化</w:t>
      </w:r>
      <w:r>
        <w:rPr>
          <w:rFonts w:hint="eastAsia"/>
          <w:szCs w:val="28"/>
        </w:rPr>
        <w:t>砂岩</w:t>
      </w:r>
      <w:r>
        <w:rPr>
          <w:szCs w:val="28"/>
        </w:rPr>
        <w:t>进行点荷载试验</w:t>
      </w:r>
      <w:r>
        <w:rPr>
          <w:rFonts w:hint="eastAsia"/>
          <w:szCs w:val="28"/>
        </w:rPr>
        <w:t>。</w:t>
      </w:r>
    </w:p>
    <w:p>
      <w:pPr>
        <w:pStyle w:val="2"/>
        <w:numPr>
          <w:ilvl w:val="1"/>
          <w:numId w:val="2"/>
        </w:numPr>
      </w:pPr>
      <w:bookmarkStart w:id="4" w:name="_Toc22024"/>
      <w:r>
        <w:t>勘查施工及完成实物工作量</w:t>
      </w:r>
      <w:bookmarkEnd w:id="4"/>
    </w:p>
    <w:p>
      <w:pPr>
        <w:rPr>
          <w:szCs w:val="28"/>
        </w:rPr>
      </w:pPr>
      <w:r>
        <w:rPr>
          <w:b/>
          <w:bCs/>
          <w:szCs w:val="28"/>
        </w:rPr>
        <w:t>1.4.1</w:t>
      </w:r>
      <w:r>
        <w:rPr>
          <w:szCs w:val="28"/>
        </w:rPr>
        <w:t>地形图测量及勘探点测量</w:t>
      </w:r>
    </w:p>
    <w:p>
      <w:pPr>
        <w:ind w:firstLine="560" w:firstLineChars="200"/>
        <w:rPr>
          <w:sz w:val="24"/>
          <w:szCs w:val="24"/>
        </w:rPr>
      </w:pPr>
      <w:bookmarkStart w:id="5" w:name="_Hlk99117309"/>
      <w:r>
        <w:rPr>
          <w:szCs w:val="28"/>
        </w:rPr>
        <w:t>地形测量及勘探点测量由我院测量专业人员按1:</w:t>
      </w:r>
      <w:r>
        <w:rPr>
          <w:rFonts w:hint="eastAsia"/>
          <w:szCs w:val="28"/>
        </w:rPr>
        <w:t>5</w:t>
      </w:r>
      <w:r>
        <w:rPr>
          <w:szCs w:val="28"/>
        </w:rPr>
        <w:t>00精度进行测量，野外采用全站仪采集数据，测设孔位及测定孔口标高，室内采用CASS电脑数字化地形图生成，最终转化成CAD格式成图。平面控制系统为2000国家大地坐标系，高程系统为1985国家高程系统。</w:t>
      </w:r>
      <w:bookmarkEnd w:id="5"/>
      <w:r>
        <w:rPr>
          <w:szCs w:val="28"/>
        </w:rPr>
        <w:t>控制点分别为A1、</w:t>
      </w:r>
      <w:r>
        <w:rPr>
          <w:rFonts w:hint="eastAsia"/>
          <w:szCs w:val="28"/>
        </w:rPr>
        <w:t>A2</w:t>
      </w:r>
      <w:r>
        <w:rPr>
          <w:szCs w:val="28"/>
        </w:rPr>
        <w:t>两点，位于水泥</w:t>
      </w:r>
      <w:r>
        <w:rPr>
          <w:rFonts w:hint="eastAsia"/>
          <w:szCs w:val="28"/>
        </w:rPr>
        <w:t>路</w:t>
      </w:r>
      <w:r>
        <w:rPr>
          <w:szCs w:val="28"/>
        </w:rPr>
        <w:t>边，采用水泥钢钉标记，其坐标高程为A1：X=</w:t>
      </w:r>
      <w:r>
        <w:rPr>
          <w:rFonts w:hint="eastAsia"/>
          <w:szCs w:val="28"/>
        </w:rPr>
        <w:t>2896826.9060</w:t>
      </w:r>
      <w:r>
        <w:rPr>
          <w:szCs w:val="28"/>
        </w:rPr>
        <w:t>，Y=</w:t>
      </w:r>
      <w:r>
        <w:rPr>
          <w:rFonts w:hint="eastAsia"/>
          <w:szCs w:val="28"/>
        </w:rPr>
        <w:t>618159.4280</w:t>
      </w:r>
      <w:r>
        <w:rPr>
          <w:szCs w:val="28"/>
        </w:rPr>
        <w:t>，Z=</w:t>
      </w:r>
      <w:r>
        <w:rPr>
          <w:rFonts w:hint="eastAsia"/>
          <w:szCs w:val="28"/>
        </w:rPr>
        <w:t>166.03</w:t>
      </w:r>
      <w:r>
        <w:rPr>
          <w:szCs w:val="28"/>
        </w:rPr>
        <w:t>；A</w:t>
      </w:r>
      <w:r>
        <w:rPr>
          <w:rFonts w:hint="eastAsia"/>
          <w:szCs w:val="28"/>
        </w:rPr>
        <w:t>2</w:t>
      </w:r>
      <w:r>
        <w:rPr>
          <w:szCs w:val="28"/>
        </w:rPr>
        <w:t>：X=</w:t>
      </w:r>
      <w:r>
        <w:rPr>
          <w:rFonts w:hint="eastAsia"/>
          <w:szCs w:val="28"/>
        </w:rPr>
        <w:t>2896857.5430</w:t>
      </w:r>
      <w:r>
        <w:rPr>
          <w:szCs w:val="28"/>
        </w:rPr>
        <w:t>，Y=</w:t>
      </w:r>
      <w:r>
        <w:rPr>
          <w:rFonts w:hint="eastAsia"/>
          <w:szCs w:val="28"/>
        </w:rPr>
        <w:t>618183.1360</w:t>
      </w:r>
      <w:r>
        <w:rPr>
          <w:szCs w:val="28"/>
        </w:rPr>
        <w:t>，Z=</w:t>
      </w:r>
      <w:r>
        <w:rPr>
          <w:rFonts w:hint="eastAsia"/>
          <w:szCs w:val="28"/>
        </w:rPr>
        <w:t>165.77</w:t>
      </w:r>
      <w:r>
        <w:rPr>
          <w:szCs w:val="28"/>
        </w:rPr>
        <w:t>。各钻孔的孔口坐标及地面高程详见勘探点一览表，具体位置详见工程地质平面图（图号01）。</w:t>
      </w:r>
    </w:p>
    <w:p>
      <w:pPr>
        <w:rPr>
          <w:szCs w:val="28"/>
        </w:rPr>
      </w:pPr>
      <w:r>
        <w:rPr>
          <w:b/>
          <w:bCs/>
          <w:szCs w:val="28"/>
        </w:rPr>
        <w:t>1.4.2</w:t>
      </w:r>
      <w:r>
        <w:rPr>
          <w:szCs w:val="28"/>
        </w:rPr>
        <w:t>钻探、取样与原位测试</w:t>
      </w:r>
    </w:p>
    <w:p>
      <w:pPr>
        <w:ind w:firstLine="560" w:firstLineChars="200"/>
        <w:rPr>
          <w:szCs w:val="28"/>
        </w:rPr>
      </w:pPr>
      <w:r>
        <w:rPr>
          <w:szCs w:val="28"/>
        </w:rPr>
        <w:t>本次勘查钻探采用1台XY-100型液压回转工程钻机</w:t>
      </w:r>
      <w:r>
        <w:rPr>
          <w:rFonts w:hint="eastAsia"/>
          <w:szCs w:val="28"/>
          <w:lang w:val="en-US" w:eastAsia="zh-CN"/>
        </w:rPr>
        <w:t>结合背包钻机施钻的方式</w:t>
      </w:r>
      <w:r>
        <w:rPr>
          <w:szCs w:val="28"/>
        </w:rPr>
        <w:t>进行施工。岩石样于</w:t>
      </w:r>
      <w:r>
        <w:rPr>
          <w:rFonts w:hint="eastAsia"/>
          <w:szCs w:val="28"/>
          <w:lang w:val="en-US" w:eastAsia="zh-CN"/>
        </w:rPr>
        <w:t>工程钻机</w:t>
      </w:r>
      <w:r>
        <w:rPr>
          <w:szCs w:val="28"/>
        </w:rPr>
        <w:t>岩芯管内采取，</w:t>
      </w:r>
      <w:r>
        <w:rPr>
          <w:sz w:val="28"/>
          <w:szCs w:val="28"/>
        </w:rPr>
        <w:t>原位标准贯入</w:t>
      </w:r>
      <w:r>
        <w:rPr>
          <w:rFonts w:hint="eastAsia"/>
          <w:sz w:val="28"/>
          <w:szCs w:val="28"/>
          <w:lang w:val="en-US" w:eastAsia="zh-CN"/>
        </w:rPr>
        <w:t>试验</w:t>
      </w:r>
      <w:r>
        <w:rPr>
          <w:szCs w:val="28"/>
        </w:rPr>
        <w:t>采用导向杆变径自动脱钩式落锤装置（锤的质量为63.5kg，落距76cm）配合钻机进行现场测试。钻探施工及取样、重型圆锥动力触探试验均严格按有关规范和规程要求进行。取样及测试在空间上具有代表性，数量及质量满足要求。</w:t>
      </w:r>
    </w:p>
    <w:p>
      <w:pPr>
        <w:rPr>
          <w:szCs w:val="28"/>
        </w:rPr>
      </w:pPr>
      <w:r>
        <w:rPr>
          <w:b/>
          <w:bCs/>
          <w:szCs w:val="28"/>
        </w:rPr>
        <w:t>1.4.3</w:t>
      </w:r>
      <w:r>
        <w:rPr>
          <w:szCs w:val="28"/>
        </w:rPr>
        <w:t>工程地质调查、地质测绘</w:t>
      </w:r>
    </w:p>
    <w:p>
      <w:pPr>
        <w:ind w:firstLine="480"/>
        <w:rPr>
          <w:szCs w:val="28"/>
        </w:rPr>
      </w:pPr>
      <w:bookmarkStart w:id="6" w:name="_Hlk99117260"/>
      <w:r>
        <w:rPr>
          <w:szCs w:val="28"/>
        </w:rPr>
        <w:t>主要针对</w:t>
      </w:r>
      <w:r>
        <w:rPr>
          <w:rFonts w:hint="eastAsia"/>
          <w:szCs w:val="28"/>
        </w:rPr>
        <w:t>崩塌灾害影响范围</w:t>
      </w:r>
      <w:r>
        <w:rPr>
          <w:szCs w:val="28"/>
        </w:rPr>
        <w:t>进行调查，以工程地质测绘为主要手段，并结合人工开挖方式进行，按1:</w:t>
      </w:r>
      <w:r>
        <w:rPr>
          <w:rFonts w:hint="eastAsia"/>
          <w:szCs w:val="28"/>
        </w:rPr>
        <w:t>5</w:t>
      </w:r>
      <w:r>
        <w:rPr>
          <w:szCs w:val="28"/>
        </w:rPr>
        <w:t>00比例尺精度进行调绘，并进行野外地质编录。</w:t>
      </w:r>
      <w:bookmarkEnd w:id="6"/>
    </w:p>
    <w:p>
      <w:pPr>
        <w:rPr>
          <w:szCs w:val="28"/>
        </w:rPr>
      </w:pPr>
      <w:r>
        <w:rPr>
          <w:b/>
          <w:bCs/>
          <w:szCs w:val="28"/>
        </w:rPr>
        <w:t>1.4.4</w:t>
      </w:r>
      <w:r>
        <w:rPr>
          <w:szCs w:val="28"/>
        </w:rPr>
        <w:t>室内试验</w:t>
      </w:r>
    </w:p>
    <w:p>
      <w:pPr>
        <w:ind w:firstLine="560" w:firstLineChars="200"/>
        <w:rPr>
          <w:szCs w:val="28"/>
        </w:rPr>
      </w:pPr>
      <w:r>
        <w:rPr>
          <w:szCs w:val="28"/>
        </w:rPr>
        <w:t>室内试验由中化明达（福建）地质勘测有限公司试验测试中心承担，根据不同试验项目选用适宜的试验仪器具，且试验前对其进行了检定/校准，试验操作严格按</w:t>
      </w:r>
      <w:r>
        <w:rPr>
          <w:bCs/>
          <w:szCs w:val="28"/>
        </w:rPr>
        <w:t>国标</w:t>
      </w:r>
      <w:r>
        <w:rPr>
          <w:szCs w:val="28"/>
        </w:rPr>
        <w:t>《土工试验方法标准》(GB/T50123-1999)规范执行，岩土层定名及物理力学指标值的确定均按国标《岩土工程勘察规范》(GB50021-2001)（2009年版）要求进行。</w:t>
      </w:r>
    </w:p>
    <w:p>
      <w:pPr>
        <w:rPr>
          <w:szCs w:val="28"/>
        </w:rPr>
      </w:pPr>
      <w:r>
        <w:rPr>
          <w:b/>
          <w:bCs/>
          <w:szCs w:val="28"/>
        </w:rPr>
        <w:t>1.4.5</w:t>
      </w:r>
      <w:r>
        <w:rPr>
          <w:szCs w:val="28"/>
        </w:rPr>
        <w:t>所有钻孔在取样、原位测试及水位观测结束后，采用</w:t>
      </w:r>
      <w:r>
        <w:rPr>
          <w:rFonts w:hint="eastAsia"/>
          <w:szCs w:val="28"/>
          <w:lang w:eastAsia="zh-CN"/>
        </w:rPr>
        <w:t>坡积黏性土</w:t>
      </w:r>
      <w:r>
        <w:rPr>
          <w:szCs w:val="28"/>
        </w:rPr>
        <w:t>对钻孔进行封堵。</w:t>
      </w:r>
    </w:p>
    <w:p>
      <w:pPr>
        <w:rPr>
          <w:szCs w:val="28"/>
        </w:rPr>
      </w:pPr>
      <w:r>
        <w:rPr>
          <w:b/>
          <w:bCs/>
          <w:szCs w:val="28"/>
        </w:rPr>
        <w:t>1.4.6</w:t>
      </w:r>
      <w:r>
        <w:rPr>
          <w:szCs w:val="28"/>
        </w:rPr>
        <w:t>完成实物工作量</w:t>
      </w:r>
    </w:p>
    <w:p>
      <w:pPr>
        <w:ind w:firstLine="560" w:firstLineChars="200"/>
        <w:rPr>
          <w:szCs w:val="28"/>
        </w:rPr>
      </w:pPr>
      <w:r>
        <w:rPr>
          <w:szCs w:val="28"/>
        </w:rPr>
        <w:t>本工程勘查</w:t>
      </w:r>
      <w:r>
        <w:rPr>
          <w:rFonts w:hint="eastAsia"/>
          <w:szCs w:val="28"/>
        </w:rPr>
        <w:t>外业于2022年10月18日至2022年10月20日期间进行</w:t>
      </w:r>
      <w:r>
        <w:rPr>
          <w:szCs w:val="28"/>
        </w:rPr>
        <w:t>。完成外业实物工作量见表</w:t>
      </w:r>
      <w:bookmarkStart w:id="7" w:name="_Hlk112143781"/>
      <w:r>
        <w:rPr>
          <w:szCs w:val="28"/>
        </w:rPr>
        <w:t>1.4.6-1</w:t>
      </w:r>
      <w:bookmarkEnd w:id="7"/>
      <w:r>
        <w:rPr>
          <w:szCs w:val="28"/>
        </w:rPr>
        <w:t>，完成室内试验工作量见表1.4.6-2。</w:t>
      </w:r>
    </w:p>
    <w:p>
      <w:pPr>
        <w:pStyle w:val="6"/>
        <w:spacing w:line="520" w:lineRule="exact"/>
        <w:ind w:firstLine="1200" w:firstLineChars="300"/>
        <w:rPr>
          <w:rFonts w:ascii="Times New Roman" w:hAnsi="Times New Roman" w:eastAsia="宋体"/>
          <w:spacing w:val="60"/>
          <w:sz w:val="28"/>
          <w:szCs w:val="21"/>
        </w:rPr>
      </w:pPr>
    </w:p>
    <w:p>
      <w:pPr>
        <w:pStyle w:val="6"/>
        <w:spacing w:line="520" w:lineRule="exact"/>
        <w:ind w:firstLine="1200" w:firstLineChars="300"/>
        <w:rPr>
          <w:rFonts w:ascii="Times New Roman" w:hAnsi="Times New Roman" w:eastAsia="宋体"/>
          <w:spacing w:val="60"/>
          <w:sz w:val="28"/>
          <w:szCs w:val="21"/>
        </w:rPr>
      </w:pPr>
      <w:r>
        <w:rPr>
          <w:rFonts w:ascii="Times New Roman" w:hAnsi="Times New Roman" w:eastAsia="宋体"/>
          <w:spacing w:val="60"/>
          <w:sz w:val="28"/>
          <w:szCs w:val="21"/>
        </w:rPr>
        <w:t>表1.4.6-1 外业施工完成工作量一览表</w:t>
      </w:r>
    </w:p>
    <w:tbl>
      <w:tblPr>
        <w:tblStyle w:val="14"/>
        <w:tblW w:w="5132"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91"/>
        <w:gridCol w:w="1844"/>
        <w:gridCol w:w="1098"/>
        <w:gridCol w:w="1362"/>
        <w:gridCol w:w="1074"/>
        <w:gridCol w:w="1081"/>
        <w:gridCol w:w="1231"/>
        <w:gridCol w:w="1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63" w:hRule="atLeast"/>
        </w:trPr>
        <w:tc>
          <w:tcPr>
            <w:tcW w:w="516" w:type="pct"/>
            <w:vMerge w:val="restart"/>
            <w:tcBorders>
              <w:top w:val="single" w:color="auto" w:sz="8" w:space="0"/>
              <w:left w:val="single" w:color="auto" w:sz="8" w:space="0"/>
            </w:tcBorders>
            <w:vAlign w:val="center"/>
          </w:tcPr>
          <w:p>
            <w:pPr>
              <w:spacing w:line="300" w:lineRule="exact"/>
              <w:jc w:val="center"/>
              <w:rPr>
                <w:szCs w:val="21"/>
              </w:rPr>
            </w:pPr>
            <w:r>
              <w:rPr>
                <w:szCs w:val="21"/>
              </w:rPr>
              <w:t>项  目</w:t>
            </w:r>
          </w:p>
        </w:tc>
        <w:tc>
          <w:tcPr>
            <w:tcW w:w="872" w:type="pct"/>
            <w:tcBorders>
              <w:top w:val="single" w:color="auto" w:sz="8" w:space="0"/>
            </w:tcBorders>
            <w:vAlign w:val="center"/>
          </w:tcPr>
          <w:p>
            <w:pPr>
              <w:spacing w:line="300" w:lineRule="exact"/>
              <w:jc w:val="center"/>
              <w:rPr>
                <w:szCs w:val="21"/>
              </w:rPr>
            </w:pPr>
            <w:r>
              <w:rPr>
                <w:szCs w:val="21"/>
              </w:rPr>
              <w:t>钻孔</w:t>
            </w:r>
          </w:p>
        </w:tc>
        <w:tc>
          <w:tcPr>
            <w:tcW w:w="519" w:type="pct"/>
            <w:vMerge w:val="restart"/>
            <w:tcBorders>
              <w:top w:val="single" w:color="auto" w:sz="8" w:space="0"/>
            </w:tcBorders>
            <w:vAlign w:val="center"/>
          </w:tcPr>
          <w:p>
            <w:pPr>
              <w:spacing w:line="300" w:lineRule="exact"/>
              <w:jc w:val="center"/>
              <w:rPr>
                <w:szCs w:val="21"/>
              </w:rPr>
            </w:pPr>
            <w:r>
              <w:rPr>
                <w:szCs w:val="21"/>
              </w:rPr>
              <w:t>地质</w:t>
            </w:r>
          </w:p>
          <w:p>
            <w:pPr>
              <w:spacing w:line="300" w:lineRule="exact"/>
              <w:jc w:val="center"/>
              <w:rPr>
                <w:szCs w:val="21"/>
              </w:rPr>
            </w:pPr>
            <w:r>
              <w:rPr>
                <w:szCs w:val="21"/>
              </w:rPr>
              <w:t>调查点</w:t>
            </w:r>
          </w:p>
        </w:tc>
        <w:tc>
          <w:tcPr>
            <w:tcW w:w="644" w:type="pct"/>
            <w:vMerge w:val="restart"/>
            <w:tcBorders>
              <w:top w:val="single" w:color="auto" w:sz="8" w:space="0"/>
            </w:tcBorders>
            <w:vAlign w:val="center"/>
          </w:tcPr>
          <w:p>
            <w:pPr>
              <w:spacing w:line="300" w:lineRule="exact"/>
              <w:jc w:val="center"/>
              <w:rPr>
                <w:szCs w:val="21"/>
              </w:rPr>
            </w:pPr>
            <w:r>
              <w:rPr>
                <w:rFonts w:hint="eastAsia"/>
                <w:szCs w:val="21"/>
              </w:rPr>
              <w:t>扰动</w:t>
            </w:r>
            <w:r>
              <w:rPr>
                <w:szCs w:val="21"/>
              </w:rPr>
              <w:t>样</w:t>
            </w:r>
          </w:p>
        </w:tc>
        <w:tc>
          <w:tcPr>
            <w:tcW w:w="508" w:type="pct"/>
            <w:vMerge w:val="restart"/>
            <w:tcBorders>
              <w:top w:val="single" w:color="auto" w:sz="8" w:space="0"/>
            </w:tcBorders>
            <w:vAlign w:val="center"/>
          </w:tcPr>
          <w:p>
            <w:pPr>
              <w:spacing w:line="300" w:lineRule="exact"/>
              <w:jc w:val="center"/>
              <w:rPr>
                <w:szCs w:val="21"/>
              </w:rPr>
            </w:pPr>
            <w:r>
              <w:rPr>
                <w:szCs w:val="21"/>
              </w:rPr>
              <w:t>岩样</w:t>
            </w:r>
          </w:p>
        </w:tc>
        <w:tc>
          <w:tcPr>
            <w:tcW w:w="511" w:type="pct"/>
            <w:vMerge w:val="restart"/>
            <w:tcBorders>
              <w:top w:val="single" w:color="auto" w:sz="8" w:space="0"/>
              <w:right w:val="single" w:color="auto" w:sz="4" w:space="0"/>
            </w:tcBorders>
            <w:vAlign w:val="center"/>
          </w:tcPr>
          <w:p>
            <w:pPr>
              <w:spacing w:line="300" w:lineRule="exact"/>
              <w:jc w:val="center"/>
              <w:rPr>
                <w:szCs w:val="21"/>
              </w:rPr>
            </w:pPr>
            <w:r>
              <w:rPr>
                <w:szCs w:val="21"/>
              </w:rPr>
              <w:t>勘探点测量</w:t>
            </w:r>
          </w:p>
        </w:tc>
        <w:tc>
          <w:tcPr>
            <w:tcW w:w="582" w:type="pct"/>
            <w:vMerge w:val="restart"/>
            <w:tcBorders>
              <w:top w:val="single" w:color="auto" w:sz="8" w:space="0"/>
              <w:right w:val="single" w:color="auto" w:sz="4" w:space="0"/>
            </w:tcBorders>
            <w:vAlign w:val="center"/>
          </w:tcPr>
          <w:p>
            <w:pPr>
              <w:spacing w:line="300" w:lineRule="exact"/>
              <w:jc w:val="center"/>
              <w:rPr>
                <w:szCs w:val="21"/>
              </w:rPr>
            </w:pPr>
            <w:r>
              <w:rPr>
                <w:szCs w:val="21"/>
              </w:rPr>
              <w:t>水位</w:t>
            </w:r>
          </w:p>
          <w:p>
            <w:pPr>
              <w:spacing w:line="300" w:lineRule="exact"/>
              <w:jc w:val="center"/>
              <w:rPr>
                <w:szCs w:val="21"/>
              </w:rPr>
            </w:pPr>
            <w:r>
              <w:rPr>
                <w:szCs w:val="21"/>
              </w:rPr>
              <w:t>观测</w:t>
            </w:r>
          </w:p>
        </w:tc>
        <w:tc>
          <w:tcPr>
            <w:tcW w:w="844" w:type="pct"/>
            <w:vMerge w:val="restart"/>
            <w:tcBorders>
              <w:top w:val="single" w:color="auto" w:sz="8" w:space="0"/>
              <w:left w:val="single" w:color="auto" w:sz="4" w:space="0"/>
              <w:right w:val="single" w:color="auto" w:sz="8" w:space="0"/>
            </w:tcBorders>
            <w:vAlign w:val="center"/>
          </w:tcPr>
          <w:p>
            <w:pPr>
              <w:spacing w:line="300" w:lineRule="exact"/>
              <w:jc w:val="center"/>
              <w:rPr>
                <w:szCs w:val="21"/>
              </w:rPr>
            </w:pPr>
            <w:r>
              <w:rPr>
                <w:szCs w:val="21"/>
              </w:rPr>
              <w:t>地质</w:t>
            </w:r>
          </w:p>
          <w:p>
            <w:pPr>
              <w:spacing w:line="300" w:lineRule="exact"/>
              <w:jc w:val="center"/>
              <w:rPr>
                <w:szCs w:val="21"/>
              </w:rPr>
            </w:pPr>
            <w:r>
              <w:rPr>
                <w:szCs w:val="21"/>
              </w:rPr>
              <w:t>测绘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8" w:hRule="atLeast"/>
        </w:trPr>
        <w:tc>
          <w:tcPr>
            <w:tcW w:w="516" w:type="pct"/>
            <w:vMerge w:val="continue"/>
            <w:tcBorders>
              <w:left w:val="single" w:color="auto" w:sz="8" w:space="0"/>
            </w:tcBorders>
            <w:vAlign w:val="center"/>
          </w:tcPr>
          <w:p>
            <w:pPr>
              <w:spacing w:line="300" w:lineRule="exact"/>
              <w:jc w:val="center"/>
              <w:rPr>
                <w:szCs w:val="21"/>
              </w:rPr>
            </w:pPr>
          </w:p>
        </w:tc>
        <w:tc>
          <w:tcPr>
            <w:tcW w:w="872" w:type="pct"/>
            <w:tcBorders>
              <w:top w:val="single" w:color="auto" w:sz="4" w:space="0"/>
            </w:tcBorders>
            <w:vAlign w:val="center"/>
          </w:tcPr>
          <w:p>
            <w:pPr>
              <w:spacing w:line="300" w:lineRule="exact"/>
              <w:jc w:val="center"/>
              <w:rPr>
                <w:szCs w:val="21"/>
              </w:rPr>
            </w:pPr>
            <w:r>
              <w:rPr>
                <w:szCs w:val="21"/>
              </w:rPr>
              <w:t>钻探孔</w:t>
            </w:r>
          </w:p>
        </w:tc>
        <w:tc>
          <w:tcPr>
            <w:tcW w:w="519" w:type="pct"/>
            <w:vMerge w:val="continue"/>
            <w:vAlign w:val="center"/>
          </w:tcPr>
          <w:p>
            <w:pPr>
              <w:spacing w:line="300" w:lineRule="exact"/>
              <w:jc w:val="center"/>
              <w:rPr>
                <w:szCs w:val="21"/>
              </w:rPr>
            </w:pPr>
          </w:p>
        </w:tc>
        <w:tc>
          <w:tcPr>
            <w:tcW w:w="644" w:type="pct"/>
            <w:vMerge w:val="continue"/>
            <w:vAlign w:val="center"/>
          </w:tcPr>
          <w:p>
            <w:pPr>
              <w:spacing w:line="300" w:lineRule="exact"/>
              <w:jc w:val="center"/>
              <w:rPr>
                <w:szCs w:val="21"/>
              </w:rPr>
            </w:pPr>
          </w:p>
        </w:tc>
        <w:tc>
          <w:tcPr>
            <w:tcW w:w="508" w:type="pct"/>
            <w:vMerge w:val="continue"/>
            <w:vAlign w:val="center"/>
          </w:tcPr>
          <w:p>
            <w:pPr>
              <w:spacing w:line="300" w:lineRule="exact"/>
              <w:jc w:val="center"/>
              <w:rPr>
                <w:szCs w:val="21"/>
              </w:rPr>
            </w:pPr>
          </w:p>
        </w:tc>
        <w:tc>
          <w:tcPr>
            <w:tcW w:w="511" w:type="pct"/>
            <w:vMerge w:val="continue"/>
            <w:tcBorders>
              <w:right w:val="single" w:color="auto" w:sz="4" w:space="0"/>
            </w:tcBorders>
            <w:vAlign w:val="center"/>
          </w:tcPr>
          <w:p>
            <w:pPr>
              <w:spacing w:line="300" w:lineRule="exact"/>
              <w:jc w:val="center"/>
              <w:rPr>
                <w:szCs w:val="21"/>
              </w:rPr>
            </w:pPr>
          </w:p>
        </w:tc>
        <w:tc>
          <w:tcPr>
            <w:tcW w:w="582" w:type="pct"/>
            <w:vMerge w:val="continue"/>
            <w:tcBorders>
              <w:right w:val="single" w:color="auto" w:sz="4" w:space="0"/>
            </w:tcBorders>
            <w:vAlign w:val="center"/>
          </w:tcPr>
          <w:p>
            <w:pPr>
              <w:spacing w:line="300" w:lineRule="exact"/>
              <w:jc w:val="center"/>
              <w:rPr>
                <w:szCs w:val="21"/>
              </w:rPr>
            </w:pPr>
          </w:p>
        </w:tc>
        <w:tc>
          <w:tcPr>
            <w:tcW w:w="844" w:type="pct"/>
            <w:vMerge w:val="continue"/>
            <w:tcBorders>
              <w:left w:val="single" w:color="auto" w:sz="4" w:space="0"/>
              <w:right w:val="single" w:color="auto" w:sz="8" w:space="0"/>
            </w:tcBorders>
            <w:vAlign w:val="center"/>
          </w:tcPr>
          <w:p>
            <w:pPr>
              <w:spacing w:line="300" w:lineRule="exact"/>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8" w:hRule="atLeast"/>
        </w:trPr>
        <w:tc>
          <w:tcPr>
            <w:tcW w:w="516" w:type="pct"/>
            <w:tcBorders>
              <w:left w:val="single" w:color="auto" w:sz="8" w:space="0"/>
            </w:tcBorders>
            <w:vAlign w:val="center"/>
          </w:tcPr>
          <w:p>
            <w:pPr>
              <w:spacing w:line="300" w:lineRule="exact"/>
              <w:jc w:val="center"/>
              <w:rPr>
                <w:szCs w:val="21"/>
              </w:rPr>
            </w:pPr>
            <w:r>
              <w:rPr>
                <w:szCs w:val="21"/>
              </w:rPr>
              <w:t>单 位</w:t>
            </w:r>
          </w:p>
        </w:tc>
        <w:tc>
          <w:tcPr>
            <w:tcW w:w="872" w:type="pct"/>
            <w:vAlign w:val="center"/>
          </w:tcPr>
          <w:p>
            <w:pPr>
              <w:spacing w:line="300" w:lineRule="exact"/>
              <w:jc w:val="center"/>
              <w:rPr>
                <w:szCs w:val="21"/>
              </w:rPr>
            </w:pPr>
            <w:r>
              <w:rPr>
                <w:szCs w:val="21"/>
              </w:rPr>
              <w:t>孔/米</w:t>
            </w:r>
          </w:p>
        </w:tc>
        <w:tc>
          <w:tcPr>
            <w:tcW w:w="519" w:type="pct"/>
            <w:vAlign w:val="center"/>
          </w:tcPr>
          <w:p>
            <w:pPr>
              <w:spacing w:line="300" w:lineRule="exact"/>
              <w:jc w:val="center"/>
              <w:rPr>
                <w:szCs w:val="21"/>
              </w:rPr>
            </w:pPr>
            <w:r>
              <w:rPr>
                <w:szCs w:val="21"/>
              </w:rPr>
              <w:t>个</w:t>
            </w:r>
          </w:p>
        </w:tc>
        <w:tc>
          <w:tcPr>
            <w:tcW w:w="644" w:type="pct"/>
            <w:vAlign w:val="center"/>
          </w:tcPr>
          <w:p>
            <w:pPr>
              <w:spacing w:line="300" w:lineRule="exact"/>
              <w:jc w:val="center"/>
              <w:rPr>
                <w:szCs w:val="21"/>
              </w:rPr>
            </w:pPr>
            <w:r>
              <w:rPr>
                <w:szCs w:val="21"/>
              </w:rPr>
              <w:t>组</w:t>
            </w:r>
          </w:p>
        </w:tc>
        <w:tc>
          <w:tcPr>
            <w:tcW w:w="508" w:type="pct"/>
            <w:vAlign w:val="center"/>
          </w:tcPr>
          <w:p>
            <w:pPr>
              <w:spacing w:line="300" w:lineRule="exact"/>
              <w:jc w:val="center"/>
              <w:rPr>
                <w:szCs w:val="21"/>
              </w:rPr>
            </w:pPr>
            <w:r>
              <w:rPr>
                <w:szCs w:val="21"/>
              </w:rPr>
              <w:t>组</w:t>
            </w:r>
          </w:p>
        </w:tc>
        <w:tc>
          <w:tcPr>
            <w:tcW w:w="1093" w:type="pct"/>
            <w:gridSpan w:val="2"/>
            <w:tcBorders>
              <w:right w:val="single" w:color="auto" w:sz="4" w:space="0"/>
            </w:tcBorders>
            <w:vAlign w:val="center"/>
          </w:tcPr>
          <w:p>
            <w:pPr>
              <w:spacing w:line="300" w:lineRule="exact"/>
              <w:jc w:val="center"/>
              <w:rPr>
                <w:szCs w:val="21"/>
              </w:rPr>
            </w:pPr>
            <w:r>
              <w:rPr>
                <w:szCs w:val="21"/>
              </w:rPr>
              <w:t xml:space="preserve"> 孔</w:t>
            </w:r>
          </w:p>
        </w:tc>
        <w:tc>
          <w:tcPr>
            <w:tcW w:w="844" w:type="pct"/>
            <w:tcBorders>
              <w:left w:val="single" w:color="auto" w:sz="4" w:space="0"/>
              <w:right w:val="single" w:color="auto" w:sz="8" w:space="0"/>
            </w:tcBorders>
            <w:vAlign w:val="center"/>
          </w:tcPr>
          <w:p>
            <w:pPr>
              <w:spacing w:line="300" w:lineRule="exact"/>
              <w:jc w:val="center"/>
              <w:rPr>
                <w:szCs w:val="21"/>
              </w:rPr>
            </w:pPr>
            <w:r>
              <w:rPr>
                <w:szCs w:val="21"/>
              </w:rPr>
              <w:t>(1:</w:t>
            </w:r>
            <w:r>
              <w:rPr>
                <w:rFonts w:hint="eastAsia"/>
                <w:szCs w:val="21"/>
              </w:rPr>
              <w:t>5</w:t>
            </w:r>
            <w:r>
              <w:rPr>
                <w:szCs w:val="21"/>
              </w:rPr>
              <w:t>00)m</w:t>
            </w:r>
            <w:r>
              <w:rPr>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8" w:hRule="atLeast"/>
        </w:trPr>
        <w:tc>
          <w:tcPr>
            <w:tcW w:w="516" w:type="pct"/>
            <w:tcBorders>
              <w:left w:val="single" w:color="auto" w:sz="8" w:space="0"/>
            </w:tcBorders>
            <w:vAlign w:val="center"/>
          </w:tcPr>
          <w:p>
            <w:pPr>
              <w:spacing w:line="300" w:lineRule="exact"/>
              <w:jc w:val="center"/>
              <w:rPr>
                <w:szCs w:val="21"/>
              </w:rPr>
            </w:pPr>
            <w:r>
              <w:rPr>
                <w:szCs w:val="21"/>
              </w:rPr>
              <w:t>工作量</w:t>
            </w:r>
          </w:p>
        </w:tc>
        <w:tc>
          <w:tcPr>
            <w:tcW w:w="872" w:type="pct"/>
            <w:vAlign w:val="center"/>
          </w:tcPr>
          <w:p>
            <w:pPr>
              <w:spacing w:line="300" w:lineRule="exact"/>
              <w:jc w:val="center"/>
              <w:rPr>
                <w:szCs w:val="21"/>
              </w:rPr>
            </w:pPr>
            <w:r>
              <w:rPr>
                <w:rFonts w:hint="eastAsia"/>
                <w:szCs w:val="21"/>
              </w:rPr>
              <w:t>5</w:t>
            </w:r>
            <w:r>
              <w:rPr>
                <w:szCs w:val="21"/>
              </w:rPr>
              <w:t>/</w:t>
            </w:r>
            <w:r>
              <w:rPr>
                <w:rFonts w:hint="eastAsia"/>
                <w:szCs w:val="21"/>
              </w:rPr>
              <w:t>62.90</w:t>
            </w:r>
          </w:p>
        </w:tc>
        <w:tc>
          <w:tcPr>
            <w:tcW w:w="519" w:type="pct"/>
            <w:vAlign w:val="center"/>
          </w:tcPr>
          <w:p>
            <w:pPr>
              <w:spacing w:line="300" w:lineRule="exact"/>
              <w:jc w:val="center"/>
              <w:rPr>
                <w:rFonts w:hint="eastAsia" w:eastAsia="宋体"/>
                <w:szCs w:val="21"/>
                <w:lang w:eastAsia="zh-CN"/>
              </w:rPr>
            </w:pPr>
            <w:r>
              <w:rPr>
                <w:rFonts w:hint="eastAsia"/>
                <w:szCs w:val="21"/>
                <w:lang w:val="en-US" w:eastAsia="zh-CN"/>
              </w:rPr>
              <w:t>5</w:t>
            </w:r>
          </w:p>
        </w:tc>
        <w:tc>
          <w:tcPr>
            <w:tcW w:w="644" w:type="pct"/>
            <w:vAlign w:val="center"/>
          </w:tcPr>
          <w:p>
            <w:pPr>
              <w:spacing w:line="300" w:lineRule="exact"/>
              <w:jc w:val="center"/>
              <w:rPr>
                <w:szCs w:val="21"/>
              </w:rPr>
            </w:pPr>
            <w:r>
              <w:rPr>
                <w:rFonts w:hint="eastAsia"/>
                <w:szCs w:val="21"/>
              </w:rPr>
              <w:t>1</w:t>
            </w:r>
          </w:p>
        </w:tc>
        <w:tc>
          <w:tcPr>
            <w:tcW w:w="508" w:type="pct"/>
            <w:vAlign w:val="center"/>
          </w:tcPr>
          <w:p>
            <w:pPr>
              <w:spacing w:line="300" w:lineRule="exact"/>
              <w:jc w:val="center"/>
              <w:rPr>
                <w:szCs w:val="21"/>
              </w:rPr>
            </w:pPr>
            <w:r>
              <w:rPr>
                <w:rFonts w:hint="eastAsia"/>
                <w:szCs w:val="21"/>
              </w:rPr>
              <w:t>1</w:t>
            </w:r>
          </w:p>
        </w:tc>
        <w:tc>
          <w:tcPr>
            <w:tcW w:w="511" w:type="pct"/>
            <w:tcBorders>
              <w:right w:val="single" w:color="auto" w:sz="4" w:space="0"/>
            </w:tcBorders>
            <w:vAlign w:val="center"/>
          </w:tcPr>
          <w:p>
            <w:pPr>
              <w:spacing w:line="300" w:lineRule="exact"/>
              <w:jc w:val="center"/>
              <w:rPr>
                <w:szCs w:val="21"/>
              </w:rPr>
            </w:pPr>
            <w:r>
              <w:rPr>
                <w:rFonts w:hint="eastAsia"/>
                <w:szCs w:val="21"/>
              </w:rPr>
              <w:t>5</w:t>
            </w:r>
          </w:p>
        </w:tc>
        <w:tc>
          <w:tcPr>
            <w:tcW w:w="582" w:type="pct"/>
            <w:tcBorders>
              <w:right w:val="single" w:color="auto" w:sz="4" w:space="0"/>
            </w:tcBorders>
            <w:vAlign w:val="center"/>
          </w:tcPr>
          <w:p>
            <w:pPr>
              <w:spacing w:line="300" w:lineRule="exact"/>
              <w:jc w:val="center"/>
              <w:rPr>
                <w:szCs w:val="21"/>
              </w:rPr>
            </w:pPr>
            <w:r>
              <w:rPr>
                <w:rFonts w:hint="eastAsia"/>
                <w:szCs w:val="21"/>
              </w:rPr>
              <w:t>5</w:t>
            </w:r>
          </w:p>
        </w:tc>
        <w:tc>
          <w:tcPr>
            <w:tcW w:w="844" w:type="pct"/>
            <w:tcBorders>
              <w:left w:val="single" w:color="auto" w:sz="4" w:space="0"/>
              <w:right w:val="single" w:color="auto" w:sz="8" w:space="0"/>
            </w:tcBorders>
            <w:vAlign w:val="center"/>
          </w:tcPr>
          <w:p>
            <w:pPr>
              <w:spacing w:line="300" w:lineRule="exact"/>
              <w:jc w:val="center"/>
              <w:rPr>
                <w:szCs w:val="21"/>
              </w:rPr>
            </w:pPr>
            <w:r>
              <w:rPr>
                <w:rFonts w:hint="eastAsia"/>
                <w:szCs w:val="21"/>
              </w:rPr>
              <w:t>47400</w:t>
            </w:r>
          </w:p>
        </w:tc>
      </w:tr>
    </w:tbl>
    <w:p>
      <w:pPr>
        <w:pStyle w:val="6"/>
        <w:spacing w:before="312" w:beforeLines="100"/>
        <w:jc w:val="center"/>
        <w:rPr>
          <w:b/>
          <w:szCs w:val="21"/>
        </w:rPr>
      </w:pPr>
      <w:r>
        <w:rPr>
          <w:rFonts w:ascii="Times New Roman" w:hAnsi="Times New Roman" w:eastAsia="宋体"/>
          <w:spacing w:val="60"/>
          <w:sz w:val="28"/>
          <w:szCs w:val="21"/>
        </w:rPr>
        <w:t>表1.4.6-2 室内土工试验项目及完成工作量一览表</w:t>
      </w:r>
    </w:p>
    <w:tbl>
      <w:tblPr>
        <w:tblStyle w:val="14"/>
        <w:tblW w:w="813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201"/>
        <w:gridCol w:w="3390"/>
        <w:gridCol w:w="354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368" w:hRule="atLeast"/>
          <w:jc w:val="center"/>
        </w:trPr>
        <w:tc>
          <w:tcPr>
            <w:tcW w:w="1201" w:type="dxa"/>
            <w:tcBorders>
              <w:top w:val="single" w:color="auto" w:sz="8" w:space="0"/>
              <w:left w:val="single" w:color="auto" w:sz="8" w:space="0"/>
              <w:right w:val="single" w:color="auto" w:sz="4" w:space="0"/>
            </w:tcBorders>
            <w:vAlign w:val="center"/>
          </w:tcPr>
          <w:p>
            <w:pPr>
              <w:spacing w:line="300" w:lineRule="exact"/>
              <w:jc w:val="center"/>
              <w:rPr>
                <w:szCs w:val="21"/>
              </w:rPr>
            </w:pPr>
            <w:r>
              <w:rPr>
                <w:szCs w:val="21"/>
              </w:rPr>
              <w:t>项 目</w:t>
            </w:r>
          </w:p>
        </w:tc>
        <w:tc>
          <w:tcPr>
            <w:tcW w:w="3390" w:type="dxa"/>
            <w:tcBorders>
              <w:top w:val="single" w:color="auto" w:sz="8" w:space="0"/>
              <w:left w:val="single" w:color="auto" w:sz="4" w:space="0"/>
              <w:right w:val="single" w:color="auto" w:sz="4" w:space="0"/>
            </w:tcBorders>
            <w:vAlign w:val="center"/>
          </w:tcPr>
          <w:p>
            <w:pPr>
              <w:spacing w:line="300" w:lineRule="exact"/>
              <w:jc w:val="center"/>
              <w:rPr>
                <w:szCs w:val="21"/>
              </w:rPr>
            </w:pPr>
            <w:r>
              <w:rPr>
                <w:szCs w:val="21"/>
              </w:rPr>
              <w:t>颗粒分析</w:t>
            </w:r>
          </w:p>
        </w:tc>
        <w:tc>
          <w:tcPr>
            <w:tcW w:w="3548" w:type="dxa"/>
            <w:tcBorders>
              <w:top w:val="single" w:color="auto" w:sz="8" w:space="0"/>
              <w:left w:val="single" w:color="auto" w:sz="4" w:space="0"/>
              <w:right w:val="single" w:color="auto" w:sz="4" w:space="0"/>
            </w:tcBorders>
            <w:vAlign w:val="center"/>
          </w:tcPr>
          <w:p>
            <w:pPr>
              <w:jc w:val="center"/>
              <w:rPr>
                <w:szCs w:val="21"/>
              </w:rPr>
            </w:pPr>
            <w:r>
              <w:rPr>
                <w:szCs w:val="21"/>
              </w:rPr>
              <w:t>点荷载试验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227" w:hRule="atLeast"/>
          <w:jc w:val="center"/>
        </w:trPr>
        <w:tc>
          <w:tcPr>
            <w:tcW w:w="1201" w:type="dxa"/>
            <w:tcBorders>
              <w:top w:val="single" w:color="auto" w:sz="4" w:space="0"/>
              <w:left w:val="single" w:color="auto" w:sz="8" w:space="0"/>
              <w:bottom w:val="single" w:color="auto" w:sz="4" w:space="0"/>
              <w:right w:val="single" w:color="auto" w:sz="4" w:space="0"/>
            </w:tcBorders>
            <w:vAlign w:val="center"/>
          </w:tcPr>
          <w:p>
            <w:pPr>
              <w:spacing w:line="360" w:lineRule="exact"/>
              <w:jc w:val="center"/>
              <w:rPr>
                <w:szCs w:val="21"/>
              </w:rPr>
            </w:pPr>
            <w:r>
              <w:rPr>
                <w:szCs w:val="21"/>
              </w:rPr>
              <w:t>单 位</w:t>
            </w:r>
          </w:p>
        </w:tc>
        <w:tc>
          <w:tcPr>
            <w:tcW w:w="6938" w:type="dxa"/>
            <w:gridSpan w:val="2"/>
            <w:tcBorders>
              <w:top w:val="single" w:color="auto" w:sz="4" w:space="0"/>
              <w:left w:val="single" w:color="auto" w:sz="4" w:space="0"/>
              <w:bottom w:val="single" w:color="auto" w:sz="4" w:space="0"/>
              <w:right w:val="single" w:color="auto" w:sz="8" w:space="0"/>
            </w:tcBorders>
          </w:tcPr>
          <w:p>
            <w:pPr>
              <w:jc w:val="center"/>
              <w:rPr>
                <w:szCs w:val="21"/>
              </w:rPr>
            </w:pPr>
            <w:r>
              <w:rPr>
                <w:szCs w:val="21"/>
              </w:rPr>
              <w:t>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450" w:hRule="atLeast"/>
          <w:jc w:val="center"/>
        </w:trPr>
        <w:tc>
          <w:tcPr>
            <w:tcW w:w="1201" w:type="dxa"/>
            <w:tcBorders>
              <w:top w:val="single" w:color="auto" w:sz="4" w:space="0"/>
              <w:left w:val="single" w:color="auto" w:sz="8" w:space="0"/>
              <w:bottom w:val="single" w:color="auto" w:sz="4" w:space="0"/>
              <w:right w:val="single" w:color="auto" w:sz="4" w:space="0"/>
            </w:tcBorders>
            <w:vAlign w:val="center"/>
          </w:tcPr>
          <w:p>
            <w:pPr>
              <w:spacing w:line="360" w:lineRule="exact"/>
              <w:jc w:val="center"/>
              <w:rPr>
                <w:szCs w:val="21"/>
              </w:rPr>
            </w:pPr>
            <w:r>
              <w:rPr>
                <w:szCs w:val="21"/>
              </w:rPr>
              <w:t>工作量</w:t>
            </w:r>
          </w:p>
        </w:tc>
        <w:tc>
          <w:tcPr>
            <w:tcW w:w="3390"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1</w:t>
            </w:r>
          </w:p>
        </w:tc>
        <w:tc>
          <w:tcPr>
            <w:tcW w:w="3548"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1</w:t>
            </w:r>
          </w:p>
        </w:tc>
      </w:tr>
    </w:tbl>
    <w:p>
      <w:pPr>
        <w:pStyle w:val="3"/>
        <w:numPr>
          <w:ilvl w:val="0"/>
          <w:numId w:val="2"/>
        </w:numPr>
      </w:pPr>
      <w:bookmarkStart w:id="8" w:name="_Toc20337"/>
      <w:r>
        <w:t xml:space="preserve"> 勘查区地质环境条件</w:t>
      </w:r>
      <w:bookmarkEnd w:id="8"/>
    </w:p>
    <w:p>
      <w:pPr>
        <w:pStyle w:val="2"/>
        <w:numPr>
          <w:ilvl w:val="1"/>
          <w:numId w:val="2"/>
        </w:numPr>
      </w:pPr>
      <w:bookmarkStart w:id="9" w:name="_Toc13480"/>
      <w:r>
        <w:t>勘查区地形地貌特征</w:t>
      </w:r>
      <w:bookmarkEnd w:id="9"/>
    </w:p>
    <w:p>
      <w:pPr>
        <w:widowControl/>
        <w:ind w:firstLine="560" w:firstLineChars="200"/>
        <w:rPr>
          <w:szCs w:val="28"/>
        </w:rPr>
      </w:pPr>
      <w:r>
        <w:rPr>
          <w:szCs w:val="28"/>
        </w:rPr>
        <w:t>勘查区区域上属</w:t>
      </w:r>
      <w:r>
        <w:rPr>
          <w:rFonts w:hint="eastAsia"/>
          <w:szCs w:val="28"/>
        </w:rPr>
        <w:t>低山</w:t>
      </w:r>
      <w:r>
        <w:rPr>
          <w:szCs w:val="28"/>
        </w:rPr>
        <w:t>丘陵地貌，周边地形起伏变化</w:t>
      </w:r>
      <w:r>
        <w:rPr>
          <w:rFonts w:hint="eastAsia"/>
          <w:szCs w:val="28"/>
        </w:rPr>
        <w:t>不</w:t>
      </w:r>
      <w:r>
        <w:rPr>
          <w:szCs w:val="28"/>
        </w:rPr>
        <w:t>大，相对高差</w:t>
      </w:r>
      <w:r>
        <w:rPr>
          <w:rFonts w:hint="eastAsia"/>
          <w:szCs w:val="28"/>
        </w:rPr>
        <w:t>小</w:t>
      </w:r>
      <w:r>
        <w:rPr>
          <w:szCs w:val="28"/>
        </w:rPr>
        <w:t>于</w:t>
      </w:r>
      <w:r>
        <w:rPr>
          <w:rFonts w:hint="eastAsia"/>
          <w:szCs w:val="28"/>
        </w:rPr>
        <w:t>1</w:t>
      </w:r>
      <w:r>
        <w:rPr>
          <w:szCs w:val="28"/>
        </w:rPr>
        <w:t>00m，自然山坡坡度</w:t>
      </w:r>
      <w:r>
        <w:rPr>
          <w:rFonts w:hint="eastAsia"/>
          <w:szCs w:val="28"/>
        </w:rPr>
        <w:t>15</w:t>
      </w:r>
      <w:r>
        <w:rPr>
          <w:szCs w:val="28"/>
        </w:rPr>
        <w:t>～</w:t>
      </w:r>
      <w:r>
        <w:rPr>
          <w:rFonts w:hint="eastAsia"/>
          <w:szCs w:val="28"/>
        </w:rPr>
        <w:t>25</w:t>
      </w:r>
      <w:r>
        <w:rPr>
          <w:szCs w:val="28"/>
        </w:rPr>
        <w:t>°，</w:t>
      </w:r>
      <w:r>
        <w:rPr>
          <w:rFonts w:hint="eastAsia"/>
          <w:szCs w:val="28"/>
        </w:rPr>
        <w:t>局部超过30°，坡面</w:t>
      </w:r>
      <w:r>
        <w:rPr>
          <w:szCs w:val="28"/>
        </w:rPr>
        <w:t>植被发育，</w:t>
      </w:r>
      <w:r>
        <w:rPr>
          <w:rFonts w:hint="eastAsia"/>
          <w:szCs w:val="28"/>
        </w:rPr>
        <w:t>以</w:t>
      </w:r>
      <w:r>
        <w:rPr>
          <w:rFonts w:hint="eastAsia"/>
          <w:szCs w:val="28"/>
          <w:lang w:val="en-US" w:eastAsia="zh-CN"/>
        </w:rPr>
        <w:t>毛竹</w:t>
      </w:r>
      <w:r>
        <w:rPr>
          <w:rFonts w:hint="eastAsia"/>
          <w:szCs w:val="28"/>
        </w:rPr>
        <w:t>、杉树</w:t>
      </w:r>
      <w:r>
        <w:rPr>
          <w:szCs w:val="28"/>
        </w:rPr>
        <w:t>为主。</w:t>
      </w:r>
    </w:p>
    <w:p>
      <w:pPr>
        <w:ind w:firstLine="560" w:firstLineChars="200"/>
        <w:rPr>
          <w:rFonts w:hint="eastAsia" w:eastAsia="宋体"/>
          <w:szCs w:val="28"/>
          <w:lang w:eastAsia="zh-CN"/>
        </w:rPr>
      </w:pPr>
      <w:r>
        <w:rPr>
          <w:rFonts w:hint="eastAsia"/>
          <w:szCs w:val="28"/>
        </w:rPr>
        <w:t>勘查区</w:t>
      </w:r>
      <w:r>
        <w:rPr>
          <w:rFonts w:hint="eastAsia"/>
          <w:szCs w:val="28"/>
          <w:lang w:val="en-US" w:eastAsia="zh-CN"/>
        </w:rPr>
        <w:t>原始地貌为一小山包，因</w:t>
      </w:r>
      <w:r>
        <w:rPr>
          <w:rFonts w:hint="eastAsia"/>
          <w:szCs w:val="28"/>
        </w:rPr>
        <w:t>房屋建设</w:t>
      </w:r>
      <w:r>
        <w:rPr>
          <w:rFonts w:hint="eastAsia"/>
          <w:szCs w:val="28"/>
          <w:lang w:val="en-US" w:eastAsia="zh-CN"/>
        </w:rPr>
        <w:t>对山坡中下部进行</w:t>
      </w:r>
      <w:r>
        <w:rPr>
          <w:rFonts w:hint="eastAsia"/>
          <w:szCs w:val="28"/>
        </w:rPr>
        <w:t>开挖、堆填</w:t>
      </w:r>
      <w:r>
        <w:rPr>
          <w:rFonts w:hint="eastAsia"/>
          <w:szCs w:val="28"/>
          <w:lang w:eastAsia="zh-CN"/>
        </w:rPr>
        <w:t>，</w:t>
      </w:r>
      <w:r>
        <w:rPr>
          <w:rFonts w:hint="eastAsia"/>
          <w:szCs w:val="28"/>
        </w:rPr>
        <w:t>形成人工开挖边坡及台地。</w:t>
      </w:r>
      <w:r>
        <w:rPr>
          <w:rFonts w:hint="eastAsia"/>
          <w:szCs w:val="28"/>
          <w:lang w:val="en-US" w:eastAsia="zh-CN"/>
        </w:rPr>
        <w:t>第一级</w:t>
      </w:r>
      <w:r>
        <w:rPr>
          <w:rFonts w:hint="eastAsia"/>
          <w:color w:val="auto"/>
          <w:szCs w:val="28"/>
          <w:lang w:val="en-US" w:eastAsia="zh-CN"/>
        </w:rPr>
        <w:t>台地</w:t>
      </w:r>
      <w:r>
        <w:rPr>
          <w:rFonts w:hint="eastAsia"/>
          <w:color w:val="auto"/>
          <w:szCs w:val="28"/>
        </w:rPr>
        <w:t>标高</w:t>
      </w:r>
      <w:r>
        <w:rPr>
          <w:rFonts w:hint="eastAsia"/>
          <w:color w:val="auto"/>
          <w:szCs w:val="28"/>
          <w:lang w:val="en-US" w:eastAsia="zh-CN"/>
        </w:rPr>
        <w:t>160.09～163.25m，分布有31、32、33号，第二级台地标高</w:t>
      </w:r>
      <w:r>
        <w:rPr>
          <w:rFonts w:hint="eastAsia"/>
          <w:color w:val="auto"/>
          <w:szCs w:val="28"/>
        </w:rPr>
        <w:t>为156.</w:t>
      </w:r>
      <w:r>
        <w:rPr>
          <w:rFonts w:hint="eastAsia"/>
          <w:color w:val="auto"/>
          <w:szCs w:val="28"/>
          <w:lang w:val="en-US" w:eastAsia="zh-CN"/>
        </w:rPr>
        <w:t>07</w:t>
      </w:r>
      <w:r>
        <w:rPr>
          <w:rFonts w:hint="eastAsia"/>
          <w:color w:val="auto"/>
          <w:szCs w:val="28"/>
        </w:rPr>
        <w:t>～1</w:t>
      </w:r>
      <w:r>
        <w:rPr>
          <w:rFonts w:hint="eastAsia"/>
          <w:color w:val="auto"/>
          <w:szCs w:val="28"/>
          <w:lang w:val="en-US" w:eastAsia="zh-CN"/>
        </w:rPr>
        <w:t>56.63</w:t>
      </w:r>
      <w:r>
        <w:rPr>
          <w:rFonts w:hint="eastAsia"/>
          <w:color w:val="auto"/>
          <w:szCs w:val="28"/>
        </w:rPr>
        <w:t>m，</w:t>
      </w:r>
      <w:r>
        <w:rPr>
          <w:rFonts w:hint="eastAsia"/>
          <w:color w:val="auto"/>
          <w:szCs w:val="28"/>
          <w:lang w:val="en-US" w:eastAsia="zh-CN"/>
        </w:rPr>
        <w:t>位于第一台地东北侧，</w:t>
      </w:r>
      <w:r>
        <w:rPr>
          <w:rFonts w:hint="eastAsia"/>
          <w:color w:val="auto"/>
          <w:szCs w:val="28"/>
        </w:rPr>
        <w:t>分布有</w:t>
      </w:r>
      <w:r>
        <w:rPr>
          <w:rFonts w:hint="eastAsia"/>
          <w:color w:val="auto"/>
          <w:szCs w:val="28"/>
          <w:lang w:val="en-US" w:eastAsia="zh-CN"/>
        </w:rPr>
        <w:t>28号；</w:t>
      </w:r>
      <w:r>
        <w:rPr>
          <w:rFonts w:hint="eastAsia"/>
          <w:bCs/>
          <w:color w:val="auto"/>
          <w:lang w:val="en-US" w:eastAsia="zh-CN"/>
        </w:rPr>
        <w:t>第三级台地标高为</w:t>
      </w:r>
      <w:r>
        <w:rPr>
          <w:rFonts w:hint="eastAsia"/>
          <w:color w:val="auto"/>
          <w:szCs w:val="28"/>
        </w:rPr>
        <w:t>143.83～152.55m，</w:t>
      </w:r>
      <w:r>
        <w:rPr>
          <w:rFonts w:hint="eastAsia"/>
          <w:color w:val="auto"/>
          <w:szCs w:val="28"/>
          <w:lang w:val="en-US" w:eastAsia="zh-CN"/>
        </w:rPr>
        <w:t>位于第一、二级台地东南侧，</w:t>
      </w:r>
      <w:r>
        <w:rPr>
          <w:rFonts w:hint="eastAsia"/>
          <w:color w:val="auto"/>
          <w:szCs w:val="28"/>
        </w:rPr>
        <w:t>分布有20-1号、20-2号</w:t>
      </w:r>
      <w:r>
        <w:rPr>
          <w:rFonts w:hint="eastAsia"/>
          <w:color w:val="auto"/>
          <w:szCs w:val="28"/>
          <w:lang w:eastAsia="zh-CN"/>
        </w:rPr>
        <w:t>。</w:t>
      </w:r>
      <w:r>
        <w:rPr>
          <w:rFonts w:hint="eastAsia"/>
          <w:color w:val="auto"/>
          <w:szCs w:val="28"/>
        </w:rPr>
        <w:t>房屋</w:t>
      </w:r>
      <w:r>
        <w:rPr>
          <w:rFonts w:hint="eastAsia"/>
          <w:color w:val="auto"/>
          <w:szCs w:val="28"/>
          <w:lang w:val="en-US" w:eastAsia="zh-CN"/>
        </w:rPr>
        <w:t>均</w:t>
      </w:r>
      <w:r>
        <w:rPr>
          <w:rFonts w:hint="eastAsia"/>
          <w:color w:val="auto"/>
          <w:szCs w:val="28"/>
        </w:rPr>
        <w:t>为砖混结构，采用</w:t>
      </w:r>
      <w:r>
        <w:rPr>
          <w:rFonts w:hint="eastAsia"/>
          <w:color w:val="auto"/>
          <w:szCs w:val="28"/>
          <w:lang w:eastAsia="zh-CN"/>
        </w:rPr>
        <w:t>条形基础，</w:t>
      </w:r>
      <w:r>
        <w:rPr>
          <w:rFonts w:hint="eastAsia"/>
          <w:color w:val="auto"/>
          <w:szCs w:val="28"/>
          <w:lang w:val="en-US" w:eastAsia="zh-CN"/>
        </w:rPr>
        <w:t>基础埋深约1～2m</w:t>
      </w:r>
      <w:r>
        <w:rPr>
          <w:rFonts w:hint="eastAsia"/>
          <w:color w:val="auto"/>
          <w:szCs w:val="28"/>
        </w:rPr>
        <w:t>。</w:t>
      </w:r>
      <w:r>
        <w:rPr>
          <w:rFonts w:hint="eastAsia"/>
          <w:color w:val="auto"/>
          <w:szCs w:val="28"/>
          <w:lang w:val="en-US" w:eastAsia="zh-CN"/>
        </w:rPr>
        <w:t>拟治理边坡为第一、二级台地与第三级台地之间边坡，</w:t>
      </w:r>
      <w:r>
        <w:rPr>
          <w:rFonts w:hint="eastAsia"/>
          <w:color w:val="auto"/>
          <w:szCs w:val="28"/>
        </w:rPr>
        <w:t>边坡总高约7～20</w:t>
      </w:r>
      <w:r>
        <w:rPr>
          <w:bCs/>
          <w:color w:val="auto"/>
        </w:rPr>
        <w:t>m</w:t>
      </w:r>
      <w:r>
        <w:rPr>
          <w:rFonts w:hint="eastAsia"/>
          <w:color w:val="auto"/>
          <w:szCs w:val="28"/>
        </w:rPr>
        <w:t>，为二级坡，平台宽度1.7m，</w:t>
      </w:r>
      <w:r>
        <w:rPr>
          <w:rFonts w:hint="eastAsia"/>
          <w:bCs/>
        </w:rPr>
        <w:t>自上而下：第一级为填土边坡，高3.5m，坡度</w:t>
      </w:r>
      <w:r>
        <w:rPr>
          <w:rFonts w:hint="eastAsia"/>
          <w:szCs w:val="28"/>
        </w:rPr>
        <w:t>约78°</w:t>
      </w:r>
      <w:r>
        <w:rPr>
          <w:rFonts w:hint="eastAsia"/>
          <w:bCs/>
        </w:rPr>
        <w:t>，采用</w:t>
      </w:r>
      <w:r>
        <w:rPr>
          <w:rFonts w:hint="eastAsia"/>
          <w:szCs w:val="28"/>
        </w:rPr>
        <w:t>干砌块石护面墙进行支护（31号-32号宅前段现已垮塌损毁）</w:t>
      </w:r>
      <w:r>
        <w:rPr>
          <w:rFonts w:hint="eastAsia"/>
          <w:bCs/>
        </w:rPr>
        <w:t>；第二级为开挖边坡，</w:t>
      </w:r>
      <w:r>
        <w:rPr>
          <w:bCs/>
        </w:rPr>
        <w:t>高</w:t>
      </w:r>
      <w:r>
        <w:rPr>
          <w:rFonts w:hint="eastAsia"/>
          <w:szCs w:val="28"/>
        </w:rPr>
        <w:t>7～</w:t>
      </w:r>
      <w:r>
        <w:rPr>
          <w:rFonts w:hint="eastAsia"/>
          <w:szCs w:val="28"/>
          <w:lang w:val="en-US" w:eastAsia="zh-CN"/>
        </w:rPr>
        <w:t>13</w:t>
      </w:r>
      <w:r>
        <w:rPr>
          <w:bCs/>
        </w:rPr>
        <w:t>m，坡度约</w:t>
      </w:r>
      <w:r>
        <w:rPr>
          <w:rFonts w:hint="eastAsia"/>
          <w:bCs/>
        </w:rPr>
        <w:t>60</w:t>
      </w:r>
      <w:r>
        <w:rPr>
          <w:bCs/>
        </w:rPr>
        <w:t>～</w:t>
      </w:r>
      <w:r>
        <w:rPr>
          <w:rFonts w:hint="eastAsia"/>
          <w:bCs/>
        </w:rPr>
        <w:t>65</w:t>
      </w:r>
      <w:r>
        <w:rPr>
          <w:bCs/>
        </w:rPr>
        <w:t>°，</w:t>
      </w:r>
      <w:r>
        <w:rPr>
          <w:rFonts w:hint="eastAsia"/>
          <w:bCs/>
        </w:rPr>
        <w:t>坡脚处</w:t>
      </w:r>
      <w:r>
        <w:rPr>
          <w:rFonts w:hint="eastAsia"/>
          <w:szCs w:val="28"/>
        </w:rPr>
        <w:t>局部采取支护措施：20-1、20-2号屋后采用干砌块石护面墙进行支护（现已损毁），20-2号东侧院子后方采用喷砼进行支护，其余段边坡坡面裸露，以</w:t>
      </w:r>
      <w:r>
        <w:rPr>
          <w:rFonts w:hint="eastAsia"/>
          <w:szCs w:val="28"/>
          <w:lang w:eastAsia="zh-CN"/>
        </w:rPr>
        <w:t>坡积黏性土</w:t>
      </w:r>
      <w:r>
        <w:rPr>
          <w:rFonts w:hint="eastAsia"/>
          <w:szCs w:val="28"/>
        </w:rPr>
        <w:t>为主</w:t>
      </w:r>
      <w:r>
        <w:rPr>
          <w:rFonts w:hint="eastAsia"/>
          <w:bCs/>
        </w:rPr>
        <w:t>。</w:t>
      </w:r>
      <w:r>
        <w:rPr>
          <w:rFonts w:hint="eastAsia"/>
          <w:bCs/>
          <w:lang w:val="en-US" w:eastAsia="zh-CN"/>
        </w:rPr>
        <w:t>原始</w:t>
      </w:r>
      <w:r>
        <w:rPr>
          <w:rFonts w:hint="eastAsia"/>
          <w:color w:val="auto"/>
          <w:szCs w:val="28"/>
        </w:rPr>
        <w:t>坡墙距</w:t>
      </w:r>
      <w:r>
        <w:rPr>
          <w:rFonts w:hint="eastAsia"/>
          <w:color w:val="auto"/>
          <w:szCs w:val="28"/>
          <w:lang w:val="en-US" w:eastAsia="zh-CN"/>
        </w:rPr>
        <w:t>1.5</w:t>
      </w:r>
      <w:r>
        <w:rPr>
          <w:rFonts w:hint="eastAsia"/>
          <w:color w:val="auto"/>
          <w:szCs w:val="28"/>
        </w:rPr>
        <w:t>～2.5m</w:t>
      </w:r>
      <w:r>
        <w:rPr>
          <w:rFonts w:hint="eastAsia"/>
          <w:color w:val="auto"/>
          <w:szCs w:val="28"/>
          <w:lang w:eastAsia="zh-CN"/>
        </w:rPr>
        <w:t>，</w:t>
      </w:r>
      <w:r>
        <w:rPr>
          <w:rFonts w:hint="eastAsia"/>
          <w:color w:val="auto"/>
          <w:szCs w:val="28"/>
          <w:lang w:val="en-US" w:eastAsia="zh-CN"/>
        </w:rPr>
        <w:t>32号房前坡脚处有一简易房屋</w:t>
      </w:r>
      <w:r>
        <w:rPr>
          <w:rFonts w:hint="eastAsia"/>
          <w:color w:val="auto"/>
          <w:szCs w:val="28"/>
          <w:lang w:eastAsia="zh-CN"/>
        </w:rPr>
        <w:t>，</w:t>
      </w:r>
      <w:r>
        <w:rPr>
          <w:rFonts w:hint="eastAsia"/>
          <w:color w:val="auto"/>
          <w:szCs w:val="28"/>
          <w:lang w:val="en-US" w:eastAsia="zh-CN"/>
        </w:rPr>
        <w:t>紧邻坡面</w:t>
      </w:r>
      <w:r>
        <w:rPr>
          <w:rFonts w:hint="eastAsia"/>
          <w:color w:val="auto"/>
          <w:szCs w:val="28"/>
        </w:rPr>
        <w:t>。</w:t>
      </w:r>
      <w:r>
        <w:rPr>
          <w:rFonts w:hint="eastAsia"/>
          <w:szCs w:val="28"/>
        </w:rPr>
        <w:t>受降雨影响，已多次发生崩塌灾害（BT1</w:t>
      </w:r>
      <w:r>
        <w:rPr>
          <w:rFonts w:hint="eastAsia"/>
          <w:szCs w:val="28"/>
          <w:lang w:val="en-US" w:eastAsia="zh-CN"/>
        </w:rPr>
        <w:t>处</w:t>
      </w:r>
      <w:r>
        <w:rPr>
          <w:rFonts w:hint="eastAsia"/>
          <w:szCs w:val="28"/>
        </w:rPr>
        <w:t>）</w:t>
      </w:r>
      <w:r>
        <w:rPr>
          <w:rFonts w:hint="eastAsia"/>
          <w:szCs w:val="28"/>
          <w:lang w:eastAsia="zh-CN"/>
        </w:rPr>
        <w:t>。</w:t>
      </w:r>
    </w:p>
    <w:p>
      <w:pPr>
        <w:widowControl/>
        <w:ind w:firstLine="560" w:firstLineChars="200"/>
        <w:rPr>
          <w:rFonts w:hint="default"/>
          <w:szCs w:val="28"/>
          <w:lang w:val="en-US" w:eastAsia="zh-CN"/>
        </w:rPr>
      </w:pPr>
      <w:r>
        <w:rPr>
          <w:rFonts w:hint="eastAsia"/>
          <w:szCs w:val="28"/>
          <w:lang w:val="en-US" w:eastAsia="zh-CN"/>
        </w:rPr>
        <w:t>31、32、33号宅后斜坡上部为自然斜坡，</w:t>
      </w:r>
      <w:r>
        <w:rPr>
          <w:szCs w:val="28"/>
        </w:rPr>
        <w:t>坡度</w:t>
      </w:r>
      <w:r>
        <w:rPr>
          <w:rFonts w:hint="eastAsia"/>
          <w:szCs w:val="28"/>
        </w:rPr>
        <w:t>15</w:t>
      </w:r>
      <w:r>
        <w:rPr>
          <w:szCs w:val="28"/>
        </w:rPr>
        <w:t>～</w:t>
      </w:r>
      <w:r>
        <w:rPr>
          <w:rFonts w:hint="eastAsia"/>
          <w:szCs w:val="28"/>
        </w:rPr>
        <w:t>25</w:t>
      </w:r>
      <w:r>
        <w:rPr>
          <w:szCs w:val="28"/>
        </w:rPr>
        <w:t>°，</w:t>
      </w:r>
      <w:r>
        <w:rPr>
          <w:rFonts w:hint="eastAsia"/>
          <w:szCs w:val="28"/>
        </w:rPr>
        <w:t>局部超过30°</w:t>
      </w:r>
      <w:r>
        <w:rPr>
          <w:rFonts w:hint="eastAsia"/>
          <w:szCs w:val="28"/>
          <w:lang w:eastAsia="zh-CN"/>
        </w:rPr>
        <w:t>，</w:t>
      </w:r>
      <w:r>
        <w:rPr>
          <w:rFonts w:hint="eastAsia"/>
          <w:szCs w:val="28"/>
        </w:rPr>
        <w:t>坡面</w:t>
      </w:r>
      <w:r>
        <w:rPr>
          <w:szCs w:val="28"/>
        </w:rPr>
        <w:t>植被发育，</w:t>
      </w:r>
      <w:r>
        <w:rPr>
          <w:rFonts w:hint="eastAsia"/>
          <w:szCs w:val="28"/>
        </w:rPr>
        <w:t>以</w:t>
      </w:r>
      <w:r>
        <w:rPr>
          <w:rFonts w:hint="eastAsia"/>
          <w:szCs w:val="28"/>
          <w:lang w:val="en-US" w:eastAsia="zh-CN"/>
        </w:rPr>
        <w:t>毛竹</w:t>
      </w:r>
      <w:r>
        <w:rPr>
          <w:rFonts w:hint="eastAsia"/>
          <w:szCs w:val="28"/>
        </w:rPr>
        <w:t>、杉树</w:t>
      </w:r>
      <w:r>
        <w:rPr>
          <w:szCs w:val="28"/>
        </w:rPr>
        <w:t>为主。</w:t>
      </w:r>
      <w:r>
        <w:rPr>
          <w:rFonts w:hint="eastAsia"/>
          <w:szCs w:val="28"/>
          <w:lang w:val="en-US" w:eastAsia="zh-CN"/>
        </w:rPr>
        <w:t>下部为人工开挖边坡，开挖边坡总高约12m，坡度约60～80°，坡面裸露，以坡积黏性土及全风化粉砂岩为主，开挖为多级边坡，其中：31号宅后段为4级坡，平台宽度约0.5～0.8m，坡墙距约2.6m，坡顶标高约177.16m处有一条水泥台阶小路；32号宅后段为三级坡，平台宽度约1.3～2.0m，坡墙距约1.2m；33号宅后段为3级坡，平台宽度约0.9～1.6m，坡墙距约0.6m。</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61" w:type="dxa"/>
            <w:tcBorders>
              <w:top w:val="nil"/>
              <w:left w:val="nil"/>
              <w:bottom w:val="nil"/>
              <w:right w:val="nil"/>
            </w:tcBorders>
          </w:tcPr>
          <w:p>
            <w:pPr>
              <w:jc w:val="center"/>
              <w:rPr>
                <w:szCs w:val="28"/>
              </w:rPr>
            </w:pPr>
            <w:r>
              <w:rPr>
                <w:rFonts w:hint="eastAsia"/>
                <w:sz w:val="24"/>
                <w:szCs w:val="24"/>
              </w:rPr>
              <w:drawing>
                <wp:anchor distT="0" distB="0" distL="114300" distR="114300" simplePos="0" relativeHeight="251663360" behindDoc="0" locked="0" layoutInCell="1" allowOverlap="1">
                  <wp:simplePos x="0" y="0"/>
                  <wp:positionH relativeFrom="column">
                    <wp:posOffset>5718175</wp:posOffset>
                  </wp:positionH>
                  <wp:positionV relativeFrom="paragraph">
                    <wp:posOffset>207010</wp:posOffset>
                  </wp:positionV>
                  <wp:extent cx="536575" cy="567055"/>
                  <wp:effectExtent l="28575" t="0" r="29210" b="58420"/>
                  <wp:wrapNone/>
                  <wp:docPr id="51"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descr="1"/>
                          <pic:cNvPicPr>
                            <a:picLocks noChangeAspect="1"/>
                          </pic:cNvPicPr>
                        </pic:nvPicPr>
                        <pic:blipFill>
                          <a:blip r:embed="rId10">
                            <a:clrChange>
                              <a:clrFrom>
                                <a:srgbClr val="FFFFFF">
                                  <a:alpha val="100000"/>
                                </a:srgbClr>
                              </a:clrFrom>
                              <a:clrTo>
                                <a:srgbClr val="FFFFFF">
                                  <a:alpha val="100000"/>
                                  <a:alpha val="0"/>
                                </a:srgbClr>
                              </a:clrTo>
                            </a:clrChange>
                          </a:blip>
                          <a:srcRect l="568" t="28845" r="3409"/>
                          <a:stretch>
                            <a:fillRect/>
                          </a:stretch>
                        </pic:blipFill>
                        <pic:spPr>
                          <a:xfrm rot="2460000">
                            <a:off x="0" y="0"/>
                            <a:ext cx="536575" cy="567055"/>
                          </a:xfrm>
                          <a:prstGeom prst="rect">
                            <a:avLst/>
                          </a:prstGeom>
                          <a:noFill/>
                          <a:ln>
                            <a:noFill/>
                          </a:ln>
                        </pic:spPr>
                      </pic:pic>
                    </a:graphicData>
                  </a:graphic>
                </wp:anchor>
              </w:drawing>
            </w:r>
            <w:r>
              <w:rPr>
                <w:rFonts w:hint="eastAsia"/>
                <w:sz w:val="24"/>
                <w:szCs w:val="24"/>
              </w:rPr>
              <w:drawing>
                <wp:inline distT="0" distB="0" distL="114300" distR="114300">
                  <wp:extent cx="4286885" cy="6450330"/>
                  <wp:effectExtent l="0" t="0" r="11430" b="10795"/>
                  <wp:docPr id="8" name="图片 8" descr="航拍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航拍照片-1"/>
                          <pic:cNvPicPr>
                            <a:picLocks noChangeAspect="1"/>
                          </pic:cNvPicPr>
                        </pic:nvPicPr>
                        <pic:blipFill>
                          <a:blip r:embed="rId12"/>
                          <a:srcRect l="5050" t="2061" r="4811" b="2053"/>
                          <a:stretch>
                            <a:fillRect/>
                          </a:stretch>
                        </pic:blipFill>
                        <pic:spPr>
                          <a:xfrm rot="16200000">
                            <a:off x="0" y="0"/>
                            <a:ext cx="4286885" cy="6450330"/>
                          </a:xfrm>
                          <a:prstGeom prst="rect">
                            <a:avLst/>
                          </a:prstGeom>
                        </pic:spPr>
                      </pic:pic>
                    </a:graphicData>
                  </a:graphic>
                </wp:inline>
              </w:drawing>
            </w:r>
            <w:r>
              <mc:AlternateContent>
                <mc:Choice Requires="wps">
                  <w:drawing>
                    <wp:anchor distT="0" distB="0" distL="114300" distR="114300" simplePos="0" relativeHeight="251661312" behindDoc="0" locked="0" layoutInCell="1" allowOverlap="1">
                      <wp:simplePos x="0" y="0"/>
                      <wp:positionH relativeFrom="column">
                        <wp:posOffset>2761615</wp:posOffset>
                      </wp:positionH>
                      <wp:positionV relativeFrom="paragraph">
                        <wp:posOffset>1847215</wp:posOffset>
                      </wp:positionV>
                      <wp:extent cx="412750" cy="1314450"/>
                      <wp:effectExtent l="0" t="0" r="0" b="0"/>
                      <wp:wrapNone/>
                      <wp:docPr id="3" name="任意多边形 11"/>
                      <wp:cNvGraphicFramePr/>
                      <a:graphic xmlns:a="http://schemas.openxmlformats.org/drawingml/2006/main">
                        <a:graphicData uri="http://schemas.microsoft.com/office/word/2010/wordprocessingShape">
                          <wps:wsp>
                            <wps:cNvSpPr/>
                            <wps:spPr>
                              <a:xfrm>
                                <a:off x="0" y="0"/>
                                <a:ext cx="412750" cy="1314450"/>
                              </a:xfrm>
                              <a:custGeom>
                                <a:avLst/>
                                <a:gdLst/>
                                <a:ahLst/>
                                <a:cxnLst/>
                                <a:rect l="0" t="0" r="0" b="0"/>
                                <a:pathLst>
                                  <a:path w="650" h="2070">
                                    <a:moveTo>
                                      <a:pt x="300" y="2070"/>
                                    </a:moveTo>
                                    <a:lnTo>
                                      <a:pt x="0" y="1640"/>
                                    </a:lnTo>
                                    <a:lnTo>
                                      <a:pt x="70" y="910"/>
                                    </a:lnTo>
                                    <a:lnTo>
                                      <a:pt x="650" y="0"/>
                                    </a:lnTo>
                                  </a:path>
                                </a:pathLst>
                              </a:custGeom>
                              <a:noFill/>
                              <a:ln>
                                <a:noFill/>
                              </a:ln>
                            </wps:spPr>
                            <wps:bodyPr vert="horz" wrap="square" anchor="t" anchorCtr="0" upright="1"/>
                          </wps:wsp>
                        </a:graphicData>
                      </a:graphic>
                    </wp:anchor>
                  </w:drawing>
                </mc:Choice>
                <mc:Fallback>
                  <w:pict>
                    <v:shape id="任意多边形 11" o:spid="_x0000_s1026" o:spt="100" style="position:absolute;left:0pt;margin-left:217.45pt;margin-top:145.45pt;height:103.5pt;width:32.5pt;z-index:251661312;mso-width-relative:page;mso-height-relative:page;" filled="f" stroked="f" coordsize="650,2070" o:gfxdata="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MJxlD&#10;1wAAAAsBAAAPAAAAAAAAAAEAIAAAACIAAABkcnMvZG93bnJldi54bWxQSwECFAAUAAAACACHTuJA&#10;gwes9yICAACBBAAADgAAAAAAAAABACAAAAAmAQAAZHJzL2Uyb0RvYy54bWxQSwUGAAAAAAYABgBZ&#10;AQAAugUAAAAA&#10;" path="m300,2070l0,1640,70,910,650,0e">
                      <v:fill on="f" focussize="0,0"/>
                      <v:stroke on="f"/>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61" w:type="dxa"/>
            <w:tcBorders>
              <w:top w:val="nil"/>
              <w:left w:val="nil"/>
              <w:bottom w:val="nil"/>
              <w:right w:val="nil"/>
            </w:tcBorders>
          </w:tcPr>
          <w:p>
            <w:pPr>
              <w:pStyle w:val="6"/>
              <w:jc w:val="center"/>
              <w:rPr>
                <w:rFonts w:eastAsia="宋体"/>
                <w:szCs w:val="28"/>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2.1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rFonts w:hint="eastAsia"/>
                <w:sz w:val="24"/>
                <w:szCs w:val="24"/>
              </w:rPr>
              <w:t>勘查区航拍照片</w:t>
            </w:r>
          </w:p>
        </w:tc>
      </w:tr>
    </w:tbl>
    <w:p>
      <w:pPr>
        <w:pStyle w:val="2"/>
        <w:numPr>
          <w:ilvl w:val="1"/>
          <w:numId w:val="2"/>
        </w:numPr>
      </w:pPr>
      <w:bookmarkStart w:id="10" w:name="_Toc22688"/>
      <w:r>
        <w:t>气象、水文条件</w:t>
      </w:r>
      <w:bookmarkEnd w:id="10"/>
    </w:p>
    <w:p>
      <w:pPr>
        <w:widowControl/>
        <w:rPr>
          <w:bCs/>
          <w:szCs w:val="28"/>
        </w:rPr>
      </w:pPr>
      <w:r>
        <w:rPr>
          <w:b/>
          <w:szCs w:val="28"/>
        </w:rPr>
        <w:t>2.2.1</w:t>
      </w:r>
      <w:r>
        <w:rPr>
          <w:bCs/>
          <w:szCs w:val="28"/>
        </w:rPr>
        <w:t>气象</w:t>
      </w:r>
    </w:p>
    <w:p>
      <w:pPr>
        <w:widowControl/>
        <w:ind w:firstLine="480"/>
        <w:rPr>
          <w:color w:val="000000"/>
          <w:szCs w:val="28"/>
        </w:rPr>
      </w:pPr>
      <w:r>
        <w:rPr>
          <w:rFonts w:hint="eastAsia"/>
          <w:szCs w:val="28"/>
        </w:rPr>
        <w:t>尤溪县气候属中亚热带，温暖湿润，四季分明，年平均气温</w:t>
      </w:r>
      <w:r>
        <w:rPr>
          <w:szCs w:val="28"/>
        </w:rPr>
        <w:t>18.9°C，夏季最高气温40.5°C，冬季最低气温-8.0°C。年降雨量变化幅度为1460-1809毫米，年平均降雨量1655.4毫米，历年各级降水日数中，以小雨的日数最多，平均占总雨日的70%，其次中雨平均占19%、大雨平均占8%、暴雨平均占3%。降雨多集中于5～6月，7～9月多雷阵雨，11月至次年2月雨量稀少，蒸发量大于降雨量，此时气候脚干燥，年平均相对湿度80％。风向受季节性影响较大，夏季多为东南风，冬季多为西北风。早霜始于12月中旬，晚霜至于2月</w:t>
      </w:r>
      <w:r>
        <w:rPr>
          <w:rFonts w:hint="eastAsia"/>
          <w:szCs w:val="28"/>
        </w:rPr>
        <w:t>下旬，无霜期约</w:t>
      </w:r>
      <w:r>
        <w:rPr>
          <w:szCs w:val="28"/>
        </w:rPr>
        <w:t>300天。暴雨及长降雨过程易诱发边坡、崩塌等地质灾害。</w:t>
      </w:r>
    </w:p>
    <w:p>
      <w:pPr>
        <w:widowControl/>
        <w:ind w:firstLine="480"/>
        <w:rPr>
          <w:bCs/>
          <w:szCs w:val="28"/>
        </w:rPr>
      </w:pPr>
      <w:r>
        <w:rPr>
          <w:b/>
          <w:szCs w:val="28"/>
        </w:rPr>
        <w:t>2.2.2</w:t>
      </w:r>
      <w:r>
        <w:rPr>
          <w:bCs/>
          <w:szCs w:val="28"/>
        </w:rPr>
        <w:t>水文</w:t>
      </w:r>
    </w:p>
    <w:p>
      <w:pPr>
        <w:widowControl/>
        <w:ind w:firstLine="480"/>
        <w:rPr>
          <w:szCs w:val="28"/>
        </w:rPr>
      </w:pPr>
      <w:r>
        <w:rPr>
          <w:rFonts w:hint="eastAsia"/>
          <w:szCs w:val="28"/>
        </w:rPr>
        <w:t>尤溪多年平均年径流量46.21亿立方米，径流的年际变化和季节变化较大。通常，每年的3至9月为汛期，径流量约占年总径流量的85%，其中5至6月一般为洪水发生期，径流量约占年总径流量的35%；10月至次年2月为枯水期，径流量约占年总径流量的15%。尤溪水位的季节和年际变化都较大，属暴涨暴落的山区性河流。</w:t>
      </w:r>
    </w:p>
    <w:p>
      <w:pPr>
        <w:pStyle w:val="2"/>
        <w:numPr>
          <w:ilvl w:val="1"/>
          <w:numId w:val="2"/>
        </w:numPr>
      </w:pPr>
      <w:bookmarkStart w:id="11" w:name="_Toc23059"/>
      <w:r>
        <w:t>勘查区地层岩性及岩土层特征</w:t>
      </w:r>
      <w:bookmarkEnd w:id="11"/>
    </w:p>
    <w:p>
      <w:pPr>
        <w:widowControl/>
        <w:rPr>
          <w:szCs w:val="28"/>
        </w:rPr>
      </w:pPr>
      <w:r>
        <w:rPr>
          <w:b/>
          <w:szCs w:val="28"/>
        </w:rPr>
        <w:t>2.3.1</w:t>
      </w:r>
      <w:r>
        <w:rPr>
          <w:bCs/>
          <w:szCs w:val="28"/>
        </w:rPr>
        <w:t>地层岩性</w:t>
      </w:r>
    </w:p>
    <w:p>
      <w:pPr>
        <w:widowControl/>
        <w:ind w:firstLine="480"/>
        <w:rPr>
          <w:color w:val="000000"/>
          <w:szCs w:val="28"/>
        </w:rPr>
      </w:pPr>
      <w:r>
        <w:rPr>
          <w:rFonts w:hint="eastAsia"/>
          <w:color w:val="000000"/>
          <w:szCs w:val="28"/>
        </w:rPr>
        <w:t>勘查区地层较简单</w:t>
      </w:r>
      <w:r>
        <w:rPr>
          <w:color w:val="000000"/>
          <w:szCs w:val="28"/>
        </w:rPr>
        <w:t>，崩塌区表层覆盖</w:t>
      </w:r>
      <w:r>
        <w:rPr>
          <w:rFonts w:hint="eastAsia"/>
          <w:color w:val="000000"/>
          <w:szCs w:val="28"/>
          <w:lang w:val="en-US" w:eastAsia="zh-CN"/>
        </w:rPr>
        <w:t>第四系更新统填土层（Q</w:t>
      </w:r>
      <w:r>
        <w:rPr>
          <w:rFonts w:hint="eastAsia"/>
          <w:color w:val="000000"/>
          <w:szCs w:val="28"/>
          <w:vertAlign w:val="superscript"/>
          <w:lang w:val="en-US" w:eastAsia="zh-CN"/>
        </w:rPr>
        <w:t>ml</w:t>
      </w:r>
      <w:r>
        <w:rPr>
          <w:rFonts w:hint="eastAsia"/>
          <w:color w:val="000000"/>
          <w:szCs w:val="28"/>
          <w:lang w:val="en-US" w:eastAsia="zh-CN"/>
        </w:rPr>
        <w:t>）（分布于31-33号房前院内）及</w:t>
      </w:r>
      <w:r>
        <w:rPr>
          <w:color w:val="000000"/>
          <w:szCs w:val="28"/>
        </w:rPr>
        <w:t>第四系更新统坡积层（Q</w:t>
      </w:r>
      <w:r>
        <w:rPr>
          <w:color w:val="000000"/>
          <w:szCs w:val="28"/>
          <w:vertAlign w:val="superscript"/>
        </w:rPr>
        <w:t>dl</w:t>
      </w:r>
      <w:r>
        <w:rPr>
          <w:color w:val="000000"/>
          <w:szCs w:val="28"/>
        </w:rPr>
        <w:t>），成分以</w:t>
      </w:r>
      <w:r>
        <w:rPr>
          <w:rFonts w:hint="eastAsia"/>
          <w:color w:val="000000"/>
          <w:szCs w:val="28"/>
        </w:rPr>
        <w:t>黏性土为</w:t>
      </w:r>
      <w:r>
        <w:rPr>
          <w:color w:val="000000"/>
          <w:szCs w:val="28"/>
        </w:rPr>
        <w:t>主，下伏基岩主要为</w:t>
      </w:r>
      <w:r>
        <w:rPr>
          <w:rFonts w:hint="eastAsia"/>
          <w:color w:val="000000"/>
          <w:szCs w:val="28"/>
        </w:rPr>
        <w:t>三叠系上统文宾山组第一段（T</w:t>
      </w:r>
      <w:r>
        <w:rPr>
          <w:rFonts w:hint="eastAsia"/>
          <w:color w:val="000000"/>
          <w:szCs w:val="28"/>
          <w:vertAlign w:val="subscript"/>
        </w:rPr>
        <w:t>3</w:t>
      </w:r>
      <w:r>
        <w:rPr>
          <w:rFonts w:hint="eastAsia"/>
          <w:color w:val="000000"/>
          <w:szCs w:val="28"/>
        </w:rPr>
        <w:t>w</w:t>
      </w:r>
      <w:r>
        <w:rPr>
          <w:rFonts w:hint="eastAsia"/>
          <w:color w:val="000000"/>
          <w:szCs w:val="28"/>
          <w:vertAlign w:val="superscript"/>
        </w:rPr>
        <w:t>1</w:t>
      </w:r>
      <w:r>
        <w:rPr>
          <w:rFonts w:hint="eastAsia"/>
          <w:color w:val="000000"/>
          <w:szCs w:val="28"/>
        </w:rPr>
        <w:t>）粉砂岩，岩层产状340°∠30°。</w:t>
      </w:r>
    </w:p>
    <w:p>
      <w:pPr>
        <w:widowControl/>
        <w:rPr>
          <w:bCs/>
          <w:szCs w:val="28"/>
        </w:rPr>
      </w:pPr>
      <w:r>
        <w:rPr>
          <w:b/>
          <w:szCs w:val="28"/>
        </w:rPr>
        <w:t>2.3.2</w:t>
      </w:r>
      <w:r>
        <w:rPr>
          <w:bCs/>
          <w:szCs w:val="28"/>
        </w:rPr>
        <w:t>地质构造</w:t>
      </w:r>
    </w:p>
    <w:p>
      <w:pPr>
        <w:widowControl/>
        <w:rPr>
          <w:bCs/>
          <w:szCs w:val="28"/>
        </w:rPr>
      </w:pPr>
      <w:r>
        <w:rPr>
          <w:rFonts w:hint="eastAsia"/>
          <w:bCs/>
          <w:szCs w:val="28"/>
        </w:rPr>
        <w:t>该勘查区</w:t>
      </w:r>
      <w:r>
        <w:rPr>
          <w:bCs/>
          <w:szCs w:val="28"/>
        </w:rPr>
        <w:t>所在区域1公里内未发现大的活动断裂通过，属区域构造相对稳定区。</w:t>
      </w:r>
    </w:p>
    <w:p>
      <w:pPr>
        <w:widowControl/>
        <w:rPr>
          <w:szCs w:val="28"/>
        </w:rPr>
      </w:pPr>
      <w:r>
        <w:rPr>
          <w:b/>
          <w:szCs w:val="28"/>
        </w:rPr>
        <w:t>2.3.3</w:t>
      </w:r>
      <w:r>
        <w:rPr>
          <w:bCs/>
          <w:szCs w:val="28"/>
        </w:rPr>
        <w:t>岩土层特征</w:t>
      </w:r>
    </w:p>
    <w:p>
      <w:pPr>
        <w:widowControl/>
        <w:ind w:firstLine="480"/>
        <w:rPr>
          <w:szCs w:val="28"/>
        </w:rPr>
      </w:pPr>
      <w:r>
        <w:rPr>
          <w:szCs w:val="28"/>
        </w:rPr>
        <w:t>根据野外钻探取芯肉眼鉴别，结合现场原位标准贯入试验和室内土工试验成果分析表明：在勘查控制深度范围内，勘查区岩土层按其成因及力学强度不同可分为</w:t>
      </w:r>
      <w:r>
        <w:rPr>
          <w:rFonts w:hint="eastAsia"/>
          <w:szCs w:val="28"/>
          <w:lang w:val="en-US" w:eastAsia="zh-CN"/>
        </w:rPr>
        <w:t>4</w:t>
      </w:r>
      <w:r>
        <w:rPr>
          <w:szCs w:val="28"/>
        </w:rPr>
        <w:t>层。现将各岩土层特征及其分布规律自上而下分述如下：</w:t>
      </w:r>
    </w:p>
    <w:p>
      <w:pPr>
        <w:widowControl/>
        <w:ind w:firstLine="560" w:firstLineChars="200"/>
        <w:rPr>
          <w:szCs w:val="28"/>
        </w:rPr>
      </w:pPr>
      <w:r>
        <w:rPr>
          <w:rFonts w:hint="eastAsia"/>
          <w:szCs w:val="28"/>
        </w:rPr>
        <w:t>①杂</w:t>
      </w:r>
      <w:r>
        <w:rPr>
          <w:szCs w:val="28"/>
        </w:rPr>
        <w:t>填土：</w:t>
      </w:r>
      <w:r>
        <w:rPr>
          <w:rFonts w:hint="eastAsia"/>
          <w:szCs w:val="28"/>
        </w:rPr>
        <w:t>灰黄色，松散，稍湿。主要以黏性土为主，黏性土约占80%，堆填年限大于10年，上部0.1m为水泥地面。</w:t>
      </w:r>
      <w:r>
        <w:rPr>
          <w:szCs w:val="28"/>
        </w:rPr>
        <w:t>本层分布于</w:t>
      </w:r>
      <w:r>
        <w:rPr>
          <w:rFonts w:hint="eastAsia"/>
          <w:szCs w:val="28"/>
        </w:rPr>
        <w:t>边坡坡顶</w:t>
      </w:r>
      <w:r>
        <w:rPr>
          <w:rFonts w:hint="eastAsia"/>
          <w:szCs w:val="28"/>
          <w:lang w:val="en-US" w:eastAsia="zh-CN"/>
        </w:rPr>
        <w:t>及</w:t>
      </w:r>
      <w:r>
        <w:rPr>
          <w:rFonts w:hint="eastAsia"/>
          <w:szCs w:val="28"/>
        </w:rPr>
        <w:t>坡脚平台</w:t>
      </w:r>
      <w:r>
        <w:rPr>
          <w:rFonts w:hint="eastAsia"/>
          <w:szCs w:val="28"/>
          <w:lang w:val="en-US" w:eastAsia="zh-CN"/>
        </w:rPr>
        <w:t>院内</w:t>
      </w:r>
      <w:r>
        <w:rPr>
          <w:szCs w:val="28"/>
        </w:rPr>
        <w:t>表层，分布厚度</w:t>
      </w:r>
      <w:r>
        <w:rPr>
          <w:rFonts w:hint="eastAsia"/>
          <w:szCs w:val="28"/>
        </w:rPr>
        <w:t>1.40</w:t>
      </w:r>
      <w:r>
        <w:rPr>
          <w:szCs w:val="28"/>
        </w:rPr>
        <w:t>～</w:t>
      </w:r>
      <w:r>
        <w:rPr>
          <w:rFonts w:hint="eastAsia"/>
          <w:szCs w:val="28"/>
        </w:rPr>
        <w:t>2.1</w:t>
      </w:r>
      <w:r>
        <w:rPr>
          <w:szCs w:val="28"/>
        </w:rPr>
        <w:t>0m，层顶标高</w:t>
      </w:r>
      <w:r>
        <w:rPr>
          <w:rFonts w:hint="eastAsia"/>
          <w:szCs w:val="28"/>
        </w:rPr>
        <w:t>143.75</w:t>
      </w:r>
      <w:r>
        <w:rPr>
          <w:szCs w:val="28"/>
        </w:rPr>
        <w:t>～</w:t>
      </w:r>
      <w:r>
        <w:rPr>
          <w:rFonts w:hint="eastAsia"/>
          <w:szCs w:val="28"/>
        </w:rPr>
        <w:t>163.25</w:t>
      </w:r>
      <w:r>
        <w:rPr>
          <w:szCs w:val="28"/>
        </w:rPr>
        <w:t>m。</w:t>
      </w:r>
    </w:p>
    <w:p>
      <w:pPr>
        <w:widowControl/>
        <w:ind w:firstLine="560" w:firstLineChars="200"/>
        <w:rPr>
          <w:szCs w:val="28"/>
          <w:highlight w:val="yellow"/>
        </w:rPr>
      </w:pPr>
      <w:r>
        <w:rPr>
          <w:rFonts w:hint="eastAsia"/>
          <w:szCs w:val="28"/>
        </w:rPr>
        <w:t>②</w:t>
      </w:r>
      <w:r>
        <w:rPr>
          <w:rFonts w:hint="eastAsia"/>
          <w:szCs w:val="28"/>
          <w:lang w:eastAsia="zh-CN"/>
        </w:rPr>
        <w:t>坡积黏性土</w:t>
      </w:r>
      <w:r>
        <w:rPr>
          <w:szCs w:val="28"/>
        </w:rPr>
        <w:t>：</w:t>
      </w:r>
      <w:r>
        <w:rPr>
          <w:rFonts w:hint="eastAsia"/>
          <w:szCs w:val="28"/>
        </w:rPr>
        <w:t>黄褐色，稍湿，可塑，以粘性土为主，稍有光泽，干强度、韧性中等，无摇震反应。粒径≥0.075mm的颗粒含量约占37.8%</w:t>
      </w:r>
      <w:r>
        <w:rPr>
          <w:szCs w:val="28"/>
        </w:rPr>
        <w:t>。本层分布于斜坡表层，分布厚度</w:t>
      </w:r>
      <w:r>
        <w:rPr>
          <w:rFonts w:hint="eastAsia"/>
          <w:szCs w:val="28"/>
        </w:rPr>
        <w:t>2.10</w:t>
      </w:r>
      <w:r>
        <w:rPr>
          <w:szCs w:val="28"/>
        </w:rPr>
        <w:t>～</w:t>
      </w:r>
      <w:r>
        <w:rPr>
          <w:rFonts w:hint="eastAsia"/>
          <w:szCs w:val="28"/>
        </w:rPr>
        <w:t>4.6</w:t>
      </w:r>
      <w:r>
        <w:rPr>
          <w:szCs w:val="28"/>
        </w:rPr>
        <w:t>0m，层顶标高</w:t>
      </w:r>
      <w:r>
        <w:rPr>
          <w:rFonts w:hint="eastAsia"/>
          <w:szCs w:val="28"/>
        </w:rPr>
        <w:t>156.50</w:t>
      </w:r>
      <w:r>
        <w:rPr>
          <w:szCs w:val="28"/>
        </w:rPr>
        <w:t>～</w:t>
      </w:r>
      <w:r>
        <w:rPr>
          <w:rFonts w:hint="eastAsia"/>
          <w:szCs w:val="28"/>
        </w:rPr>
        <w:t>177.16</w:t>
      </w:r>
      <w:r>
        <w:rPr>
          <w:szCs w:val="28"/>
        </w:rPr>
        <w:t>m。</w:t>
      </w:r>
    </w:p>
    <w:p>
      <w:pPr>
        <w:widowControl/>
        <w:ind w:firstLine="560" w:firstLineChars="200"/>
        <w:rPr>
          <w:szCs w:val="28"/>
        </w:rPr>
      </w:pPr>
      <w:r>
        <w:rPr>
          <w:rFonts w:hint="eastAsia"/>
          <w:szCs w:val="28"/>
        </w:rPr>
        <w:t>③</w:t>
      </w:r>
      <w:r>
        <w:rPr>
          <w:szCs w:val="28"/>
        </w:rPr>
        <w:t>全风化</w:t>
      </w:r>
      <w:r>
        <w:rPr>
          <w:rFonts w:hint="eastAsia"/>
          <w:szCs w:val="28"/>
        </w:rPr>
        <w:t>粉砂</w:t>
      </w:r>
      <w:r>
        <w:rPr>
          <w:szCs w:val="28"/>
        </w:rPr>
        <w:t>岩：</w:t>
      </w:r>
      <w:r>
        <w:rPr>
          <w:rFonts w:hint="eastAsia"/>
          <w:szCs w:val="28"/>
        </w:rPr>
        <w:t>灰黄色，稍湿。结构基本破坏，有残余结构强度。岩石风化成砂土状，岩芯手捏易碎，干钻可钻进，浸水易软化崩解。</w:t>
      </w:r>
      <w:r>
        <w:rPr>
          <w:szCs w:val="28"/>
        </w:rPr>
        <w:t>N=</w:t>
      </w:r>
      <w:r>
        <w:rPr>
          <w:rFonts w:hint="eastAsia"/>
          <w:szCs w:val="28"/>
        </w:rPr>
        <w:t>30</w:t>
      </w:r>
      <w:r>
        <w:rPr>
          <w:szCs w:val="28"/>
        </w:rPr>
        <w:t>～</w:t>
      </w:r>
      <w:r>
        <w:rPr>
          <w:rFonts w:hint="eastAsia"/>
          <w:szCs w:val="28"/>
        </w:rPr>
        <w:t>35</w:t>
      </w:r>
      <w:r>
        <w:rPr>
          <w:szCs w:val="28"/>
        </w:rPr>
        <w:t>击，</w:t>
      </w:r>
      <w:r>
        <w:rPr>
          <w:szCs w:val="28"/>
        </w:rPr>
        <w:fldChar w:fldCharType="begin"/>
      </w:r>
      <w:r>
        <w:rPr>
          <w:szCs w:val="28"/>
        </w:rPr>
        <w:instrText xml:space="preserve"> eq \o(\s\up 14(—),N)</w:instrText>
      </w:r>
      <w:r>
        <w:rPr>
          <w:szCs w:val="28"/>
        </w:rPr>
        <w:fldChar w:fldCharType="end"/>
      </w:r>
      <w:r>
        <w:rPr>
          <w:szCs w:val="28"/>
        </w:rPr>
        <w:t>=</w:t>
      </w:r>
      <w:r>
        <w:rPr>
          <w:rFonts w:hint="eastAsia"/>
          <w:szCs w:val="28"/>
        </w:rPr>
        <w:t>31.8</w:t>
      </w:r>
      <w:r>
        <w:rPr>
          <w:szCs w:val="28"/>
        </w:rPr>
        <w:t>击。本层</w:t>
      </w:r>
      <w:r>
        <w:rPr>
          <w:rFonts w:hint="eastAsia"/>
          <w:szCs w:val="28"/>
        </w:rPr>
        <w:t>全场分布，</w:t>
      </w:r>
      <w:r>
        <w:rPr>
          <w:szCs w:val="28"/>
        </w:rPr>
        <w:t>分布厚度</w:t>
      </w:r>
      <w:r>
        <w:rPr>
          <w:rFonts w:hint="eastAsia"/>
          <w:szCs w:val="28"/>
        </w:rPr>
        <w:t>5.20</w:t>
      </w:r>
      <w:r>
        <w:rPr>
          <w:szCs w:val="28"/>
        </w:rPr>
        <w:t>～</w:t>
      </w:r>
      <w:r>
        <w:rPr>
          <w:rFonts w:hint="eastAsia"/>
          <w:szCs w:val="28"/>
        </w:rPr>
        <w:t>15.7</w:t>
      </w:r>
      <w:r>
        <w:rPr>
          <w:szCs w:val="28"/>
        </w:rPr>
        <w:t>0m，层顶标高</w:t>
      </w:r>
      <w:r>
        <w:rPr>
          <w:rFonts w:hint="eastAsia"/>
          <w:szCs w:val="28"/>
        </w:rPr>
        <w:t>142.35</w:t>
      </w:r>
      <w:r>
        <w:rPr>
          <w:szCs w:val="28"/>
        </w:rPr>
        <w:t>～</w:t>
      </w:r>
      <w:r>
        <w:rPr>
          <w:rFonts w:hint="eastAsia"/>
          <w:szCs w:val="28"/>
        </w:rPr>
        <w:t>174.76</w:t>
      </w:r>
      <w:r>
        <w:rPr>
          <w:szCs w:val="28"/>
        </w:rPr>
        <w:t>m。</w:t>
      </w:r>
    </w:p>
    <w:p>
      <w:pPr>
        <w:widowControl/>
        <w:ind w:firstLine="560" w:firstLineChars="200"/>
        <w:rPr>
          <w:szCs w:val="28"/>
        </w:rPr>
      </w:pPr>
      <w:r>
        <w:rPr>
          <w:rFonts w:hint="eastAsia"/>
          <w:szCs w:val="28"/>
        </w:rPr>
        <w:t>④</w:t>
      </w:r>
      <w:r>
        <w:rPr>
          <w:szCs w:val="28"/>
        </w:rPr>
        <w:t>强风化</w:t>
      </w:r>
      <w:r>
        <w:rPr>
          <w:rFonts w:hint="eastAsia"/>
          <w:szCs w:val="28"/>
        </w:rPr>
        <w:t>粉砂</w:t>
      </w:r>
      <w:r>
        <w:rPr>
          <w:szCs w:val="28"/>
        </w:rPr>
        <w:t>岩</w:t>
      </w:r>
      <w:r>
        <w:rPr>
          <w:rFonts w:hint="eastAsia"/>
          <w:szCs w:val="28"/>
        </w:rPr>
        <w:t>（碎块状）</w:t>
      </w:r>
      <w:r>
        <w:rPr>
          <w:szCs w:val="28"/>
        </w:rPr>
        <w:t>：</w:t>
      </w:r>
      <w:r>
        <w:rPr>
          <w:rFonts w:hint="eastAsia"/>
          <w:szCs w:val="28"/>
        </w:rPr>
        <w:t>灰白色，稍硬。原岩结构大部分破坏，岩芯呈碎块状，干钻不进尺，钻进过程有拔钻声，用手不易捏碎，岩体破碎，岩石强风化，饱和单轴极限抗压强度换算值平均值为23.75MPa，岩体为较软岩，岩体基本质量等级为V级。</w:t>
      </w:r>
      <w:r>
        <w:rPr>
          <w:szCs w:val="28"/>
        </w:rPr>
        <w:t>本层</w:t>
      </w:r>
      <w:r>
        <w:rPr>
          <w:rFonts w:hint="eastAsia"/>
          <w:szCs w:val="28"/>
        </w:rPr>
        <w:t>仅ZK1揭露</w:t>
      </w:r>
      <w:r>
        <w:rPr>
          <w:szCs w:val="28"/>
        </w:rPr>
        <w:t>，</w:t>
      </w:r>
      <w:r>
        <w:rPr>
          <w:rFonts w:hint="eastAsia"/>
          <w:szCs w:val="28"/>
        </w:rPr>
        <w:t>揭露最大</w:t>
      </w:r>
      <w:r>
        <w:rPr>
          <w:szCs w:val="28"/>
        </w:rPr>
        <w:t>厚度</w:t>
      </w:r>
      <w:r>
        <w:rPr>
          <w:rFonts w:hint="eastAsia"/>
          <w:szCs w:val="28"/>
        </w:rPr>
        <w:t>3.70</w:t>
      </w:r>
      <w:r>
        <w:rPr>
          <w:szCs w:val="28"/>
        </w:rPr>
        <w:t>m，层顶标高</w:t>
      </w:r>
      <w:r>
        <w:rPr>
          <w:rFonts w:hint="eastAsia"/>
          <w:szCs w:val="28"/>
        </w:rPr>
        <w:t>159.06</w:t>
      </w:r>
      <w:r>
        <w:rPr>
          <w:szCs w:val="28"/>
        </w:rPr>
        <w:t>m。</w:t>
      </w:r>
    </w:p>
    <w:p>
      <w:pPr>
        <w:widowControl/>
        <w:ind w:firstLine="561"/>
      </w:pPr>
      <w:r>
        <w:rPr>
          <w:color w:val="000000"/>
          <w:szCs w:val="28"/>
        </w:rPr>
        <w:t>以上各岩土层空间变化情况详见相应的工程地质剖面图（图号02～0</w:t>
      </w:r>
      <w:r>
        <w:rPr>
          <w:rFonts w:hint="eastAsia"/>
          <w:color w:val="000000"/>
          <w:szCs w:val="28"/>
        </w:rPr>
        <w:t>4</w:t>
      </w:r>
      <w:r>
        <w:rPr>
          <w:color w:val="000000"/>
          <w:szCs w:val="28"/>
        </w:rPr>
        <w:t>）。</w:t>
      </w:r>
    </w:p>
    <w:p>
      <w:pPr>
        <w:pStyle w:val="2"/>
        <w:numPr>
          <w:ilvl w:val="1"/>
          <w:numId w:val="2"/>
        </w:numPr>
      </w:pPr>
      <w:bookmarkStart w:id="12" w:name="_Toc5400"/>
      <w:r>
        <w:t>勘查区地下水类型及埋藏条件</w:t>
      </w:r>
      <w:bookmarkEnd w:id="12"/>
    </w:p>
    <w:p>
      <w:pPr>
        <w:widowControl/>
        <w:rPr>
          <w:szCs w:val="28"/>
        </w:rPr>
      </w:pPr>
      <w:r>
        <w:rPr>
          <w:b/>
          <w:szCs w:val="28"/>
        </w:rPr>
        <w:t>2.4.1</w:t>
      </w:r>
      <w:r>
        <w:rPr>
          <w:bCs/>
          <w:szCs w:val="28"/>
        </w:rPr>
        <w:t>地下水类型及埋藏条件</w:t>
      </w:r>
    </w:p>
    <w:p>
      <w:pPr>
        <w:ind w:firstLine="560" w:firstLineChars="200"/>
        <w:rPr>
          <w:szCs w:val="28"/>
        </w:rPr>
      </w:pPr>
      <w:r>
        <w:rPr>
          <w:szCs w:val="28"/>
        </w:rPr>
        <w:t>根据地层岩性及地下水在含水介质中的赋存特征，地下水主要为</w:t>
      </w:r>
      <w:r>
        <w:rPr>
          <w:rFonts w:hint="eastAsia"/>
          <w:szCs w:val="28"/>
        </w:rPr>
        <w:t>第四系孔隙潜水</w:t>
      </w:r>
      <w:r>
        <w:rPr>
          <w:szCs w:val="28"/>
        </w:rPr>
        <w:t>及风化带中的</w:t>
      </w:r>
      <w:r>
        <w:rPr>
          <w:rFonts w:hint="eastAsia"/>
          <w:szCs w:val="28"/>
        </w:rPr>
        <w:t>孔隙、</w:t>
      </w:r>
      <w:r>
        <w:rPr>
          <w:szCs w:val="28"/>
        </w:rPr>
        <w:t>裂隙水。</w:t>
      </w:r>
    </w:p>
    <w:p>
      <w:pPr>
        <w:ind w:firstLine="560" w:firstLineChars="200"/>
        <w:rPr>
          <w:szCs w:val="28"/>
        </w:rPr>
      </w:pPr>
      <w:r>
        <w:rPr>
          <w:szCs w:val="28"/>
        </w:rPr>
        <w:t>（1）</w:t>
      </w:r>
      <w:r>
        <w:rPr>
          <w:rFonts w:hint="eastAsia"/>
          <w:szCs w:val="28"/>
        </w:rPr>
        <w:t>第四系孔隙潜水</w:t>
      </w:r>
      <w:r>
        <w:rPr>
          <w:szCs w:val="28"/>
        </w:rPr>
        <w:t>：赋存于</w:t>
      </w:r>
      <w:r>
        <w:rPr>
          <w:rFonts w:hint="eastAsia"/>
          <w:szCs w:val="28"/>
        </w:rPr>
        <w:t>②</w:t>
      </w:r>
      <w:r>
        <w:rPr>
          <w:rFonts w:hint="eastAsia"/>
          <w:szCs w:val="28"/>
          <w:lang w:eastAsia="zh-CN"/>
        </w:rPr>
        <w:t>坡积黏性土</w:t>
      </w:r>
      <w:r>
        <w:rPr>
          <w:szCs w:val="28"/>
        </w:rPr>
        <w:t>层中，</w:t>
      </w:r>
      <w:r>
        <w:rPr>
          <w:rFonts w:hint="eastAsia"/>
          <w:szCs w:val="28"/>
        </w:rPr>
        <w:t>以大气降水入渗补给为主，迳流缓慢，水量较小，蒸发是其主要排泄方式，水位受季节影响明显，水位动态变化较大，丰水期水位接近地表。</w:t>
      </w:r>
    </w:p>
    <w:p>
      <w:pPr>
        <w:widowControl/>
        <w:ind w:firstLine="480"/>
        <w:rPr>
          <w:szCs w:val="28"/>
        </w:rPr>
      </w:pPr>
      <w:r>
        <w:rPr>
          <w:rFonts w:hint="eastAsia"/>
          <w:szCs w:val="28"/>
        </w:rPr>
        <w:t>（2）风化孔隙、裂隙水：赋存于③全风化粉砂岩、④</w:t>
      </w:r>
      <w:r>
        <w:rPr>
          <w:szCs w:val="28"/>
        </w:rPr>
        <w:t>强风化</w:t>
      </w:r>
      <w:r>
        <w:rPr>
          <w:rFonts w:hint="eastAsia"/>
          <w:szCs w:val="28"/>
        </w:rPr>
        <w:t>粉砂</w:t>
      </w:r>
      <w:r>
        <w:rPr>
          <w:szCs w:val="28"/>
        </w:rPr>
        <w:t>岩</w:t>
      </w:r>
      <w:r>
        <w:rPr>
          <w:rFonts w:hint="eastAsia"/>
          <w:szCs w:val="28"/>
        </w:rPr>
        <w:t>（</w:t>
      </w:r>
      <w:r>
        <w:rPr>
          <w:szCs w:val="28"/>
        </w:rPr>
        <w:t>碎块状</w:t>
      </w:r>
      <w:r>
        <w:rPr>
          <w:rFonts w:hint="eastAsia"/>
          <w:szCs w:val="28"/>
        </w:rPr>
        <w:t>）层孔隙裂隙</w:t>
      </w:r>
      <w:r>
        <w:rPr>
          <w:szCs w:val="28"/>
        </w:rPr>
        <w:t>中，</w:t>
      </w:r>
      <w:r>
        <w:rPr>
          <w:rFonts w:hint="eastAsia"/>
          <w:szCs w:val="28"/>
        </w:rPr>
        <w:t>以上各层之间存在水力联系。由于岩体风化强烈，孔隙裂隙多为粘性土充填，故其富水性、透水性一般较弱。地下水主要接受大气降水、上部含水层垂直渗透补给，向低洼处渗透排泄，</w:t>
      </w:r>
      <w:r>
        <w:rPr>
          <w:szCs w:val="28"/>
        </w:rPr>
        <w:t>形成完整的补给、径流、排泄路径，地下水水位变化及幅度受季节、气候及地形的影响较大，年水位变化幅度</w:t>
      </w:r>
      <w:r>
        <w:rPr>
          <w:rFonts w:hint="eastAsia"/>
          <w:szCs w:val="28"/>
        </w:rPr>
        <w:t>大于2m</w:t>
      </w:r>
      <w:r>
        <w:rPr>
          <w:szCs w:val="28"/>
        </w:rPr>
        <w:t>。水量较微弱。</w:t>
      </w:r>
    </w:p>
    <w:p>
      <w:pPr>
        <w:widowControl/>
        <w:ind w:firstLine="480"/>
        <w:rPr>
          <w:szCs w:val="28"/>
        </w:rPr>
      </w:pPr>
      <w:r>
        <w:rPr>
          <w:rFonts w:hint="eastAsia"/>
          <w:szCs w:val="28"/>
        </w:rPr>
        <w:t>勘查区所处斜坡汇水面积约4120m</w:t>
      </w:r>
      <w:r>
        <w:rPr>
          <w:rFonts w:hint="eastAsia"/>
          <w:szCs w:val="28"/>
          <w:vertAlign w:val="superscript"/>
        </w:rPr>
        <w:t>2</w:t>
      </w:r>
      <w:r>
        <w:rPr>
          <w:rFonts w:hint="eastAsia"/>
          <w:szCs w:val="28"/>
        </w:rPr>
        <w:t>，勘查期间，边坡未见有泉眼分布，但据访问了解，强降雨时，勘查区坡脚处局部裂隙有地下水渗出，流量小。</w:t>
      </w:r>
    </w:p>
    <w:p>
      <w:pPr>
        <w:widowControl/>
        <w:rPr>
          <w:szCs w:val="28"/>
        </w:rPr>
      </w:pPr>
      <w:r>
        <w:rPr>
          <w:b/>
          <w:szCs w:val="28"/>
        </w:rPr>
        <w:t>2.4.2</w:t>
      </w:r>
      <w:r>
        <w:rPr>
          <w:szCs w:val="28"/>
        </w:rPr>
        <w:t>地下水、场地土对建筑材料的腐蚀性</w:t>
      </w:r>
    </w:p>
    <w:p>
      <w:pPr>
        <w:widowControl/>
        <w:ind w:firstLine="480"/>
        <w:rPr>
          <w:szCs w:val="28"/>
        </w:rPr>
      </w:pPr>
      <w:r>
        <w:rPr>
          <w:szCs w:val="28"/>
        </w:rPr>
        <w:t>本次勘查未见地下水</w:t>
      </w:r>
      <w:r>
        <w:rPr>
          <w:rFonts w:hint="eastAsia"/>
          <w:szCs w:val="28"/>
        </w:rPr>
        <w:t>，地下水的腐蚀性参照场地附近已有的地灾勘查资料实验结果判定，场地地下水对钢筋混凝土结构中的钢筋和混凝土结构均具微腐蚀性；场地地下水对钢结构具弱腐蚀性。</w:t>
      </w:r>
    </w:p>
    <w:p>
      <w:pPr>
        <w:widowControl/>
        <w:ind w:firstLine="480"/>
        <w:rPr>
          <w:szCs w:val="28"/>
        </w:rPr>
      </w:pPr>
      <w:r>
        <w:rPr>
          <w:rFonts w:hint="eastAsia"/>
          <w:szCs w:val="28"/>
        </w:rPr>
        <w:t>本次勘查受地形条件限制，勘查区大部不具备钻探施工条件，参照《福建省三明市尤溪县城关北门社区-沈塔社区滑坡崩塌群（城关镇后山路6号至6-7号西侧及北门路8号至8-3号房后崩塌段）治理工程勘查报告 》（中化地质矿山总局福建地质勘查院2020.03）土的腐蚀性分析实验结果判定</w:t>
      </w:r>
      <w:r>
        <w:rPr>
          <w:color w:val="000000"/>
          <w:szCs w:val="28"/>
        </w:rPr>
        <w:t>，</w:t>
      </w:r>
      <w:r>
        <w:rPr>
          <w:rFonts w:hint="eastAsia"/>
          <w:color w:val="000000"/>
          <w:szCs w:val="28"/>
        </w:rPr>
        <w:t>场地土对混凝土结构及钢筋混凝土结构中的钢筋具微腐蚀性；对钢结构具微腐蚀性。</w:t>
      </w:r>
    </w:p>
    <w:p>
      <w:pPr>
        <w:widowControl/>
        <w:ind w:firstLine="480"/>
        <w:rPr>
          <w:szCs w:val="28"/>
        </w:rPr>
      </w:pPr>
      <w:r>
        <w:rPr>
          <w:szCs w:val="28"/>
        </w:rPr>
        <w:t>综合</w:t>
      </w:r>
      <w:r>
        <w:rPr>
          <w:rFonts w:hint="eastAsia"/>
          <w:szCs w:val="28"/>
        </w:rPr>
        <w:t>以上</w:t>
      </w:r>
      <w:r>
        <w:rPr>
          <w:szCs w:val="28"/>
        </w:rPr>
        <w:t>判定结果：</w:t>
      </w:r>
      <w:r>
        <w:rPr>
          <w:rFonts w:hint="eastAsia"/>
          <w:szCs w:val="28"/>
        </w:rPr>
        <w:t>场地地下水对钢筋混凝土结构中的钢筋和混凝土结构均具微腐蚀性；场地地下水对钢结构具弱腐蚀性。场地土对混凝土结构及钢筋混凝土结构中的钢筋具微腐蚀性；对钢结构具微腐蚀性。设计时应按有关规定采取防腐措施。</w:t>
      </w:r>
    </w:p>
    <w:p>
      <w:pPr>
        <w:spacing w:line="560" w:lineRule="exact"/>
        <w:rPr>
          <w:szCs w:val="28"/>
        </w:rPr>
      </w:pPr>
      <w:r>
        <w:rPr>
          <w:b/>
          <w:bCs/>
          <w:szCs w:val="28"/>
        </w:rPr>
        <w:t xml:space="preserve">2.4.3 </w:t>
      </w:r>
      <w:r>
        <w:rPr>
          <w:szCs w:val="28"/>
        </w:rPr>
        <w:t>地表截排水情况</w:t>
      </w:r>
    </w:p>
    <w:p>
      <w:pPr>
        <w:ind w:firstLine="560" w:firstLineChars="200"/>
        <w:rPr>
          <w:rFonts w:hint="eastAsia" w:eastAsia="宋体"/>
          <w:color w:val="auto"/>
          <w:szCs w:val="28"/>
          <w:lang w:eastAsia="zh-CN"/>
        </w:rPr>
      </w:pPr>
      <w:r>
        <w:rPr>
          <w:rFonts w:hint="eastAsia"/>
          <w:color w:val="auto"/>
          <w:szCs w:val="28"/>
        </w:rPr>
        <w:t>据现场调查，31、32、33号宅前边坡中部平台处设置有排水沟，宽0.2m</w:t>
      </w:r>
      <w:r>
        <w:rPr>
          <w:color w:val="auto"/>
          <w:szCs w:val="28"/>
        </w:rPr>
        <w:t>×</w:t>
      </w:r>
      <w:r>
        <w:rPr>
          <w:rFonts w:hint="eastAsia"/>
          <w:color w:val="auto"/>
          <w:szCs w:val="28"/>
        </w:rPr>
        <w:t>深0.2m，为混凝土结构</w:t>
      </w:r>
      <w:r>
        <w:rPr>
          <w:rFonts w:hint="eastAsia"/>
          <w:color w:val="auto"/>
          <w:szCs w:val="28"/>
          <w:lang w:eastAsia="zh-CN"/>
        </w:rPr>
        <w:t>，</w:t>
      </w:r>
      <w:r>
        <w:rPr>
          <w:rFonts w:hint="eastAsia"/>
          <w:color w:val="auto"/>
          <w:szCs w:val="28"/>
        </w:rPr>
        <w:t>BT1处因崩塌断裂损毁，排水条件差；居民生活污水采用地下暗埋涵管向边坡外进行排水，涵管直径约0.3m</w:t>
      </w:r>
      <w:r>
        <w:rPr>
          <w:rFonts w:hint="eastAsia"/>
          <w:color w:val="auto"/>
          <w:szCs w:val="28"/>
          <w:lang w:eastAsia="zh-CN"/>
        </w:rPr>
        <w:t>，</w:t>
      </w:r>
      <w:r>
        <w:rPr>
          <w:rFonts w:hint="eastAsia"/>
          <w:color w:val="auto"/>
          <w:szCs w:val="28"/>
        </w:rPr>
        <w:t>崩塌导致涵管断裂，部分涵管被崩积体掩埋。强降雨时</w:t>
      </w:r>
      <w:r>
        <w:rPr>
          <w:rFonts w:hint="eastAsia"/>
          <w:color w:val="auto"/>
          <w:szCs w:val="28"/>
          <w:lang w:eastAsia="zh-CN"/>
        </w:rPr>
        <w:t>，</w:t>
      </w:r>
      <w:r>
        <w:rPr>
          <w:color w:val="auto"/>
          <w:szCs w:val="28"/>
        </w:rPr>
        <w:t>雨水形成的坡面流</w:t>
      </w:r>
      <w:r>
        <w:rPr>
          <w:rFonts w:hint="eastAsia"/>
          <w:color w:val="auto"/>
          <w:szCs w:val="28"/>
        </w:rPr>
        <w:t>部分</w:t>
      </w:r>
      <w:r>
        <w:rPr>
          <w:color w:val="auto"/>
          <w:szCs w:val="28"/>
        </w:rPr>
        <w:t>沿坡面往坡脚排泄，</w:t>
      </w:r>
      <w:r>
        <w:rPr>
          <w:rFonts w:hint="eastAsia"/>
          <w:color w:val="auto"/>
          <w:szCs w:val="28"/>
        </w:rPr>
        <w:t>中部平台排水沟不足以满足强降雨期间的排水</w:t>
      </w:r>
      <w:r>
        <w:rPr>
          <w:rFonts w:hint="eastAsia"/>
          <w:color w:val="auto"/>
          <w:szCs w:val="28"/>
          <w:lang w:val="en-US" w:eastAsia="zh-CN"/>
        </w:rPr>
        <w:t>需</w:t>
      </w:r>
      <w:r>
        <w:rPr>
          <w:rFonts w:hint="eastAsia"/>
          <w:color w:val="auto"/>
          <w:szCs w:val="28"/>
        </w:rPr>
        <w:t>求导致雨水外溢，对下方坡面造成的冲刷作用更为显著，并</w:t>
      </w:r>
      <w:r>
        <w:rPr>
          <w:color w:val="auto"/>
          <w:szCs w:val="28"/>
        </w:rPr>
        <w:t>携带泥沙沿地面漫流，部分流入</w:t>
      </w:r>
      <w:r>
        <w:rPr>
          <w:rFonts w:hint="eastAsia"/>
          <w:color w:val="auto"/>
          <w:szCs w:val="28"/>
        </w:rPr>
        <w:t>坡脚</w:t>
      </w:r>
      <w:r>
        <w:rPr>
          <w:color w:val="auto"/>
          <w:szCs w:val="28"/>
        </w:rPr>
        <w:t>排水沟</w:t>
      </w:r>
      <w:r>
        <w:rPr>
          <w:rFonts w:hint="eastAsia"/>
          <w:color w:val="auto"/>
          <w:szCs w:val="28"/>
        </w:rPr>
        <w:t>，部分沿岩土体孔隙、裂缝渗入土体，向地势低洼处渗透排泄。</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2"/>
        <w:gridCol w:w="4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52" w:type="dxa"/>
            <w:tcBorders>
              <w:top w:val="nil"/>
              <w:left w:val="nil"/>
              <w:bottom w:val="nil"/>
              <w:right w:val="nil"/>
            </w:tcBorders>
            <w:vAlign w:val="center"/>
          </w:tcPr>
          <w:p>
            <w:pPr>
              <w:jc w:val="center"/>
              <w:rPr>
                <w:szCs w:val="28"/>
              </w:rPr>
            </w:pPr>
            <w:r>
              <w:rPr>
                <w:rFonts w:hint="eastAsia"/>
                <w:szCs w:val="28"/>
              </w:rPr>
              <w:drawing>
                <wp:inline distT="0" distB="0" distL="114300" distR="114300">
                  <wp:extent cx="3249930" cy="3881755"/>
                  <wp:effectExtent l="0" t="0" r="11430" b="4445"/>
                  <wp:docPr id="15" name="图片 15" descr="IMG_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6078"/>
                          <pic:cNvPicPr>
                            <a:picLocks noChangeAspect="1"/>
                          </pic:cNvPicPr>
                        </pic:nvPicPr>
                        <pic:blipFill>
                          <a:blip r:embed="rId13"/>
                          <a:srcRect t="-271" r="37020"/>
                          <a:stretch>
                            <a:fillRect/>
                          </a:stretch>
                        </pic:blipFill>
                        <pic:spPr>
                          <a:xfrm>
                            <a:off x="0" y="0"/>
                            <a:ext cx="3249930" cy="3881755"/>
                          </a:xfrm>
                          <a:prstGeom prst="rect">
                            <a:avLst/>
                          </a:prstGeom>
                        </pic:spPr>
                      </pic:pic>
                    </a:graphicData>
                  </a:graphic>
                </wp:inline>
              </w:drawing>
            </w:r>
          </w:p>
        </w:tc>
        <w:tc>
          <w:tcPr>
            <w:tcW w:w="4932" w:type="dxa"/>
            <w:tcBorders>
              <w:top w:val="nil"/>
              <w:left w:val="nil"/>
              <w:bottom w:val="nil"/>
              <w:right w:val="nil"/>
            </w:tcBorders>
            <w:vAlign w:val="center"/>
          </w:tcPr>
          <w:p>
            <w:pPr>
              <w:jc w:val="center"/>
              <w:rPr>
                <w:szCs w:val="28"/>
              </w:rPr>
            </w:pPr>
            <w:r>
              <w:rPr>
                <w:rFonts w:hint="eastAsia" w:eastAsia="宋体"/>
              </w:rPr>
              <w:drawing>
                <wp:inline distT="0" distB="0" distL="114300" distR="114300">
                  <wp:extent cx="3886835" cy="2639060"/>
                  <wp:effectExtent l="0" t="0" r="12700" b="14605"/>
                  <wp:docPr id="10" name="图片 10" descr="IMG_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6098"/>
                          <pic:cNvPicPr>
                            <a:picLocks noChangeAspect="1"/>
                          </pic:cNvPicPr>
                        </pic:nvPicPr>
                        <pic:blipFill>
                          <a:blip r:embed="rId14"/>
                          <a:srcRect l="9361" t="17973"/>
                          <a:stretch>
                            <a:fillRect/>
                          </a:stretch>
                        </pic:blipFill>
                        <pic:spPr>
                          <a:xfrm rot="5400000">
                            <a:off x="0" y="0"/>
                            <a:ext cx="3886835" cy="26390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2" w:type="dxa"/>
            <w:tcBorders>
              <w:top w:val="nil"/>
              <w:left w:val="nil"/>
              <w:bottom w:val="nil"/>
              <w:right w:val="nil"/>
            </w:tcBorders>
            <w:vAlign w:val="center"/>
          </w:tcPr>
          <w:p>
            <w:pPr>
              <w:jc w:val="center"/>
              <w:rPr>
                <w:szCs w:val="28"/>
              </w:rPr>
            </w:pPr>
            <w:r>
              <w:t xml:space="preserve">图 </w:t>
            </w:r>
            <w:r>
              <w:fldChar w:fldCharType="begin"/>
            </w:r>
            <w:r>
              <w:instrText xml:space="preserve"> STYLEREF 2 \s </w:instrText>
            </w:r>
            <w:r>
              <w:fldChar w:fldCharType="separate"/>
            </w:r>
            <w:r>
              <w:t>2.4</w:t>
            </w:r>
            <w:r>
              <w:fldChar w:fldCharType="end"/>
            </w:r>
            <w:r>
              <w:rPr>
                <w:rFonts w:hint="eastAsia"/>
              </w:rPr>
              <w:t>-</w:t>
            </w:r>
            <w:r>
              <w:fldChar w:fldCharType="begin"/>
            </w:r>
            <w:r>
              <w:instrText xml:space="preserve"> SEQ 图 \* ARABIC \s 2 </w:instrText>
            </w:r>
            <w:r>
              <w:fldChar w:fldCharType="separate"/>
            </w:r>
            <w:r>
              <w:t>1</w:t>
            </w:r>
            <w:r>
              <w:fldChar w:fldCharType="end"/>
            </w:r>
            <w:r>
              <w:rPr>
                <w:rFonts w:hint="eastAsia"/>
              </w:rPr>
              <w:t xml:space="preserve"> 北门31-33号宅前边坡中部平台排水沟现状</w:t>
            </w:r>
          </w:p>
        </w:tc>
        <w:tc>
          <w:tcPr>
            <w:tcW w:w="4932" w:type="dxa"/>
            <w:tcBorders>
              <w:top w:val="nil"/>
              <w:left w:val="nil"/>
              <w:bottom w:val="nil"/>
              <w:right w:val="nil"/>
            </w:tcBorders>
            <w:vAlign w:val="center"/>
          </w:tcPr>
          <w:p>
            <w:pPr>
              <w:pStyle w:val="6"/>
              <w:jc w:val="center"/>
              <w:rPr>
                <w:rFonts w:eastAsia="宋体"/>
                <w:szCs w:val="28"/>
              </w:rPr>
            </w:pPr>
            <w:r>
              <w:rPr>
                <w:rFonts w:hint="eastAsia" w:ascii="Times New Roman" w:hAnsi="Times New Roman" w:eastAsia="宋体"/>
                <w:sz w:val="28"/>
              </w:rPr>
              <w:t>图2.4-</w:t>
            </w:r>
            <w:r>
              <w:rPr>
                <w:rFonts w:hint="eastAsia" w:ascii="Times New Roman" w:hAnsi="Times New Roman" w:eastAsia="宋体"/>
                <w:sz w:val="28"/>
                <w:lang w:val="en-US" w:eastAsia="zh-CN"/>
              </w:rPr>
              <w:t>2</w:t>
            </w:r>
            <w:r>
              <w:rPr>
                <w:rFonts w:hint="eastAsia" w:ascii="Times New Roman" w:hAnsi="Times New Roman" w:eastAsia="宋体"/>
                <w:sz w:val="28"/>
              </w:rPr>
              <w:t xml:space="preserve">  排水涵管被崩积体掩埋</w:t>
            </w:r>
          </w:p>
        </w:tc>
      </w:tr>
    </w:tbl>
    <w:p>
      <w:pPr>
        <w:pStyle w:val="2"/>
        <w:numPr>
          <w:ilvl w:val="1"/>
          <w:numId w:val="2"/>
        </w:numPr>
      </w:pPr>
      <w:bookmarkStart w:id="13" w:name="_Toc20380"/>
      <w:r>
        <w:t>勘查区不良地质作用描述</w:t>
      </w:r>
      <w:bookmarkEnd w:id="13"/>
    </w:p>
    <w:p>
      <w:pPr>
        <w:widowControl/>
        <w:rPr>
          <w:szCs w:val="28"/>
        </w:rPr>
      </w:pPr>
      <w:r>
        <w:rPr>
          <w:b/>
          <w:szCs w:val="28"/>
        </w:rPr>
        <w:t>2.5.1</w:t>
      </w:r>
      <w:r>
        <w:rPr>
          <w:szCs w:val="28"/>
        </w:rPr>
        <w:t>勘查区场地和地基的地震效应</w:t>
      </w:r>
    </w:p>
    <w:p>
      <w:pPr>
        <w:widowControl/>
        <w:ind w:firstLine="480"/>
        <w:rPr>
          <w:szCs w:val="28"/>
        </w:rPr>
      </w:pPr>
      <w:r>
        <w:rPr>
          <w:szCs w:val="28"/>
        </w:rPr>
        <w:t>1 抗震设防烈度与抗震设防标准</w:t>
      </w:r>
    </w:p>
    <w:p>
      <w:pPr>
        <w:widowControl/>
        <w:ind w:firstLine="480"/>
        <w:rPr>
          <w:szCs w:val="28"/>
        </w:rPr>
      </w:pPr>
      <w:r>
        <w:rPr>
          <w:szCs w:val="28"/>
        </w:rPr>
        <w:t>根据《建筑抗震设计规范》（GB50011-2010），勘查区位于抗震设防烈度6度区，设计基本地震加速度值为0.05g，设计地震分组为第一组。设计地震作用及抗震措施均应符合6度抗震设防标准的要求。</w:t>
      </w:r>
    </w:p>
    <w:p>
      <w:pPr>
        <w:widowControl/>
        <w:ind w:firstLine="480"/>
        <w:rPr>
          <w:szCs w:val="28"/>
        </w:rPr>
      </w:pPr>
      <w:r>
        <w:rPr>
          <w:szCs w:val="28"/>
        </w:rPr>
        <w:t>2 勘查区场地类别及建筑的设计特征周期</w:t>
      </w:r>
    </w:p>
    <w:p>
      <w:pPr>
        <w:widowControl/>
        <w:ind w:firstLine="480"/>
        <w:rPr>
          <w:szCs w:val="28"/>
        </w:rPr>
      </w:pPr>
      <w:r>
        <w:rPr>
          <w:szCs w:val="28"/>
        </w:rPr>
        <w:t>根据钻孔资料，勘查区场地20米埋深范围内分布的土层为①</w:t>
      </w:r>
      <w:r>
        <w:rPr>
          <w:rFonts w:hint="eastAsia"/>
          <w:szCs w:val="28"/>
        </w:rPr>
        <w:t>杂填土</w:t>
      </w:r>
      <w:r>
        <w:rPr>
          <w:szCs w:val="28"/>
        </w:rPr>
        <w:t>、②</w:t>
      </w:r>
      <w:r>
        <w:rPr>
          <w:rFonts w:hint="eastAsia"/>
          <w:szCs w:val="28"/>
          <w:lang w:eastAsia="zh-CN"/>
        </w:rPr>
        <w:t>坡积黏性土</w:t>
      </w:r>
      <w:r>
        <w:rPr>
          <w:szCs w:val="28"/>
        </w:rPr>
        <w:t>、</w:t>
      </w:r>
      <w:r>
        <w:rPr>
          <w:rFonts w:hint="eastAsia"/>
          <w:szCs w:val="28"/>
        </w:rPr>
        <w:t>③</w:t>
      </w:r>
      <w:r>
        <w:rPr>
          <w:szCs w:val="28"/>
        </w:rPr>
        <w:t>全风化</w:t>
      </w:r>
      <w:r>
        <w:rPr>
          <w:rFonts w:hint="eastAsia"/>
          <w:szCs w:val="28"/>
        </w:rPr>
        <w:t>粉砂</w:t>
      </w:r>
      <w:r>
        <w:rPr>
          <w:szCs w:val="28"/>
        </w:rPr>
        <w:t>岩、</w:t>
      </w:r>
      <w:r>
        <w:rPr>
          <w:rFonts w:hint="eastAsia"/>
          <w:szCs w:val="28"/>
        </w:rPr>
        <w:t>④</w:t>
      </w:r>
      <w:r>
        <w:rPr>
          <w:szCs w:val="28"/>
        </w:rPr>
        <w:t>强风化</w:t>
      </w:r>
      <w:r>
        <w:rPr>
          <w:rFonts w:hint="eastAsia"/>
          <w:szCs w:val="28"/>
        </w:rPr>
        <w:t>粉砂</w:t>
      </w:r>
      <w:r>
        <w:rPr>
          <w:szCs w:val="28"/>
        </w:rPr>
        <w:t>岩</w:t>
      </w:r>
      <w:r>
        <w:rPr>
          <w:rFonts w:hint="eastAsia"/>
          <w:szCs w:val="28"/>
        </w:rPr>
        <w:t>（碎块状）</w:t>
      </w:r>
      <w:r>
        <w:rPr>
          <w:szCs w:val="28"/>
        </w:rPr>
        <w:t>，根据《建筑抗震设计规范》（GB50011-2010）（2016版）第4.1.2～4.1.6条，对勘查区场地进行等效剪切波速估算，参照当地经验上述各土层的剪切波速取值为：①</w:t>
      </w:r>
      <w:r>
        <w:rPr>
          <w:rFonts w:hint="eastAsia"/>
          <w:szCs w:val="28"/>
        </w:rPr>
        <w:t>杂填土</w:t>
      </w:r>
      <w:r>
        <w:rPr>
          <w:szCs w:val="28"/>
        </w:rPr>
        <w:t>层的剪切波速Vs取值为</w:t>
      </w:r>
      <w:r>
        <w:rPr>
          <w:rFonts w:hint="eastAsia"/>
          <w:szCs w:val="28"/>
        </w:rPr>
        <w:t>90</w:t>
      </w:r>
      <w:r>
        <w:rPr>
          <w:szCs w:val="28"/>
        </w:rPr>
        <w:t>m/s，②</w:t>
      </w:r>
      <w:r>
        <w:rPr>
          <w:rFonts w:hint="eastAsia"/>
          <w:szCs w:val="28"/>
          <w:lang w:eastAsia="zh-CN"/>
        </w:rPr>
        <w:t>坡积黏性土</w:t>
      </w:r>
      <w:r>
        <w:rPr>
          <w:szCs w:val="28"/>
        </w:rPr>
        <w:t>层的剪切波速Vs取值为</w:t>
      </w:r>
      <w:r>
        <w:rPr>
          <w:rFonts w:hint="eastAsia"/>
          <w:szCs w:val="28"/>
        </w:rPr>
        <w:t>180</w:t>
      </w:r>
      <w:r>
        <w:rPr>
          <w:szCs w:val="28"/>
        </w:rPr>
        <w:t>m/s，</w:t>
      </w:r>
      <w:r>
        <w:rPr>
          <w:rFonts w:hint="eastAsia"/>
          <w:szCs w:val="28"/>
        </w:rPr>
        <w:t>③</w:t>
      </w:r>
      <w:r>
        <w:rPr>
          <w:szCs w:val="28"/>
        </w:rPr>
        <w:t>全风化</w:t>
      </w:r>
      <w:r>
        <w:rPr>
          <w:rFonts w:hint="eastAsia"/>
          <w:szCs w:val="28"/>
        </w:rPr>
        <w:t>粉砂</w:t>
      </w:r>
      <w:r>
        <w:rPr>
          <w:szCs w:val="28"/>
        </w:rPr>
        <w:t>岩层的剪切波速Vs取值为300m/s，</w:t>
      </w:r>
      <w:r>
        <w:rPr>
          <w:rFonts w:hint="eastAsia"/>
          <w:szCs w:val="28"/>
        </w:rPr>
        <w:t>④</w:t>
      </w:r>
      <w:r>
        <w:rPr>
          <w:szCs w:val="28"/>
        </w:rPr>
        <w:t>强风化</w:t>
      </w:r>
      <w:r>
        <w:rPr>
          <w:rFonts w:hint="eastAsia"/>
          <w:szCs w:val="28"/>
        </w:rPr>
        <w:t>粉砂</w:t>
      </w:r>
      <w:r>
        <w:rPr>
          <w:szCs w:val="28"/>
        </w:rPr>
        <w:t>岩</w:t>
      </w:r>
      <w:r>
        <w:rPr>
          <w:rFonts w:hint="eastAsia"/>
          <w:szCs w:val="28"/>
        </w:rPr>
        <w:t>（碎块状）</w:t>
      </w:r>
      <w:r>
        <w:rPr>
          <w:szCs w:val="28"/>
        </w:rPr>
        <w:t>层的剪切波速Vs经验值取500m/s</w:t>
      </w:r>
      <w:r>
        <w:rPr>
          <w:rFonts w:hint="eastAsia"/>
          <w:szCs w:val="28"/>
        </w:rPr>
        <w:t>。</w:t>
      </w:r>
      <w:r>
        <w:rPr>
          <w:szCs w:val="28"/>
        </w:rPr>
        <w:t>估算代表性钻孔等效剪切波速Vse。ZK</w:t>
      </w:r>
      <w:r>
        <w:rPr>
          <w:rFonts w:hint="eastAsia"/>
          <w:szCs w:val="28"/>
        </w:rPr>
        <w:t>1</w:t>
      </w:r>
      <w:r>
        <w:rPr>
          <w:szCs w:val="28"/>
        </w:rPr>
        <w:t>计算结果Vse=</w:t>
      </w:r>
      <w:r>
        <w:rPr>
          <w:rFonts w:hint="eastAsia"/>
          <w:szCs w:val="28"/>
        </w:rPr>
        <w:t>273.72</w:t>
      </w:r>
      <w:r>
        <w:rPr>
          <w:szCs w:val="28"/>
        </w:rPr>
        <w:t>m/s；ZK</w:t>
      </w:r>
      <w:r>
        <w:rPr>
          <w:rFonts w:hint="eastAsia"/>
          <w:szCs w:val="28"/>
        </w:rPr>
        <w:t>3</w:t>
      </w:r>
      <w:r>
        <w:rPr>
          <w:szCs w:val="28"/>
        </w:rPr>
        <w:t>计算结果Vse=</w:t>
      </w:r>
      <w:r>
        <w:rPr>
          <w:rFonts w:hint="eastAsia"/>
          <w:szCs w:val="28"/>
        </w:rPr>
        <w:t>238.49</w:t>
      </w:r>
      <w:r>
        <w:rPr>
          <w:szCs w:val="28"/>
        </w:rPr>
        <w:t>m/s。根据现场调查及钻探资料判断，勘查区场地覆盖层厚度大于5米，根据《建筑抗震设计规范》（GBJ50011-2010）第4.1.3～4.1.6条，综合判定：本场地建筑场地类别为Ⅱ类。根据国标《建筑抗震设计规范》（GB50011-2010）（2016版）表5.1.4-2可知，拟建建（构）筑物设计特征周期（Tg）为0.35s。</w:t>
      </w:r>
    </w:p>
    <w:p>
      <w:pPr>
        <w:widowControl/>
        <w:rPr>
          <w:szCs w:val="28"/>
        </w:rPr>
      </w:pPr>
      <w:r>
        <w:rPr>
          <w:b/>
          <w:szCs w:val="28"/>
        </w:rPr>
        <w:t xml:space="preserve">2.5.2 </w:t>
      </w:r>
      <w:r>
        <w:rPr>
          <w:szCs w:val="28"/>
        </w:rPr>
        <w:t>岩土抗震稳定性评价</w:t>
      </w:r>
    </w:p>
    <w:p>
      <w:pPr>
        <w:widowControl/>
        <w:ind w:firstLine="480"/>
        <w:rPr>
          <w:szCs w:val="28"/>
        </w:rPr>
      </w:pPr>
      <w:r>
        <w:rPr>
          <w:szCs w:val="28"/>
        </w:rPr>
        <w:t>1 饱和砂土液化及软土震陷评价</w:t>
      </w:r>
    </w:p>
    <w:p>
      <w:pPr>
        <w:widowControl/>
        <w:ind w:firstLine="480"/>
        <w:rPr>
          <w:szCs w:val="28"/>
        </w:rPr>
      </w:pPr>
      <w:r>
        <w:rPr>
          <w:szCs w:val="28"/>
        </w:rPr>
        <w:t>勘查区不存在饱和砂土、粉土及软土，且抗震设防烈度为6度，按照《建筑抗震设计规范》（GB50011-2010）表4.3.2规定，设计时可不考虑饱和砂土、粉土地震液化及软土震陷影响。</w:t>
      </w:r>
    </w:p>
    <w:p>
      <w:pPr>
        <w:widowControl/>
        <w:ind w:firstLine="480"/>
        <w:rPr>
          <w:szCs w:val="28"/>
        </w:rPr>
      </w:pPr>
      <w:r>
        <w:rPr>
          <w:szCs w:val="28"/>
        </w:rPr>
        <w:t xml:space="preserve">2 抗震地段划分 </w:t>
      </w:r>
    </w:p>
    <w:p>
      <w:pPr>
        <w:widowControl/>
        <w:ind w:firstLine="480"/>
        <w:rPr>
          <w:szCs w:val="28"/>
        </w:rPr>
      </w:pPr>
      <w:r>
        <w:rPr>
          <w:szCs w:val="28"/>
        </w:rPr>
        <w:t>勘查区</w:t>
      </w:r>
      <w:r>
        <w:rPr>
          <w:rFonts w:hint="eastAsia"/>
          <w:szCs w:val="28"/>
        </w:rPr>
        <w:t>为</w:t>
      </w:r>
      <w:r>
        <w:rPr>
          <w:szCs w:val="28"/>
        </w:rPr>
        <w:t>地质灾害点，按照《建筑抗震设计规范》（GB50011-2010）（2016版）第4.1.1条规定，勘查区属抗震危险地段。</w:t>
      </w:r>
    </w:p>
    <w:p>
      <w:pPr>
        <w:widowControl/>
        <w:rPr>
          <w:szCs w:val="28"/>
        </w:rPr>
      </w:pPr>
      <w:r>
        <w:rPr>
          <w:b/>
          <w:szCs w:val="28"/>
        </w:rPr>
        <w:t xml:space="preserve">2.5.3 </w:t>
      </w:r>
      <w:r>
        <w:rPr>
          <w:szCs w:val="28"/>
        </w:rPr>
        <w:t>勘查区内不良地质作用</w:t>
      </w:r>
    </w:p>
    <w:p>
      <w:pPr>
        <w:widowControl/>
        <w:ind w:firstLine="480"/>
        <w:rPr>
          <w:sz w:val="24"/>
        </w:rPr>
      </w:pPr>
      <w:r>
        <w:rPr>
          <w:szCs w:val="28"/>
        </w:rPr>
        <w:t>根据本工程勘查钻探施工、周边地质条件踏勘调查，结合有关区域地质背景资料分析表明，在强降雨条件下</w:t>
      </w:r>
      <w:r>
        <w:rPr>
          <w:rFonts w:hint="eastAsia"/>
          <w:szCs w:val="28"/>
          <w:lang w:val="en-US" w:eastAsia="zh-CN"/>
        </w:rPr>
        <w:t>28、</w:t>
      </w:r>
      <w:r>
        <w:rPr>
          <w:rFonts w:hint="eastAsia"/>
          <w:szCs w:val="28"/>
        </w:rPr>
        <w:t>31、32、33号宅前边坡发生1处崩塌</w:t>
      </w:r>
      <w:r>
        <w:rPr>
          <w:rFonts w:hint="eastAsia"/>
          <w:szCs w:val="28"/>
          <w:lang w:eastAsia="zh-CN"/>
        </w:rPr>
        <w:t>，</w:t>
      </w:r>
      <w:r>
        <w:rPr>
          <w:rFonts w:hint="eastAsia"/>
          <w:szCs w:val="28"/>
        </w:rPr>
        <w:t>31号至33号所处平台填土范围内已产生不均匀沉降，未来</w:t>
      </w:r>
      <w:r>
        <w:rPr>
          <w:szCs w:val="28"/>
        </w:rPr>
        <w:t>在强降雨条件下再次发生</w:t>
      </w:r>
      <w:r>
        <w:rPr>
          <w:rFonts w:hint="eastAsia"/>
          <w:szCs w:val="28"/>
        </w:rPr>
        <w:t>崩塌</w:t>
      </w:r>
      <w:r>
        <w:rPr>
          <w:szCs w:val="28"/>
        </w:rPr>
        <w:t>的可能性大。</w:t>
      </w:r>
    </w:p>
    <w:p>
      <w:pPr>
        <w:pStyle w:val="3"/>
        <w:numPr>
          <w:ilvl w:val="0"/>
          <w:numId w:val="2"/>
        </w:numPr>
      </w:pPr>
      <w:bookmarkStart w:id="14" w:name="_Toc8261"/>
      <w:r>
        <w:t>稳定性评价</w:t>
      </w:r>
      <w:bookmarkEnd w:id="14"/>
    </w:p>
    <w:p>
      <w:pPr>
        <w:pStyle w:val="2"/>
        <w:numPr>
          <w:ilvl w:val="1"/>
          <w:numId w:val="2"/>
        </w:numPr>
      </w:pPr>
      <w:bookmarkStart w:id="15" w:name="_Toc9437"/>
      <w:r>
        <w:t>坡段形态特征及变形特征</w:t>
      </w:r>
      <w:bookmarkEnd w:id="15"/>
    </w:p>
    <w:p>
      <w:pPr>
        <w:tabs>
          <w:tab w:val="left" w:pos="3360"/>
        </w:tabs>
        <w:ind w:firstLine="560" w:firstLineChars="200"/>
        <w:rPr>
          <w:rFonts w:hint="default"/>
          <w:sz w:val="28"/>
          <w:szCs w:val="28"/>
          <w:lang w:val="en-US" w:eastAsia="zh-CN"/>
        </w:rPr>
      </w:pPr>
      <w:r>
        <w:rPr>
          <w:rFonts w:hint="eastAsia"/>
          <w:sz w:val="28"/>
          <w:szCs w:val="28"/>
          <w:lang w:val="en-US" w:eastAsia="zh-CN"/>
        </w:rPr>
        <w:t>（一）28、31、32、33号宅前坡段</w:t>
      </w:r>
    </w:p>
    <w:p>
      <w:pPr>
        <w:tabs>
          <w:tab w:val="left" w:pos="3360"/>
        </w:tabs>
        <w:ind w:firstLine="560" w:firstLineChars="200"/>
        <w:rPr>
          <w:bCs/>
          <w:color w:val="auto"/>
        </w:rPr>
      </w:pPr>
      <w:r>
        <w:rPr>
          <w:rFonts w:hint="eastAsia"/>
          <w:sz w:val="28"/>
          <w:szCs w:val="28"/>
          <w:lang w:val="en-US" w:eastAsia="zh-CN"/>
        </w:rPr>
        <w:t>该坡段</w:t>
      </w:r>
      <w:r>
        <w:rPr>
          <w:rFonts w:hint="eastAsia" w:ascii="Times New Roman" w:hAnsi="Times New Roman" w:eastAsia="宋体"/>
          <w:sz w:val="28"/>
          <w:szCs w:val="28"/>
        </w:rPr>
        <w:t>为人工开挖边坡，坡向133°，坡顶平台及坡脚平台均分布有居民房。边坡为二级坡，平台宽度1.7m，自上而下：第一级为填土边坡，高3.5m，坡度约78°，采用干砌块石护面墙进行支护（31号-32号宅前段现已垮塌损毁）；第二级为开挖边坡，高7～</w:t>
      </w:r>
      <w:r>
        <w:rPr>
          <w:rFonts w:hint="eastAsia" w:ascii="Times New Roman" w:hAnsi="Times New Roman" w:eastAsia="宋体"/>
          <w:sz w:val="28"/>
          <w:szCs w:val="28"/>
          <w:lang w:val="en-US" w:eastAsia="zh-CN"/>
        </w:rPr>
        <w:t>13</w:t>
      </w:r>
      <w:r>
        <w:rPr>
          <w:rFonts w:hint="eastAsia" w:ascii="Times New Roman" w:hAnsi="Times New Roman" w:eastAsia="宋体"/>
          <w:sz w:val="28"/>
          <w:szCs w:val="28"/>
        </w:rPr>
        <w:t>m，坡度约60～65°，坡脚处局部采取支护措施：20-1、20-2号屋后采用干砌块石护面墙进行支护（现已损毁），20-2号东侧院子后方采用喷砼进行支护，其余段边坡坡面裸露，以</w:t>
      </w:r>
      <w:r>
        <w:rPr>
          <w:rFonts w:hint="eastAsia"/>
          <w:sz w:val="28"/>
          <w:szCs w:val="28"/>
          <w:lang w:eastAsia="zh-CN"/>
        </w:rPr>
        <w:t>坡积黏性土</w:t>
      </w:r>
      <w:r>
        <w:rPr>
          <w:rFonts w:hint="eastAsia" w:ascii="Times New Roman" w:hAnsi="Times New Roman" w:eastAsia="宋体"/>
          <w:sz w:val="28"/>
          <w:szCs w:val="28"/>
        </w:rPr>
        <w:t>为主。DC</w:t>
      </w:r>
      <w:r>
        <w:rPr>
          <w:rFonts w:hint="eastAsia"/>
          <w:sz w:val="28"/>
          <w:szCs w:val="28"/>
          <w:lang w:val="en-US" w:eastAsia="zh-CN"/>
        </w:rPr>
        <w:t>3</w:t>
      </w:r>
      <w:r>
        <w:rPr>
          <w:rFonts w:hint="eastAsia" w:ascii="Times New Roman" w:hAnsi="Times New Roman" w:eastAsia="宋体"/>
          <w:sz w:val="28"/>
          <w:szCs w:val="28"/>
        </w:rPr>
        <w:t>处出露岩土体为②</w:t>
      </w:r>
      <w:r>
        <w:rPr>
          <w:rFonts w:hint="eastAsia"/>
          <w:sz w:val="28"/>
          <w:szCs w:val="28"/>
          <w:lang w:eastAsia="zh-CN"/>
        </w:rPr>
        <w:t>坡积黏性土</w:t>
      </w:r>
      <w:r>
        <w:rPr>
          <w:rFonts w:hint="eastAsia" w:ascii="Times New Roman" w:hAnsi="Times New Roman" w:eastAsia="宋体"/>
          <w:sz w:val="28"/>
          <w:szCs w:val="28"/>
        </w:rPr>
        <w:t>，DC</w:t>
      </w:r>
      <w:r>
        <w:rPr>
          <w:rFonts w:hint="eastAsia"/>
          <w:sz w:val="28"/>
          <w:szCs w:val="28"/>
          <w:lang w:val="en-US" w:eastAsia="zh-CN"/>
        </w:rPr>
        <w:t>5</w:t>
      </w:r>
      <w:r>
        <w:rPr>
          <w:rFonts w:hint="eastAsia" w:ascii="Times New Roman" w:hAnsi="Times New Roman" w:eastAsia="宋体"/>
          <w:sz w:val="28"/>
          <w:szCs w:val="28"/>
        </w:rPr>
        <w:t>处出露岩土体为②</w:t>
      </w:r>
      <w:r>
        <w:rPr>
          <w:rFonts w:hint="eastAsia"/>
          <w:sz w:val="28"/>
          <w:szCs w:val="28"/>
          <w:lang w:eastAsia="zh-CN"/>
        </w:rPr>
        <w:t>坡积黏性土</w:t>
      </w:r>
      <w:r>
        <w:rPr>
          <w:rFonts w:hint="eastAsia" w:ascii="Times New Roman" w:hAnsi="Times New Roman" w:eastAsia="宋体"/>
          <w:sz w:val="28"/>
          <w:szCs w:val="28"/>
        </w:rPr>
        <w:t>厚约3m，③全风化粉砂岩厚约1.7m。据现场调查访问了解，边坡受强降雨影响，于2006年5～6月发生崩塌灾害（BT1</w:t>
      </w:r>
      <w:r>
        <w:rPr>
          <w:rFonts w:hint="eastAsia"/>
          <w:sz w:val="28"/>
          <w:szCs w:val="28"/>
          <w:lang w:val="en-US" w:eastAsia="zh-CN"/>
        </w:rPr>
        <w:t>处</w:t>
      </w:r>
      <w:r>
        <w:rPr>
          <w:rFonts w:hint="eastAsia" w:ascii="Times New Roman" w:hAnsi="Times New Roman" w:eastAsia="宋体"/>
          <w:sz w:val="28"/>
          <w:szCs w:val="28"/>
        </w:rPr>
        <w:t>），2022年6月13日该处再次发生崩塌灾害，31号至33号院子地面均见开裂，裂缝宽1～3cm、长2～4m，</w:t>
      </w:r>
      <w:r>
        <w:rPr>
          <w:rFonts w:hint="eastAsia"/>
          <w:sz w:val="28"/>
          <w:szCs w:val="28"/>
          <w:lang w:val="en-US" w:eastAsia="zh-CN"/>
        </w:rPr>
        <w:t>28、31、32号</w:t>
      </w:r>
      <w:r>
        <w:rPr>
          <w:rFonts w:hint="eastAsia" w:ascii="Times New Roman" w:hAnsi="Times New Roman" w:eastAsia="宋体"/>
          <w:sz w:val="28"/>
          <w:szCs w:val="28"/>
        </w:rPr>
        <w:t>宅前院子地面部分垮塌悬空，</w:t>
      </w:r>
      <w:r>
        <w:rPr>
          <w:rFonts w:hint="eastAsia" w:ascii="Times New Roman" w:hAnsi="Times New Roman" w:eastAsia="宋体"/>
          <w:color w:val="auto"/>
          <w:sz w:val="28"/>
          <w:szCs w:val="28"/>
        </w:rPr>
        <w:t>崩塌范围东起</w:t>
      </w:r>
      <w:r>
        <w:rPr>
          <w:rFonts w:hint="eastAsia"/>
          <w:color w:val="auto"/>
          <w:sz w:val="28"/>
          <w:szCs w:val="28"/>
          <w:lang w:val="en-US" w:eastAsia="zh-CN"/>
        </w:rPr>
        <w:t>28</w:t>
      </w:r>
      <w:r>
        <w:rPr>
          <w:rFonts w:hint="eastAsia" w:ascii="Times New Roman" w:hAnsi="Times New Roman" w:eastAsia="宋体"/>
          <w:color w:val="auto"/>
          <w:sz w:val="28"/>
          <w:szCs w:val="28"/>
        </w:rPr>
        <w:t>号</w:t>
      </w:r>
      <w:r>
        <w:rPr>
          <w:rFonts w:hint="eastAsia"/>
          <w:color w:val="auto"/>
          <w:sz w:val="28"/>
          <w:szCs w:val="28"/>
          <w:lang w:val="en-US" w:eastAsia="zh-CN"/>
        </w:rPr>
        <w:t>宅前院子西侧</w:t>
      </w:r>
      <w:r>
        <w:rPr>
          <w:rFonts w:hint="eastAsia" w:ascii="Times New Roman" w:hAnsi="Times New Roman" w:eastAsia="宋体"/>
          <w:color w:val="auto"/>
          <w:sz w:val="28"/>
          <w:szCs w:val="28"/>
        </w:rPr>
        <w:t>，西至32号宅前院子东侧，总宽约</w:t>
      </w:r>
      <w:r>
        <w:rPr>
          <w:rFonts w:hint="eastAsia" w:ascii="Times New Roman" w:hAnsi="Times New Roman" w:eastAsia="宋体"/>
          <w:color w:val="auto"/>
          <w:sz w:val="28"/>
          <w:szCs w:val="28"/>
          <w:lang w:val="en-US" w:eastAsia="zh-CN"/>
        </w:rPr>
        <w:t>3</w:t>
      </w:r>
      <w:r>
        <w:rPr>
          <w:rFonts w:hint="eastAsia"/>
          <w:color w:val="auto"/>
          <w:sz w:val="28"/>
          <w:szCs w:val="28"/>
          <w:lang w:val="en-US" w:eastAsia="zh-CN"/>
        </w:rPr>
        <w:t>0</w:t>
      </w:r>
      <w:r>
        <w:rPr>
          <w:rFonts w:hint="eastAsia" w:ascii="Times New Roman" w:hAnsi="Times New Roman" w:eastAsia="宋体"/>
          <w:color w:val="auto"/>
          <w:sz w:val="28"/>
          <w:szCs w:val="28"/>
        </w:rPr>
        <w:t>m。31号墙体见开裂，坡脚20-1号、20-2号门窗及后墙受损。</w:t>
      </w:r>
      <w:r>
        <w:rPr>
          <w:rFonts w:hint="eastAsia"/>
          <w:color w:val="auto"/>
          <w:sz w:val="28"/>
          <w:szCs w:val="28"/>
          <w:lang w:val="en-US" w:eastAsia="zh-CN"/>
        </w:rPr>
        <w:t>勘查施工期间已</w:t>
      </w:r>
      <w:r>
        <w:rPr>
          <w:rFonts w:hint="eastAsia"/>
          <w:bCs/>
          <w:color w:val="auto"/>
          <w:lang w:val="en-US" w:eastAsia="zh-CN"/>
        </w:rPr>
        <w:t>对边坡崩塌处上部采取注浆加固+挂网喷锚方式进行临时加固，下部</w:t>
      </w:r>
      <w:r>
        <w:rPr>
          <w:rFonts w:hint="eastAsia"/>
          <w:bCs/>
          <w:color w:val="auto"/>
        </w:rPr>
        <w:t>崩积体</w:t>
      </w:r>
      <w:r>
        <w:rPr>
          <w:rFonts w:hint="eastAsia"/>
          <w:bCs/>
          <w:color w:val="auto"/>
          <w:lang w:val="en-US" w:eastAsia="zh-CN"/>
        </w:rPr>
        <w:t>暂</w:t>
      </w:r>
      <w:r>
        <w:rPr>
          <w:rFonts w:hint="eastAsia"/>
          <w:bCs/>
          <w:color w:val="auto"/>
        </w:rPr>
        <w:t>未进行清理。</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0"/>
        <w:gridCol w:w="5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662680" cy="5487670"/>
                  <wp:effectExtent l="0" t="0" r="13970" b="10160"/>
                  <wp:docPr id="21" name="图片 21" descr="崩塌航拍照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崩塌航拍照片-2"/>
                          <pic:cNvPicPr>
                            <a:picLocks noChangeAspect="1"/>
                          </pic:cNvPicPr>
                        </pic:nvPicPr>
                        <pic:blipFill>
                          <a:blip r:embed="rId15"/>
                          <a:srcRect l="3935" t="17072" r="32154" b="15309"/>
                          <a:stretch>
                            <a:fillRect/>
                          </a:stretch>
                        </pic:blipFill>
                        <pic:spPr>
                          <a:xfrm rot="16200000">
                            <a:off x="0" y="0"/>
                            <a:ext cx="3662680" cy="54876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 w:val="24"/>
                <w:szCs w:val="24"/>
              </w:rPr>
              <w:t xml:space="preserve"> </w:t>
            </w:r>
            <w:r>
              <w:t xml:space="preserve">图 </w:t>
            </w:r>
            <w:r>
              <w:fldChar w:fldCharType="begin"/>
            </w:r>
            <w:r>
              <w:instrText xml:space="preserve"> STYLEREF 2 \s </w:instrText>
            </w:r>
            <w:r>
              <w:fldChar w:fldCharType="separate"/>
            </w:r>
            <w:r>
              <w:t>3.1</w:t>
            </w:r>
            <w:r>
              <w:fldChar w:fldCharType="end"/>
            </w:r>
            <w:r>
              <w:rPr>
                <w:rFonts w:hint="eastAsia"/>
              </w:rPr>
              <w:t>-1</w:t>
            </w:r>
            <w:r>
              <w:rPr>
                <w:rFonts w:hint="eastAsia"/>
                <w:color w:val="000000"/>
                <w:sz w:val="24"/>
                <w:szCs w:val="24"/>
              </w:rPr>
              <w:t>北</w:t>
            </w:r>
            <w:r>
              <w:rPr>
                <w:rFonts w:hint="eastAsia"/>
                <w:color w:val="auto"/>
                <w:sz w:val="24"/>
                <w:szCs w:val="24"/>
              </w:rPr>
              <w:t>门31</w:t>
            </w:r>
            <w:r>
              <w:rPr>
                <w:rFonts w:hint="eastAsia"/>
                <w:color w:val="auto"/>
                <w:sz w:val="24"/>
                <w:szCs w:val="24"/>
                <w:lang w:eastAsia="zh-CN"/>
              </w:rPr>
              <w:t>、</w:t>
            </w:r>
            <w:r>
              <w:rPr>
                <w:rFonts w:hint="eastAsia"/>
                <w:color w:val="auto"/>
                <w:sz w:val="24"/>
                <w:szCs w:val="24"/>
                <w:lang w:val="en-US" w:eastAsia="zh-CN"/>
              </w:rPr>
              <w:t>32、33</w:t>
            </w:r>
            <w:r>
              <w:rPr>
                <w:rFonts w:hint="eastAsia"/>
                <w:color w:val="auto"/>
                <w:sz w:val="24"/>
                <w:szCs w:val="24"/>
              </w:rPr>
              <w:t>号宅</w:t>
            </w:r>
            <w:r>
              <w:rPr>
                <w:rFonts w:hint="eastAsia"/>
                <w:color w:val="000000"/>
                <w:sz w:val="24"/>
                <w:szCs w:val="24"/>
              </w:rPr>
              <w:t>前边坡现状航拍图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4944110" cy="3708400"/>
                  <wp:effectExtent l="0" t="0" r="8890" b="10160"/>
                  <wp:docPr id="16" name="图片 16" descr="IMG_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6099"/>
                          <pic:cNvPicPr>
                            <a:picLocks noChangeAspect="1"/>
                          </pic:cNvPicPr>
                        </pic:nvPicPr>
                        <pic:blipFill>
                          <a:blip r:embed="rId16"/>
                          <a:stretch>
                            <a:fillRect/>
                          </a:stretch>
                        </pic:blipFill>
                        <pic:spPr>
                          <a:xfrm>
                            <a:off x="0" y="0"/>
                            <a:ext cx="4944110" cy="37084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 w:val="24"/>
                <w:szCs w:val="24"/>
              </w:rPr>
              <w:t xml:space="preserve"> </w:t>
            </w:r>
            <w:r>
              <w:t xml:space="preserve">图 </w:t>
            </w:r>
            <w:r>
              <w:fldChar w:fldCharType="begin"/>
            </w:r>
            <w:r>
              <w:instrText xml:space="preserve"> STYLEREF 2 \s </w:instrText>
            </w:r>
            <w:r>
              <w:fldChar w:fldCharType="separate"/>
            </w:r>
            <w:r>
              <w:t>3.1</w:t>
            </w:r>
            <w:r>
              <w:fldChar w:fldCharType="end"/>
            </w:r>
            <w:r>
              <w:rPr>
                <w:rFonts w:hint="eastAsia"/>
              </w:rPr>
              <w:t>-2</w:t>
            </w:r>
            <w:r>
              <w:rPr>
                <w:rFonts w:hint="eastAsia"/>
                <w:lang w:val="en-US" w:eastAsia="zh-CN"/>
              </w:rPr>
              <w:t xml:space="preserve">  </w:t>
            </w:r>
            <w:r>
              <w:rPr>
                <w:rFonts w:hint="eastAsia"/>
                <w:color w:val="000000"/>
                <w:sz w:val="24"/>
                <w:szCs w:val="24"/>
                <w:lang w:val="en-US" w:eastAsia="zh-CN"/>
              </w:rPr>
              <w:t>28、</w:t>
            </w:r>
            <w:r>
              <w:rPr>
                <w:rFonts w:hint="eastAsia"/>
                <w:color w:val="auto"/>
                <w:sz w:val="24"/>
                <w:szCs w:val="24"/>
              </w:rPr>
              <w:t>31</w:t>
            </w:r>
            <w:r>
              <w:rPr>
                <w:rFonts w:hint="eastAsia"/>
                <w:color w:val="auto"/>
                <w:sz w:val="24"/>
                <w:szCs w:val="24"/>
                <w:lang w:eastAsia="zh-CN"/>
              </w:rPr>
              <w:t>、</w:t>
            </w:r>
            <w:r>
              <w:rPr>
                <w:rFonts w:hint="eastAsia"/>
                <w:color w:val="auto"/>
                <w:sz w:val="24"/>
                <w:szCs w:val="24"/>
                <w:lang w:val="en-US" w:eastAsia="zh-CN"/>
              </w:rPr>
              <w:t>32、33</w:t>
            </w:r>
            <w:r>
              <w:rPr>
                <w:rFonts w:hint="eastAsia"/>
                <w:color w:val="auto"/>
                <w:sz w:val="24"/>
                <w:szCs w:val="24"/>
              </w:rPr>
              <w:t>号宅</w:t>
            </w:r>
            <w:r>
              <w:rPr>
                <w:rFonts w:hint="eastAsia"/>
                <w:color w:val="000000"/>
                <w:sz w:val="24"/>
                <w:szCs w:val="24"/>
              </w:rPr>
              <w:t>前边坡坡面现状（BT1处）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0"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125470" cy="2288540"/>
                  <wp:effectExtent l="0" t="0" r="13970" b="12700"/>
                  <wp:docPr id="18" name="图片 18" descr="c1096f0042da24a221f8ccfcf914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1096f0042da24a221f8ccfcf914fd2"/>
                          <pic:cNvPicPr>
                            <a:picLocks noChangeAspect="1"/>
                          </pic:cNvPicPr>
                        </pic:nvPicPr>
                        <pic:blipFill>
                          <a:blip r:embed="rId17"/>
                          <a:stretch>
                            <a:fillRect/>
                          </a:stretch>
                        </pic:blipFill>
                        <pic:spPr>
                          <a:xfrm>
                            <a:off x="0" y="0"/>
                            <a:ext cx="3125470" cy="2288540"/>
                          </a:xfrm>
                          <a:prstGeom prst="rect">
                            <a:avLst/>
                          </a:prstGeom>
                        </pic:spPr>
                      </pic:pic>
                    </a:graphicData>
                  </a:graphic>
                </wp:inline>
              </w:drawing>
            </w:r>
          </w:p>
        </w:tc>
        <w:tc>
          <w:tcPr>
            <w:tcW w:w="5124"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072130" cy="2304415"/>
                  <wp:effectExtent l="0" t="0" r="6350" b="12065"/>
                  <wp:docPr id="20" name="图片 20" descr="7c9f3dbd16125c11999017838253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c9f3dbd16125c11999017838253bed"/>
                          <pic:cNvPicPr>
                            <a:picLocks noChangeAspect="1"/>
                          </pic:cNvPicPr>
                        </pic:nvPicPr>
                        <pic:blipFill>
                          <a:blip r:embed="rId18"/>
                          <a:stretch>
                            <a:fillRect/>
                          </a:stretch>
                        </pic:blipFill>
                        <pic:spPr>
                          <a:xfrm>
                            <a:off x="0" y="0"/>
                            <a:ext cx="3072130" cy="23044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5160"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-3  院子地面开裂</w:t>
            </w:r>
          </w:p>
        </w:tc>
        <w:tc>
          <w:tcPr>
            <w:tcW w:w="5124"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-4  31号墙体开裂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0"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138170" cy="2286635"/>
                  <wp:effectExtent l="0" t="0" r="1270" b="14605"/>
                  <wp:docPr id="23" name="图片 23" descr="694fef7d18fa0bea7d4e2eea56c75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694fef7d18fa0bea7d4e2eea56c758c"/>
                          <pic:cNvPicPr>
                            <a:picLocks noChangeAspect="1"/>
                          </pic:cNvPicPr>
                        </pic:nvPicPr>
                        <pic:blipFill>
                          <a:blip r:embed="rId19"/>
                          <a:stretch>
                            <a:fillRect/>
                          </a:stretch>
                        </pic:blipFill>
                        <pic:spPr>
                          <a:xfrm>
                            <a:off x="0" y="0"/>
                            <a:ext cx="3138170" cy="2286635"/>
                          </a:xfrm>
                          <a:prstGeom prst="rect">
                            <a:avLst/>
                          </a:prstGeom>
                        </pic:spPr>
                      </pic:pic>
                    </a:graphicData>
                  </a:graphic>
                </wp:inline>
              </w:drawing>
            </w:r>
          </w:p>
        </w:tc>
        <w:tc>
          <w:tcPr>
            <w:tcW w:w="5124" w:type="dxa"/>
            <w:tcBorders>
              <w:top w:val="nil"/>
              <w:left w:val="nil"/>
              <w:bottom w:val="nil"/>
              <w:right w:val="nil"/>
            </w:tcBorders>
            <w:vAlign w:val="center"/>
          </w:tcPr>
          <w:p>
            <w:pPr>
              <w:widowControl/>
              <w:jc w:val="center"/>
              <w:rPr>
                <w:color w:val="000000"/>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0"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-5  20-1、20-2号后墙受损</w:t>
            </w:r>
          </w:p>
        </w:tc>
        <w:tc>
          <w:tcPr>
            <w:tcW w:w="5124" w:type="dxa"/>
            <w:tcBorders>
              <w:top w:val="nil"/>
              <w:left w:val="nil"/>
              <w:bottom w:val="nil"/>
              <w:right w:val="nil"/>
            </w:tcBorders>
            <w:vAlign w:val="center"/>
          </w:tcPr>
          <w:p>
            <w:pPr>
              <w:widowControl/>
              <w:jc w:val="center"/>
              <w:rPr>
                <w:color w:val="000000"/>
                <w:sz w:val="24"/>
                <w:szCs w:val="24"/>
              </w:rPr>
            </w:pPr>
          </w:p>
        </w:tc>
      </w:tr>
    </w:tbl>
    <w:p>
      <w:pPr>
        <w:tabs>
          <w:tab w:val="left" w:pos="3360"/>
        </w:tabs>
        <w:ind w:firstLine="560" w:firstLineChars="200"/>
        <w:rPr>
          <w:rFonts w:hint="default"/>
          <w:sz w:val="28"/>
          <w:szCs w:val="28"/>
          <w:lang w:val="en-US" w:eastAsia="zh-CN"/>
        </w:rPr>
      </w:pPr>
      <w:bookmarkStart w:id="16" w:name="_Toc40709409"/>
      <w:bookmarkStart w:id="17" w:name="_Toc3531"/>
      <w:r>
        <w:rPr>
          <w:rFonts w:hint="eastAsia"/>
          <w:sz w:val="28"/>
          <w:szCs w:val="28"/>
          <w:lang w:val="en-US" w:eastAsia="zh-CN"/>
        </w:rPr>
        <w:t>（二）31、32、33号宅后坡段</w:t>
      </w:r>
    </w:p>
    <w:p>
      <w:pPr>
        <w:bidi w:val="0"/>
        <w:rPr>
          <w:rFonts w:hint="eastAsia"/>
          <w:szCs w:val="28"/>
          <w:lang w:val="en-US" w:eastAsia="zh-CN"/>
        </w:rPr>
      </w:pPr>
      <w:r>
        <w:rPr>
          <w:rFonts w:hint="eastAsia"/>
          <w:lang w:val="en-US" w:eastAsia="zh-CN"/>
        </w:rPr>
        <w:t>该坡段</w:t>
      </w:r>
      <w:r>
        <w:rPr>
          <w:rFonts w:hint="eastAsia"/>
          <w:szCs w:val="28"/>
          <w:lang w:val="en-US" w:eastAsia="zh-CN"/>
        </w:rPr>
        <w:t>上部为自然斜坡，</w:t>
      </w:r>
      <w:r>
        <w:rPr>
          <w:szCs w:val="28"/>
        </w:rPr>
        <w:t>坡度</w:t>
      </w:r>
      <w:r>
        <w:rPr>
          <w:rFonts w:hint="eastAsia"/>
          <w:szCs w:val="28"/>
        </w:rPr>
        <w:t>15</w:t>
      </w:r>
      <w:r>
        <w:rPr>
          <w:szCs w:val="28"/>
        </w:rPr>
        <w:t>～</w:t>
      </w:r>
      <w:r>
        <w:rPr>
          <w:rFonts w:hint="eastAsia"/>
          <w:szCs w:val="28"/>
        </w:rPr>
        <w:t>25</w:t>
      </w:r>
      <w:r>
        <w:rPr>
          <w:szCs w:val="28"/>
        </w:rPr>
        <w:t>°，</w:t>
      </w:r>
      <w:r>
        <w:rPr>
          <w:rFonts w:hint="eastAsia"/>
          <w:szCs w:val="28"/>
        </w:rPr>
        <w:t>局部超过30°</w:t>
      </w:r>
      <w:r>
        <w:rPr>
          <w:rFonts w:hint="eastAsia"/>
          <w:szCs w:val="28"/>
          <w:lang w:eastAsia="zh-CN"/>
        </w:rPr>
        <w:t>，</w:t>
      </w:r>
      <w:r>
        <w:rPr>
          <w:rFonts w:hint="eastAsia"/>
          <w:szCs w:val="28"/>
        </w:rPr>
        <w:t>坡面</w:t>
      </w:r>
      <w:r>
        <w:rPr>
          <w:szCs w:val="28"/>
        </w:rPr>
        <w:t>植被发育，</w:t>
      </w:r>
      <w:r>
        <w:rPr>
          <w:rFonts w:hint="eastAsia"/>
          <w:szCs w:val="28"/>
        </w:rPr>
        <w:t>以</w:t>
      </w:r>
      <w:r>
        <w:rPr>
          <w:rFonts w:hint="eastAsia"/>
          <w:szCs w:val="28"/>
          <w:lang w:val="en-US" w:eastAsia="zh-CN"/>
        </w:rPr>
        <w:t>毛竹</w:t>
      </w:r>
      <w:r>
        <w:rPr>
          <w:rFonts w:hint="eastAsia"/>
          <w:szCs w:val="28"/>
        </w:rPr>
        <w:t>、杉树</w:t>
      </w:r>
      <w:r>
        <w:rPr>
          <w:szCs w:val="28"/>
        </w:rPr>
        <w:t>为主。</w:t>
      </w:r>
      <w:r>
        <w:rPr>
          <w:rFonts w:hint="eastAsia"/>
          <w:szCs w:val="28"/>
          <w:lang w:val="en-US" w:eastAsia="zh-CN"/>
        </w:rPr>
        <w:t>下部为人工开挖边坡，开挖边坡总高约12m，坡度约60～80°，坡面裸露，以坡积黏性土及全风化粉砂岩为主，DC6出露岩土体为②坡积黏性土厚约2m，③全风化粉砂岩厚约10m。开挖为多级边坡，其中：31号宅后段为4级坡，平台宽度约0.5～0.8m，坡墙距约2.6m，坡顶标高约177.16m处有一条水泥台阶小路；32号宅后段为三级坡，平台宽度约1.3～2.0m，坡墙距约1.2m；33号宅后段为3级坡，平台宽度约0.9～1.6m，坡墙距约0.6m，西侧坡顶处有一水泥台阶小路。</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4"/>
        <w:gridCol w:w="5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4" w:type="dxa"/>
            <w:tcBorders>
              <w:top w:val="nil"/>
              <w:left w:val="nil"/>
              <w:bottom w:val="nil"/>
              <w:right w:val="nil"/>
            </w:tcBorders>
          </w:tcPr>
          <w:p>
            <w:pPr>
              <w:bidi w:val="0"/>
              <w:rPr>
                <w:rFonts w:hint="eastAsia"/>
                <w:vertAlign w:val="baseline"/>
                <w:lang w:val="en-US" w:eastAsia="zh-CN"/>
              </w:rPr>
            </w:pPr>
            <w:r>
              <w:rPr>
                <w:rFonts w:hint="eastAsia"/>
                <w:vertAlign w:val="baseline"/>
                <w:lang w:val="en-US" w:eastAsia="zh-CN"/>
              </w:rPr>
              <w:drawing>
                <wp:inline distT="0" distB="0" distL="114300" distR="114300">
                  <wp:extent cx="3144520" cy="2360295"/>
                  <wp:effectExtent l="0" t="0" r="10160" b="1905"/>
                  <wp:docPr id="4" name="图片 4" descr="IMG_6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6001"/>
                          <pic:cNvPicPr>
                            <a:picLocks noChangeAspect="1"/>
                          </pic:cNvPicPr>
                        </pic:nvPicPr>
                        <pic:blipFill>
                          <a:blip r:embed="rId20"/>
                          <a:stretch>
                            <a:fillRect/>
                          </a:stretch>
                        </pic:blipFill>
                        <pic:spPr>
                          <a:xfrm>
                            <a:off x="0" y="0"/>
                            <a:ext cx="3144520" cy="2360295"/>
                          </a:xfrm>
                          <a:prstGeom prst="rect">
                            <a:avLst/>
                          </a:prstGeom>
                        </pic:spPr>
                      </pic:pic>
                    </a:graphicData>
                  </a:graphic>
                </wp:inline>
              </w:drawing>
            </w:r>
          </w:p>
        </w:tc>
        <w:tc>
          <w:tcPr>
            <w:tcW w:w="5200" w:type="dxa"/>
            <w:tcBorders>
              <w:top w:val="nil"/>
              <w:left w:val="nil"/>
              <w:bottom w:val="nil"/>
              <w:right w:val="nil"/>
            </w:tcBorders>
          </w:tcPr>
          <w:p>
            <w:pPr>
              <w:bidi w:val="0"/>
              <w:jc w:val="left"/>
              <w:rPr>
                <w:rFonts w:hint="eastAsia"/>
                <w:vertAlign w:val="baseline"/>
                <w:lang w:val="en-US" w:eastAsia="zh-CN"/>
              </w:rPr>
            </w:pPr>
            <w:r>
              <w:rPr>
                <w:sz w:val="28"/>
              </w:rPr>
              <mc:AlternateContent>
                <mc:Choice Requires="wps">
                  <w:drawing>
                    <wp:anchor distT="0" distB="0" distL="114300" distR="114300" simplePos="0" relativeHeight="251666432" behindDoc="0" locked="0" layoutInCell="1" allowOverlap="1">
                      <wp:simplePos x="0" y="0"/>
                      <wp:positionH relativeFrom="column">
                        <wp:posOffset>1854200</wp:posOffset>
                      </wp:positionH>
                      <wp:positionV relativeFrom="paragraph">
                        <wp:posOffset>1631950</wp:posOffset>
                      </wp:positionV>
                      <wp:extent cx="669290" cy="38735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669290" cy="387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b/>
                                      <w:bCs/>
                                      <w:color w:val="FF0000"/>
                                      <w:sz w:val="32"/>
                                      <w:szCs w:val="32"/>
                                      <w:lang w:val="en-US" w:eastAsia="zh-CN"/>
                                    </w:rPr>
                                  </w:pPr>
                                  <w:r>
                                    <w:rPr>
                                      <w:rFonts w:hint="eastAsia" w:ascii="黑体" w:hAnsi="黑体" w:eastAsia="黑体" w:cs="黑体"/>
                                      <w:b/>
                                      <w:bCs/>
                                      <w:color w:val="FF0000"/>
                                      <w:sz w:val="32"/>
                                      <w:szCs w:val="32"/>
                                      <w:lang w:val="en-US" w:eastAsia="zh-CN"/>
                                    </w:rPr>
                                    <w:t>31号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pt;margin-top:128.5pt;height:30.5pt;width:52.7pt;z-index:251666432;mso-width-relative:page;mso-height-relative:page;" filled="f" stroked="f" coordsize="21600,21600" o:gfxdata="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SLsFHbAAAACwEAAA8AAAAAAAAAAQAgAAAAIgAAAGRycy9k&#10;b3ducmV2LnhtbFBLAQIUABQAAAAIAIdO4kDfnFQMOAIAAGcEAAAOAAAAAAAAAAEAIAAAACoBAABk&#10;cnMvZTJvRG9jLnhtbFBLBQYAAAAABgAGAFkBAADUBQAAAAA=&#10;">
                      <v:fill on="f" focussize="0,0"/>
                      <v:stroke on="f" weight="0.5pt"/>
                      <v:imagedata o:title=""/>
                      <o:lock v:ext="edit" aspectratio="f"/>
                      <v:textbox>
                        <w:txbxContent>
                          <w:p>
                            <w:pPr>
                              <w:rPr>
                                <w:rFonts w:hint="eastAsia" w:ascii="黑体" w:hAnsi="黑体" w:eastAsia="黑体" w:cs="黑体"/>
                                <w:b/>
                                <w:bCs/>
                                <w:color w:val="FF0000"/>
                                <w:sz w:val="32"/>
                                <w:szCs w:val="32"/>
                                <w:lang w:val="en-US" w:eastAsia="zh-CN"/>
                              </w:rPr>
                            </w:pPr>
                            <w:r>
                              <w:rPr>
                                <w:rFonts w:hint="eastAsia" w:ascii="黑体" w:hAnsi="黑体" w:eastAsia="黑体" w:cs="黑体"/>
                                <w:b/>
                                <w:bCs/>
                                <w:color w:val="FF0000"/>
                                <w:sz w:val="32"/>
                                <w:szCs w:val="32"/>
                                <w:lang w:val="en-US" w:eastAsia="zh-CN"/>
                              </w:rPr>
                              <w:t>31号</w:t>
                            </w:r>
                          </w:p>
                        </w:txbxContent>
                      </v:textbox>
                    </v:shape>
                  </w:pict>
                </mc:Fallback>
              </mc:AlternateContent>
            </w:r>
            <w:r>
              <w:rPr>
                <w:rFonts w:hint="eastAsia"/>
                <w:vertAlign w:val="baseline"/>
                <w:lang w:val="en-US" w:eastAsia="zh-CN"/>
              </w:rPr>
              <w:drawing>
                <wp:inline distT="0" distB="0" distL="114300" distR="114300">
                  <wp:extent cx="3298190" cy="2345690"/>
                  <wp:effectExtent l="0" t="0" r="8890" b="1270"/>
                  <wp:docPr id="6" name="图片 6" descr="DJI_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JI_0044"/>
                          <pic:cNvPicPr>
                            <a:picLocks noChangeAspect="1"/>
                          </pic:cNvPicPr>
                        </pic:nvPicPr>
                        <pic:blipFill>
                          <a:blip r:embed="rId21"/>
                          <a:srcRect l="23676" t="6885" r="36899" b="51059"/>
                          <a:stretch>
                            <a:fillRect/>
                          </a:stretch>
                        </pic:blipFill>
                        <pic:spPr>
                          <a:xfrm>
                            <a:off x="0" y="0"/>
                            <a:ext cx="3298190" cy="2345690"/>
                          </a:xfrm>
                          <a:prstGeom prst="rect">
                            <a:avLst/>
                          </a:prstGeom>
                        </pic:spPr>
                      </pic:pic>
                    </a:graphicData>
                  </a:graphic>
                </wp:inline>
              </w:drawing>
            </w:r>
            <w:r>
              <w:rPr>
                <w:sz w:val="28"/>
              </w:rPr>
              <mc:AlternateContent>
                <mc:Choice Requires="wps">
                  <w:drawing>
                    <wp:anchor distT="0" distB="0" distL="114300" distR="114300" simplePos="0" relativeHeight="251665408" behindDoc="0" locked="0" layoutInCell="1" allowOverlap="1">
                      <wp:simplePos x="0" y="0"/>
                      <wp:positionH relativeFrom="column">
                        <wp:posOffset>1092200</wp:posOffset>
                      </wp:positionH>
                      <wp:positionV relativeFrom="paragraph">
                        <wp:posOffset>1379855</wp:posOffset>
                      </wp:positionV>
                      <wp:extent cx="669290" cy="387350"/>
                      <wp:effectExtent l="0" t="0" r="0" b="0"/>
                      <wp:wrapNone/>
                      <wp:docPr id="9" name="文本框 9"/>
                      <wp:cNvGraphicFramePr/>
                      <a:graphic xmlns:a="http://schemas.openxmlformats.org/drawingml/2006/main">
                        <a:graphicData uri="http://schemas.microsoft.com/office/word/2010/wordprocessingShape">
                          <wps:wsp>
                            <wps:cNvSpPr txBox="1"/>
                            <wps:spPr>
                              <a:xfrm>
                                <a:off x="0" y="0"/>
                                <a:ext cx="669290" cy="387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b/>
                                      <w:bCs/>
                                      <w:color w:val="FF0000"/>
                                      <w:sz w:val="32"/>
                                      <w:szCs w:val="32"/>
                                      <w:lang w:val="en-US" w:eastAsia="zh-CN"/>
                                    </w:rPr>
                                  </w:pPr>
                                  <w:r>
                                    <w:rPr>
                                      <w:rFonts w:hint="eastAsia" w:ascii="黑体" w:hAnsi="黑体" w:eastAsia="黑体" w:cs="黑体"/>
                                      <w:b/>
                                      <w:bCs/>
                                      <w:color w:val="FF0000"/>
                                      <w:sz w:val="32"/>
                                      <w:szCs w:val="32"/>
                                      <w:lang w:val="en-US" w:eastAsia="zh-CN"/>
                                    </w:rPr>
                                    <w:t>32号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pt;margin-top:108.65pt;height:30.5pt;width:52.7pt;z-index:251665408;mso-width-relative:page;mso-height-relative:page;" filled="f" stroked="f" coordsize="21600,21600" o:gfxdata="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jutfm2wAAAAsBAAAPAAAAAAAAAAEAIAAAACIAAABkcnMv&#10;ZG93bnJldi54bWxQSwECFAAUAAAACACHTuJACN7g1DkCAABlBAAADgAAAAAAAAABACAAAAAqAQAA&#10;ZHJzL2Uyb0RvYy54bWxQSwUGAAAAAAYABgBZAQAA1QUAAAAA&#10;">
                      <v:fill on="f" focussize="0,0"/>
                      <v:stroke on="f" weight="0.5pt"/>
                      <v:imagedata o:title=""/>
                      <o:lock v:ext="edit" aspectratio="f"/>
                      <v:textbox>
                        <w:txbxContent>
                          <w:p>
                            <w:pPr>
                              <w:rPr>
                                <w:rFonts w:hint="eastAsia" w:ascii="黑体" w:hAnsi="黑体" w:eastAsia="黑体" w:cs="黑体"/>
                                <w:b/>
                                <w:bCs/>
                                <w:color w:val="FF0000"/>
                                <w:sz w:val="32"/>
                                <w:szCs w:val="32"/>
                                <w:lang w:val="en-US" w:eastAsia="zh-CN"/>
                              </w:rPr>
                            </w:pPr>
                            <w:r>
                              <w:rPr>
                                <w:rFonts w:hint="eastAsia" w:ascii="黑体" w:hAnsi="黑体" w:eastAsia="黑体" w:cs="黑体"/>
                                <w:b/>
                                <w:bCs/>
                                <w:color w:val="FF0000"/>
                                <w:sz w:val="32"/>
                                <w:szCs w:val="32"/>
                                <w:lang w:val="en-US" w:eastAsia="zh-CN"/>
                              </w:rPr>
                              <w:t>32号</w:t>
                            </w:r>
                          </w:p>
                        </w:txbxContent>
                      </v:textbox>
                    </v:shape>
                  </w:pict>
                </mc:Fallback>
              </mc:AlternateContent>
            </w:r>
            <w:r>
              <w:rPr>
                <w:sz w:val="28"/>
              </w:rPr>
              <mc:AlternateContent>
                <mc:Choice Requires="wps">
                  <w:drawing>
                    <wp:anchor distT="0" distB="0" distL="114300" distR="114300" simplePos="0" relativeHeight="251664384" behindDoc="0" locked="0" layoutInCell="1" allowOverlap="1">
                      <wp:simplePos x="0" y="0"/>
                      <wp:positionH relativeFrom="column">
                        <wp:posOffset>323850</wp:posOffset>
                      </wp:positionH>
                      <wp:positionV relativeFrom="paragraph">
                        <wp:posOffset>962025</wp:posOffset>
                      </wp:positionV>
                      <wp:extent cx="669290" cy="387350"/>
                      <wp:effectExtent l="0" t="0" r="0" b="0"/>
                      <wp:wrapNone/>
                      <wp:docPr id="7" name="文本框 7"/>
                      <wp:cNvGraphicFramePr/>
                      <a:graphic xmlns:a="http://schemas.openxmlformats.org/drawingml/2006/main">
                        <a:graphicData uri="http://schemas.microsoft.com/office/word/2010/wordprocessingShape">
                          <wps:wsp>
                            <wps:cNvSpPr txBox="1"/>
                            <wps:spPr>
                              <a:xfrm>
                                <a:off x="11374120" y="7578725"/>
                                <a:ext cx="669290" cy="387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b/>
                                      <w:bCs/>
                                      <w:color w:val="FF0000"/>
                                      <w:sz w:val="32"/>
                                      <w:szCs w:val="32"/>
                                      <w:lang w:val="en-US" w:eastAsia="zh-CN"/>
                                    </w:rPr>
                                  </w:pPr>
                                  <w:r>
                                    <w:rPr>
                                      <w:rFonts w:hint="eastAsia" w:ascii="黑体" w:hAnsi="黑体" w:eastAsia="黑体" w:cs="黑体"/>
                                      <w:b/>
                                      <w:bCs/>
                                      <w:color w:val="FF0000"/>
                                      <w:sz w:val="32"/>
                                      <w:szCs w:val="32"/>
                                      <w:lang w:val="en-US" w:eastAsia="zh-CN"/>
                                    </w:rPr>
                                    <w:t>33号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5pt;margin-top:75.75pt;height:30.5pt;width:52.7pt;z-index:251664384;mso-width-relative:page;mso-height-relative:page;" filled="f" stroked="f" coordsize="21600,21600" o:gfxdata="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Zt9Rd2gAAAAoBAAAPAAAAAAAAAAEA&#10;IAAAACIAAABkcnMvZG93bnJldi54bWxQSwECFAAUAAAACACHTuJAOmF/UUYCAAByBAAADgAAAAAA&#10;AAABACAAAAApAQAAZHJzL2Uyb0RvYy54bWxQSwUGAAAAAAYABgBZAQAA4QUAAAAA&#10;">
                      <v:fill on="f" focussize="0,0"/>
                      <v:stroke on="f" weight="0.5pt"/>
                      <v:imagedata o:title=""/>
                      <o:lock v:ext="edit" aspectratio="f"/>
                      <v:textbox>
                        <w:txbxContent>
                          <w:p>
                            <w:pPr>
                              <w:rPr>
                                <w:rFonts w:hint="eastAsia" w:ascii="黑体" w:hAnsi="黑体" w:eastAsia="黑体" w:cs="黑体"/>
                                <w:b/>
                                <w:bCs/>
                                <w:color w:val="FF0000"/>
                                <w:sz w:val="32"/>
                                <w:szCs w:val="32"/>
                                <w:lang w:val="en-US" w:eastAsia="zh-CN"/>
                              </w:rPr>
                            </w:pPr>
                            <w:r>
                              <w:rPr>
                                <w:rFonts w:hint="eastAsia" w:ascii="黑体" w:hAnsi="黑体" w:eastAsia="黑体" w:cs="黑体"/>
                                <w:b/>
                                <w:bCs/>
                                <w:color w:val="FF0000"/>
                                <w:sz w:val="32"/>
                                <w:szCs w:val="32"/>
                                <w:lang w:val="en-US" w:eastAsia="zh-CN"/>
                              </w:rPr>
                              <w:t>33号</w:t>
                            </w:r>
                          </w:p>
                        </w:txbxContent>
                      </v:textbox>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4" w:type="dxa"/>
            <w:tcBorders>
              <w:top w:val="nil"/>
              <w:left w:val="nil"/>
              <w:bottom w:val="nil"/>
              <w:right w:val="nil"/>
            </w:tcBorders>
          </w:tcPr>
          <w:p>
            <w:pPr>
              <w:pStyle w:val="6"/>
              <w:jc w:val="center"/>
              <w:rPr>
                <w:rFonts w:hint="default" w:eastAsia="黑体"/>
                <w:vertAlign w:val="baseline"/>
                <w:lang w:val="en-US" w:eastAsia="zh-CN"/>
              </w:rPr>
            </w:pPr>
            <w:r>
              <w:rPr>
                <w:rFonts w:hint="default" w:ascii="Times New Roman" w:hAnsi="Times New Roman" w:eastAsia="宋体" w:cs="Times New Roman"/>
                <w:sz w:val="24"/>
                <w:szCs w:val="24"/>
              </w:rPr>
              <w:t xml:space="preserve">图 </w:t>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STYLEREF 2 \s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6  31、32、33号宅后开挖边坡</w:t>
            </w:r>
          </w:p>
        </w:tc>
        <w:tc>
          <w:tcPr>
            <w:tcW w:w="5200" w:type="dxa"/>
            <w:tcBorders>
              <w:top w:val="nil"/>
              <w:left w:val="nil"/>
              <w:bottom w:val="nil"/>
              <w:right w:val="nil"/>
            </w:tcBorders>
          </w:tcPr>
          <w:p>
            <w:pPr>
              <w:pStyle w:val="6"/>
              <w:jc w:val="center"/>
              <w:rPr>
                <w:rFonts w:hint="default"/>
                <w:vertAlign w:val="baseline"/>
                <w:lang w:val="en-US" w:eastAsia="zh-CN"/>
              </w:rPr>
            </w:pPr>
            <w:r>
              <w:rPr>
                <w:rFonts w:hint="default" w:ascii="Times New Roman" w:hAnsi="Times New Roman" w:eastAsia="宋体" w:cs="Times New Roman"/>
                <w:sz w:val="24"/>
                <w:szCs w:val="24"/>
              </w:rPr>
              <w:t xml:space="preserve">图 </w:t>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STYLEREF 2 \s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7  31、32、33号宅后开挖边坡航拍照片</w:t>
            </w:r>
          </w:p>
        </w:tc>
      </w:tr>
    </w:tbl>
    <w:p>
      <w:pPr>
        <w:bidi w:val="0"/>
        <w:rPr>
          <w:rFonts w:hint="eastAsia"/>
          <w:lang w:val="en-US" w:eastAsia="zh-CN"/>
        </w:rPr>
      </w:pPr>
    </w:p>
    <w:p>
      <w:pPr>
        <w:pStyle w:val="2"/>
        <w:numPr>
          <w:ilvl w:val="1"/>
          <w:numId w:val="2"/>
        </w:numPr>
      </w:pPr>
      <w:r>
        <w:t>崩塌灾害演变历史</w:t>
      </w:r>
      <w:bookmarkEnd w:id="16"/>
      <w:bookmarkEnd w:id="17"/>
    </w:p>
    <w:p>
      <w:pPr>
        <w:tabs>
          <w:tab w:val="left" w:pos="3360"/>
        </w:tabs>
        <w:ind w:firstLine="560" w:firstLineChars="200"/>
        <w:rPr>
          <w:bCs/>
        </w:rPr>
      </w:pPr>
      <w:r>
        <w:rPr>
          <w:bCs/>
        </w:rPr>
        <w:t>据访问了解</w:t>
      </w:r>
      <w:r>
        <w:rPr>
          <w:bCs/>
          <w:color w:val="auto"/>
        </w:rPr>
        <w:t>，</w:t>
      </w:r>
      <w:r>
        <w:rPr>
          <w:rFonts w:hint="eastAsia"/>
          <w:bCs/>
          <w:color w:val="auto"/>
          <w:lang w:val="en-US" w:eastAsia="zh-CN"/>
        </w:rPr>
        <w:t>28号、</w:t>
      </w:r>
      <w:r>
        <w:rPr>
          <w:rFonts w:hint="eastAsia"/>
          <w:bCs/>
          <w:color w:val="auto"/>
        </w:rPr>
        <w:t>31号、32号及33号于1988年建房</w:t>
      </w:r>
      <w:r>
        <w:rPr>
          <w:rFonts w:hint="eastAsia"/>
          <w:bCs/>
        </w:rPr>
        <w:t>，对山体进行开挖及堆填整平。2006年5～6月强降雨期间发生崩塌</w:t>
      </w:r>
      <w:r>
        <w:rPr>
          <w:rFonts w:hint="eastAsia"/>
          <w:bCs/>
          <w:lang w:eastAsia="zh-CN"/>
        </w:rPr>
        <w:t>（</w:t>
      </w:r>
      <w:r>
        <w:rPr>
          <w:rFonts w:hint="eastAsia"/>
          <w:bCs/>
          <w:lang w:val="en-US" w:eastAsia="zh-CN"/>
        </w:rPr>
        <w:t>BT1处</w:t>
      </w:r>
      <w:r>
        <w:rPr>
          <w:rFonts w:hint="eastAsia"/>
          <w:bCs/>
          <w:lang w:eastAsia="zh-CN"/>
        </w:rPr>
        <w:t>）</w:t>
      </w:r>
      <w:r>
        <w:rPr>
          <w:rFonts w:hint="eastAsia"/>
          <w:bCs/>
        </w:rPr>
        <w:t>，方量约1000m</w:t>
      </w:r>
      <w:r>
        <w:rPr>
          <w:rFonts w:hint="eastAsia"/>
          <w:bCs/>
          <w:vertAlign w:val="superscript"/>
        </w:rPr>
        <w:t>3</w:t>
      </w:r>
      <w:r>
        <w:rPr>
          <w:rFonts w:hint="eastAsia"/>
          <w:bCs/>
        </w:rPr>
        <w:t>。发生崩塌后于2006年底在第二级人工开挖边坡坡脚处修建干砌块石护面墙，护面墙高约2～3m，厚0.5m，基础埋深0.5m。20-1号、20-2号于2007年建房，为混凝土结构，采用</w:t>
      </w:r>
      <w:r>
        <w:rPr>
          <w:rFonts w:hint="eastAsia"/>
          <w:bCs/>
          <w:lang w:eastAsia="zh-CN"/>
        </w:rPr>
        <w:t>条形基础</w:t>
      </w:r>
      <w:r>
        <w:rPr>
          <w:rFonts w:hint="eastAsia"/>
          <w:bCs/>
        </w:rPr>
        <w:t>。同年在第一级填土边坡处修建干砌块石护面墙进行支护，护面墙高约2m，厚0.5m，基础埋深0.5m。</w:t>
      </w:r>
    </w:p>
    <w:p>
      <w:pPr>
        <w:tabs>
          <w:tab w:val="left" w:pos="3360"/>
        </w:tabs>
        <w:ind w:firstLine="560" w:firstLineChars="200"/>
        <w:rPr>
          <w:bCs/>
        </w:rPr>
      </w:pPr>
      <w:r>
        <w:rPr>
          <w:rFonts w:hint="eastAsia"/>
          <w:bCs/>
        </w:rPr>
        <w:t>2022年6月13日，在持续强降雨的影响下再次发生崩塌（BT1</w:t>
      </w:r>
      <w:r>
        <w:rPr>
          <w:rFonts w:hint="eastAsia"/>
          <w:bCs/>
          <w:lang w:val="en-US" w:eastAsia="zh-CN"/>
        </w:rPr>
        <w:t>处</w:t>
      </w:r>
      <w:r>
        <w:rPr>
          <w:rFonts w:hint="eastAsia"/>
          <w:bCs/>
        </w:rPr>
        <w:t>），崩塌方量约1000m</w:t>
      </w:r>
      <w:r>
        <w:rPr>
          <w:rFonts w:hint="eastAsia"/>
          <w:bCs/>
          <w:vertAlign w:val="superscript"/>
        </w:rPr>
        <w:t>3</w:t>
      </w:r>
      <w:r>
        <w:rPr>
          <w:rFonts w:hint="eastAsia"/>
          <w:bCs/>
        </w:rPr>
        <w:t>。崩塌导致上部及坡脚护面墙损毁，坡顶</w:t>
      </w:r>
      <w:r>
        <w:rPr>
          <w:rFonts w:hint="eastAsia"/>
          <w:bCs/>
          <w:lang w:val="en-US" w:eastAsia="zh-CN"/>
        </w:rPr>
        <w:t>8号、</w:t>
      </w:r>
      <w:r>
        <w:rPr>
          <w:rFonts w:hint="eastAsia"/>
          <w:bCs/>
        </w:rPr>
        <w:t>31号、32号院子地面大部垮塌悬空，</w:t>
      </w:r>
      <w:r>
        <w:rPr>
          <w:rFonts w:hint="eastAsia"/>
          <w:szCs w:val="28"/>
        </w:rPr>
        <w:t>垮塌范围东起</w:t>
      </w:r>
      <w:r>
        <w:rPr>
          <w:rFonts w:hint="eastAsia"/>
          <w:szCs w:val="28"/>
          <w:lang w:val="en-US" w:eastAsia="zh-CN"/>
        </w:rPr>
        <w:t>28</w:t>
      </w:r>
      <w:r>
        <w:rPr>
          <w:rFonts w:hint="eastAsia"/>
          <w:szCs w:val="28"/>
        </w:rPr>
        <w:t>号</w:t>
      </w:r>
      <w:r>
        <w:rPr>
          <w:rFonts w:hint="eastAsia"/>
          <w:szCs w:val="28"/>
          <w:lang w:val="en-US" w:eastAsia="zh-CN"/>
        </w:rPr>
        <w:t>宅前院子西侧</w:t>
      </w:r>
      <w:r>
        <w:rPr>
          <w:rFonts w:hint="eastAsia"/>
          <w:szCs w:val="28"/>
        </w:rPr>
        <w:t>，西至32号宅前院子东侧，</w:t>
      </w:r>
      <w:r>
        <w:rPr>
          <w:rFonts w:hint="eastAsia"/>
          <w:bCs/>
        </w:rPr>
        <w:t>院内地面及31号房屋墙体见裂缝。坡脚20-1号、20-2号后墙受损破裂。勘查期间崩积体未进行清理。</w:t>
      </w:r>
    </w:p>
    <w:p>
      <w:pPr>
        <w:spacing w:line="520" w:lineRule="exact"/>
        <w:ind w:firstLine="482" w:firstLineChars="200"/>
        <w:jc w:val="center"/>
        <w:rPr>
          <w:b/>
          <w:sz w:val="24"/>
          <w:szCs w:val="24"/>
        </w:rPr>
      </w:pPr>
      <w:r>
        <w:rPr>
          <w:b/>
          <w:color w:val="000000"/>
          <w:sz w:val="24"/>
          <w:szCs w:val="24"/>
        </w:rPr>
        <w:t>各崩塌灾害的形态特征一览表：</w:t>
      </w:r>
    </w:p>
    <w:tbl>
      <w:tblPr>
        <w:tblStyle w:val="14"/>
        <w:tblW w:w="102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1253"/>
        <w:gridCol w:w="720"/>
        <w:gridCol w:w="2388"/>
        <w:gridCol w:w="2332"/>
        <w:gridCol w:w="1229"/>
        <w:gridCol w:w="1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blHeader/>
        </w:trPr>
        <w:tc>
          <w:tcPr>
            <w:tcW w:w="776" w:type="dxa"/>
            <w:vAlign w:val="center"/>
          </w:tcPr>
          <w:p>
            <w:pPr>
              <w:spacing w:line="280" w:lineRule="exact"/>
              <w:jc w:val="center"/>
              <w:rPr>
                <w:rFonts w:ascii="宋体" w:hAnsi="宋体"/>
                <w:sz w:val="24"/>
                <w:szCs w:val="24"/>
              </w:rPr>
            </w:pPr>
            <w:r>
              <w:rPr>
                <w:rFonts w:ascii="宋体" w:hAnsi="宋体"/>
                <w:sz w:val="24"/>
                <w:szCs w:val="24"/>
              </w:rPr>
              <w:t>编号</w:t>
            </w:r>
          </w:p>
        </w:tc>
        <w:tc>
          <w:tcPr>
            <w:tcW w:w="1253" w:type="dxa"/>
            <w:vAlign w:val="center"/>
          </w:tcPr>
          <w:p>
            <w:pPr>
              <w:spacing w:line="280" w:lineRule="exact"/>
              <w:jc w:val="center"/>
              <w:rPr>
                <w:rFonts w:ascii="宋体" w:hAnsi="宋体"/>
                <w:sz w:val="24"/>
                <w:szCs w:val="24"/>
              </w:rPr>
            </w:pPr>
            <w:r>
              <w:rPr>
                <w:rFonts w:ascii="宋体" w:hAnsi="宋体"/>
                <w:sz w:val="24"/>
                <w:szCs w:val="24"/>
              </w:rPr>
              <w:t>位置</w:t>
            </w:r>
          </w:p>
        </w:tc>
        <w:tc>
          <w:tcPr>
            <w:tcW w:w="720" w:type="dxa"/>
            <w:vAlign w:val="center"/>
          </w:tcPr>
          <w:p>
            <w:pPr>
              <w:spacing w:line="280" w:lineRule="exact"/>
              <w:jc w:val="center"/>
              <w:rPr>
                <w:rFonts w:ascii="宋体" w:hAnsi="宋体"/>
                <w:sz w:val="24"/>
                <w:szCs w:val="24"/>
              </w:rPr>
            </w:pPr>
            <w:r>
              <w:rPr>
                <w:rFonts w:ascii="宋体" w:hAnsi="宋体"/>
                <w:sz w:val="24"/>
                <w:szCs w:val="24"/>
              </w:rPr>
              <w:t>时间</w:t>
            </w:r>
          </w:p>
        </w:tc>
        <w:tc>
          <w:tcPr>
            <w:tcW w:w="2388" w:type="dxa"/>
            <w:vAlign w:val="center"/>
          </w:tcPr>
          <w:p>
            <w:pPr>
              <w:spacing w:line="280" w:lineRule="exact"/>
              <w:jc w:val="center"/>
              <w:rPr>
                <w:rFonts w:ascii="宋体" w:hAnsi="宋体"/>
                <w:sz w:val="24"/>
                <w:szCs w:val="24"/>
              </w:rPr>
            </w:pPr>
            <w:r>
              <w:rPr>
                <w:rFonts w:ascii="宋体" w:hAnsi="宋体"/>
                <w:sz w:val="24"/>
                <w:szCs w:val="24"/>
              </w:rPr>
              <w:t>成因分析</w:t>
            </w:r>
          </w:p>
        </w:tc>
        <w:tc>
          <w:tcPr>
            <w:tcW w:w="2332" w:type="dxa"/>
            <w:vAlign w:val="center"/>
          </w:tcPr>
          <w:p>
            <w:pPr>
              <w:spacing w:line="280" w:lineRule="exact"/>
              <w:jc w:val="center"/>
              <w:rPr>
                <w:rFonts w:ascii="宋体" w:hAnsi="宋体"/>
                <w:sz w:val="24"/>
                <w:szCs w:val="24"/>
              </w:rPr>
            </w:pPr>
            <w:r>
              <w:rPr>
                <w:rFonts w:ascii="宋体" w:hAnsi="宋体"/>
                <w:sz w:val="24"/>
                <w:szCs w:val="24"/>
              </w:rPr>
              <w:t>规模</w:t>
            </w:r>
          </w:p>
        </w:tc>
        <w:tc>
          <w:tcPr>
            <w:tcW w:w="1229" w:type="dxa"/>
            <w:vAlign w:val="center"/>
          </w:tcPr>
          <w:p>
            <w:pPr>
              <w:spacing w:line="280" w:lineRule="exact"/>
              <w:jc w:val="center"/>
              <w:rPr>
                <w:rFonts w:ascii="宋体" w:hAnsi="宋体"/>
                <w:sz w:val="24"/>
                <w:szCs w:val="24"/>
              </w:rPr>
            </w:pPr>
            <w:r>
              <w:rPr>
                <w:rFonts w:hint="eastAsia" w:ascii="宋体" w:hAnsi="宋体"/>
                <w:sz w:val="24"/>
                <w:szCs w:val="24"/>
              </w:rPr>
              <w:t>物质组成</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发展趋势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776" w:type="dxa"/>
            <w:vMerge w:val="restart"/>
            <w:vAlign w:val="center"/>
          </w:tcPr>
          <w:p>
            <w:pPr>
              <w:spacing w:line="280" w:lineRule="exact"/>
              <w:jc w:val="center"/>
              <w:rPr>
                <w:rFonts w:ascii="宋体" w:hAnsi="宋体"/>
                <w:sz w:val="24"/>
                <w:szCs w:val="24"/>
              </w:rPr>
            </w:pPr>
            <w:r>
              <w:rPr>
                <w:rFonts w:ascii="宋体" w:hAnsi="宋体"/>
                <w:sz w:val="24"/>
                <w:szCs w:val="24"/>
              </w:rPr>
              <w:t>BT1</w:t>
            </w:r>
          </w:p>
        </w:tc>
        <w:tc>
          <w:tcPr>
            <w:tcW w:w="1253" w:type="dxa"/>
            <w:vMerge w:val="restart"/>
            <w:vAlign w:val="center"/>
          </w:tcPr>
          <w:p>
            <w:pPr>
              <w:spacing w:line="280" w:lineRule="exact"/>
              <w:jc w:val="center"/>
              <w:rPr>
                <w:rFonts w:ascii="宋体" w:hAnsi="宋体"/>
                <w:sz w:val="24"/>
                <w:szCs w:val="24"/>
              </w:rPr>
            </w:pPr>
            <w:r>
              <w:rPr>
                <w:rFonts w:hint="eastAsia" w:ascii="宋体" w:hAnsi="宋体"/>
                <w:sz w:val="24"/>
                <w:szCs w:val="24"/>
                <w:lang w:val="en-US" w:eastAsia="zh-CN"/>
              </w:rPr>
              <w:t>28、</w:t>
            </w:r>
            <w:r>
              <w:rPr>
                <w:rFonts w:hint="eastAsia" w:ascii="宋体" w:hAnsi="宋体"/>
                <w:sz w:val="24"/>
                <w:szCs w:val="24"/>
              </w:rPr>
              <w:t>31、32号宅前</w:t>
            </w:r>
          </w:p>
          <w:p>
            <w:pPr>
              <w:spacing w:line="280" w:lineRule="exact"/>
              <w:jc w:val="center"/>
              <w:rPr>
                <w:rFonts w:hint="default" w:ascii="宋体" w:hAnsi="宋体" w:eastAsia="宋体"/>
                <w:sz w:val="24"/>
                <w:szCs w:val="24"/>
                <w:lang w:val="en-US" w:eastAsia="zh-CN"/>
              </w:rPr>
            </w:pPr>
            <w:r>
              <w:rPr>
                <w:rFonts w:hint="eastAsia" w:ascii="宋体" w:hAnsi="宋体"/>
                <w:sz w:val="24"/>
                <w:szCs w:val="24"/>
                <w:lang w:val="en-US" w:eastAsia="zh-CN"/>
              </w:rPr>
              <w:t>边坡中上部</w:t>
            </w: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2006年5-6月</w:t>
            </w:r>
          </w:p>
        </w:tc>
        <w:tc>
          <w:tcPr>
            <w:tcW w:w="2388" w:type="dxa"/>
            <w:vAlign w:val="center"/>
          </w:tcPr>
          <w:p>
            <w:pPr>
              <w:spacing w:line="280" w:lineRule="exact"/>
              <w:rPr>
                <w:rFonts w:ascii="宋体" w:hAnsi="宋体"/>
                <w:sz w:val="24"/>
                <w:szCs w:val="24"/>
              </w:rPr>
            </w:pPr>
            <w:r>
              <w:rPr>
                <w:rFonts w:hint="eastAsia" w:ascii="宋体" w:hAnsi="宋体"/>
                <w:sz w:val="24"/>
                <w:szCs w:val="24"/>
              </w:rPr>
              <w:t>人工开挖形成高陡边坡，日常居民污水排泄对坡面造成冲刷，</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2332" w:type="dxa"/>
            <w:vAlign w:val="center"/>
          </w:tcPr>
          <w:p>
            <w:pPr>
              <w:spacing w:line="280" w:lineRule="exact"/>
              <w:jc w:val="center"/>
              <w:rPr>
                <w:rFonts w:ascii="宋体" w:hAnsi="宋体"/>
                <w:sz w:val="24"/>
                <w:szCs w:val="24"/>
              </w:rPr>
            </w:pPr>
            <w:r>
              <w:rPr>
                <w:rFonts w:ascii="宋体" w:hAnsi="宋体"/>
                <w:sz w:val="24"/>
                <w:szCs w:val="24"/>
              </w:rPr>
              <w:t>方量</w:t>
            </w:r>
            <w:r>
              <w:rPr>
                <w:rFonts w:hint="eastAsia" w:ascii="宋体" w:hAnsi="宋体"/>
                <w:sz w:val="24"/>
                <w:szCs w:val="24"/>
              </w:rPr>
              <w:t>1000</w:t>
            </w:r>
            <w:r>
              <w:rPr>
                <w:rFonts w:ascii="宋体" w:hAnsi="宋体"/>
                <w:sz w:val="24"/>
                <w:szCs w:val="24"/>
              </w:rPr>
              <w:t>m</w:t>
            </w:r>
            <w:r>
              <w:rPr>
                <w:rFonts w:ascii="宋体" w:hAnsi="宋体"/>
                <w:sz w:val="24"/>
                <w:szCs w:val="24"/>
                <w:vertAlign w:val="superscript"/>
              </w:rPr>
              <w:t>3</w:t>
            </w:r>
          </w:p>
        </w:tc>
        <w:tc>
          <w:tcPr>
            <w:tcW w:w="1229" w:type="dxa"/>
            <w:vAlign w:val="center"/>
          </w:tcPr>
          <w:p>
            <w:pPr>
              <w:spacing w:line="280" w:lineRule="exact"/>
              <w:jc w:val="center"/>
              <w:rPr>
                <w:rFonts w:ascii="宋体" w:hAnsi="宋体"/>
                <w:sz w:val="24"/>
                <w:szCs w:val="24"/>
              </w:rPr>
            </w:pPr>
            <w:r>
              <w:rPr>
                <w:rFonts w:hint="eastAsia" w:ascii="宋体" w:hAnsi="宋体"/>
                <w:sz w:val="24"/>
                <w:szCs w:val="24"/>
                <w:lang w:eastAsia="zh-CN"/>
              </w:rPr>
              <w:t>坡积黏性土</w:t>
            </w:r>
            <w:r>
              <w:rPr>
                <w:rFonts w:hint="eastAsia" w:ascii="宋体" w:hAnsi="宋体"/>
                <w:sz w:val="24"/>
                <w:szCs w:val="24"/>
              </w:rPr>
              <w:t>、全风化粉砂岩</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776" w:type="dxa"/>
            <w:vMerge w:val="continue"/>
            <w:vAlign w:val="center"/>
          </w:tcPr>
          <w:p>
            <w:pPr>
              <w:spacing w:line="280" w:lineRule="exact"/>
              <w:jc w:val="center"/>
              <w:rPr>
                <w:rFonts w:ascii="宋体" w:hAnsi="宋体"/>
                <w:sz w:val="24"/>
                <w:szCs w:val="24"/>
              </w:rPr>
            </w:pPr>
          </w:p>
        </w:tc>
        <w:tc>
          <w:tcPr>
            <w:tcW w:w="1253" w:type="dxa"/>
            <w:vMerge w:val="continue"/>
            <w:vAlign w:val="center"/>
          </w:tcPr>
          <w:p>
            <w:pPr>
              <w:spacing w:line="280" w:lineRule="exact"/>
              <w:jc w:val="center"/>
              <w:rPr>
                <w:rFonts w:ascii="宋体" w:hAnsi="宋体"/>
                <w:sz w:val="24"/>
                <w:szCs w:val="24"/>
              </w:rPr>
            </w:pP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2022.06.13</w:t>
            </w:r>
          </w:p>
        </w:tc>
        <w:tc>
          <w:tcPr>
            <w:tcW w:w="2388" w:type="dxa"/>
            <w:vAlign w:val="center"/>
          </w:tcPr>
          <w:p>
            <w:pPr>
              <w:spacing w:line="280" w:lineRule="exact"/>
              <w:rPr>
                <w:rFonts w:ascii="宋体" w:hAnsi="宋体"/>
                <w:sz w:val="24"/>
                <w:szCs w:val="24"/>
              </w:rPr>
            </w:pPr>
            <w:r>
              <w:rPr>
                <w:rFonts w:hint="eastAsia" w:ascii="宋体" w:hAnsi="宋体"/>
                <w:sz w:val="24"/>
                <w:szCs w:val="24"/>
              </w:rPr>
              <w:t>人工开挖形成高陡边坡，日常居民污水排泄对坡面造成冲刷，</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2332" w:type="dxa"/>
            <w:vAlign w:val="center"/>
          </w:tcPr>
          <w:p>
            <w:pPr>
              <w:spacing w:line="280" w:lineRule="exact"/>
              <w:jc w:val="center"/>
              <w:rPr>
                <w:rFonts w:ascii="宋体" w:hAnsi="宋体"/>
                <w:sz w:val="24"/>
                <w:szCs w:val="24"/>
              </w:rPr>
            </w:pPr>
            <w:r>
              <w:rPr>
                <w:rFonts w:hint="eastAsia" w:ascii="宋体" w:hAnsi="宋体"/>
                <w:sz w:val="24"/>
                <w:szCs w:val="24"/>
              </w:rPr>
              <w:t>方量1000m</w:t>
            </w:r>
            <w:r>
              <w:rPr>
                <w:rFonts w:hint="eastAsia" w:ascii="宋体" w:hAnsi="宋体"/>
                <w:sz w:val="24"/>
                <w:szCs w:val="24"/>
                <w:vertAlign w:val="superscript"/>
              </w:rPr>
              <w:t>3</w:t>
            </w:r>
          </w:p>
        </w:tc>
        <w:tc>
          <w:tcPr>
            <w:tcW w:w="1229" w:type="dxa"/>
            <w:vAlign w:val="center"/>
          </w:tcPr>
          <w:p>
            <w:pPr>
              <w:spacing w:line="280" w:lineRule="exact"/>
              <w:jc w:val="center"/>
              <w:rPr>
                <w:rFonts w:ascii="宋体" w:hAnsi="宋体"/>
                <w:sz w:val="24"/>
                <w:szCs w:val="24"/>
              </w:rPr>
            </w:pPr>
            <w:r>
              <w:rPr>
                <w:rFonts w:hint="eastAsia" w:ascii="宋体" w:hAnsi="宋体"/>
                <w:sz w:val="24"/>
                <w:szCs w:val="24"/>
                <w:lang w:eastAsia="zh-CN"/>
              </w:rPr>
              <w:t>坡积黏性土</w:t>
            </w:r>
            <w:r>
              <w:rPr>
                <w:rFonts w:hint="eastAsia" w:ascii="宋体" w:hAnsi="宋体"/>
                <w:sz w:val="24"/>
                <w:szCs w:val="24"/>
              </w:rPr>
              <w:t>、全风化粉砂岩</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bl>
    <w:p>
      <w:pPr>
        <w:pStyle w:val="2"/>
        <w:numPr>
          <w:ilvl w:val="1"/>
          <w:numId w:val="2"/>
        </w:numPr>
        <w:spacing w:line="240" w:lineRule="auto"/>
      </w:pPr>
      <w:bookmarkStart w:id="18" w:name="_Toc8083"/>
      <w:bookmarkStart w:id="19" w:name="_Toc40709410"/>
      <w:bookmarkStart w:id="20" w:name="_Toc26209"/>
      <w:r>
        <w:t>边坡稳定性评价</w:t>
      </w:r>
      <w:bookmarkEnd w:id="18"/>
      <w:bookmarkEnd w:id="19"/>
    </w:p>
    <w:p>
      <w:pPr>
        <w:tabs>
          <w:tab w:val="left" w:pos="8295"/>
        </w:tabs>
        <w:rPr>
          <w:szCs w:val="28"/>
        </w:rPr>
      </w:pPr>
      <w:r>
        <w:rPr>
          <w:bCs/>
          <w:szCs w:val="28"/>
        </w:rPr>
        <w:t xml:space="preserve">3.3.1 </w:t>
      </w:r>
      <w:r>
        <w:rPr>
          <w:szCs w:val="28"/>
        </w:rPr>
        <w:t>边坡稳定性影响因素</w:t>
      </w:r>
    </w:p>
    <w:p>
      <w:pPr>
        <w:ind w:firstLine="560" w:firstLineChars="200"/>
        <w:rPr>
          <w:szCs w:val="28"/>
        </w:rPr>
      </w:pPr>
      <w:r>
        <w:rPr>
          <w:szCs w:val="28"/>
        </w:rPr>
        <w:t>1 地形地貌</w:t>
      </w:r>
    </w:p>
    <w:p>
      <w:pPr>
        <w:ind w:firstLine="560" w:firstLineChars="200"/>
        <w:rPr>
          <w:szCs w:val="28"/>
        </w:rPr>
      </w:pPr>
      <w:r>
        <w:rPr>
          <w:rFonts w:hint="eastAsia"/>
          <w:szCs w:val="28"/>
        </w:rPr>
        <w:t>勘查区</w:t>
      </w:r>
      <w:r>
        <w:rPr>
          <w:szCs w:val="28"/>
        </w:rPr>
        <w:t>微地貌</w:t>
      </w:r>
      <w:r>
        <w:rPr>
          <w:rFonts w:hint="eastAsia"/>
          <w:szCs w:val="28"/>
          <w:lang w:val="en-US" w:eastAsia="zh-CN"/>
        </w:rPr>
        <w:t>原</w:t>
      </w:r>
      <w:r>
        <w:rPr>
          <w:szCs w:val="28"/>
        </w:rPr>
        <w:t>为</w:t>
      </w:r>
      <w:r>
        <w:rPr>
          <w:rFonts w:hint="eastAsia"/>
          <w:szCs w:val="28"/>
          <w:lang w:val="en-US" w:eastAsia="zh-CN"/>
        </w:rPr>
        <w:t>小山包，</w:t>
      </w:r>
      <w:r>
        <w:rPr>
          <w:szCs w:val="28"/>
        </w:rPr>
        <w:t>自然山坡坡度</w:t>
      </w:r>
      <w:r>
        <w:rPr>
          <w:rFonts w:hint="eastAsia"/>
          <w:szCs w:val="28"/>
        </w:rPr>
        <w:t>15</w:t>
      </w:r>
      <w:r>
        <w:rPr>
          <w:szCs w:val="28"/>
        </w:rPr>
        <w:t>～</w:t>
      </w:r>
      <w:r>
        <w:rPr>
          <w:rFonts w:hint="eastAsia"/>
          <w:szCs w:val="28"/>
        </w:rPr>
        <w:t>25</w:t>
      </w:r>
      <w:r>
        <w:rPr>
          <w:szCs w:val="28"/>
        </w:rPr>
        <w:t>°，</w:t>
      </w:r>
      <w:r>
        <w:rPr>
          <w:rFonts w:hint="eastAsia"/>
          <w:szCs w:val="28"/>
        </w:rPr>
        <w:t>局部超过30°</w:t>
      </w:r>
      <w:r>
        <w:rPr>
          <w:rFonts w:hint="eastAsia"/>
          <w:szCs w:val="28"/>
          <w:lang w:eastAsia="zh-CN"/>
        </w:rPr>
        <w:t>，</w:t>
      </w:r>
      <w:r>
        <w:rPr>
          <w:rFonts w:hint="eastAsia"/>
          <w:szCs w:val="28"/>
          <w:lang w:val="en-US" w:eastAsia="zh-CN"/>
        </w:rPr>
        <w:t>因房屋建设对山坡中下部进行开挖，形成</w:t>
      </w:r>
      <w:r>
        <w:rPr>
          <w:szCs w:val="28"/>
        </w:rPr>
        <w:t>人工开挖边坡</w:t>
      </w:r>
      <w:r>
        <w:rPr>
          <w:rFonts w:hint="eastAsia"/>
          <w:szCs w:val="28"/>
        </w:rPr>
        <w:t>及台地</w:t>
      </w:r>
      <w:r>
        <w:rPr>
          <w:szCs w:val="28"/>
        </w:rPr>
        <w:t>，开挖边坡高陡，形成高陡临空面，破坏了山体原有的平衡条件，为本次灾害的产生提供了有利的地形条件。</w:t>
      </w:r>
    </w:p>
    <w:p>
      <w:pPr>
        <w:ind w:firstLine="560" w:firstLineChars="200"/>
        <w:rPr>
          <w:szCs w:val="28"/>
        </w:rPr>
      </w:pPr>
      <w:r>
        <w:rPr>
          <w:rFonts w:hint="eastAsia"/>
          <w:szCs w:val="28"/>
          <w:lang w:val="en-US" w:eastAsia="zh-CN"/>
        </w:rPr>
        <w:t>2</w:t>
      </w:r>
      <w:r>
        <w:rPr>
          <w:szCs w:val="28"/>
        </w:rPr>
        <w:t>岩土层特征</w:t>
      </w:r>
    </w:p>
    <w:p>
      <w:pPr>
        <w:ind w:firstLine="560" w:firstLineChars="200"/>
        <w:rPr>
          <w:szCs w:val="28"/>
          <w:highlight w:val="yellow"/>
        </w:rPr>
      </w:pPr>
      <w:r>
        <w:rPr>
          <w:szCs w:val="28"/>
        </w:rPr>
        <w:t>边坡主要由</w:t>
      </w:r>
      <w:r>
        <w:rPr>
          <w:rFonts w:hint="eastAsia"/>
          <w:szCs w:val="28"/>
          <w:lang w:val="en-US" w:eastAsia="zh-CN"/>
        </w:rPr>
        <w:t>①杂填土、</w:t>
      </w:r>
      <w:r>
        <w:rPr>
          <w:rFonts w:hint="eastAsia"/>
          <w:szCs w:val="28"/>
        </w:rPr>
        <w:t>②</w:t>
      </w:r>
      <w:r>
        <w:rPr>
          <w:rFonts w:hint="eastAsia"/>
          <w:szCs w:val="28"/>
          <w:lang w:eastAsia="zh-CN"/>
        </w:rPr>
        <w:t>坡积黏性土</w:t>
      </w:r>
      <w:r>
        <w:rPr>
          <w:rFonts w:hint="eastAsia"/>
          <w:szCs w:val="28"/>
        </w:rPr>
        <w:t>、③</w:t>
      </w:r>
      <w:r>
        <w:rPr>
          <w:szCs w:val="28"/>
        </w:rPr>
        <w:t>全风化</w:t>
      </w:r>
      <w:r>
        <w:rPr>
          <w:rFonts w:hint="eastAsia"/>
          <w:szCs w:val="28"/>
        </w:rPr>
        <w:t>粉砂</w:t>
      </w:r>
      <w:r>
        <w:rPr>
          <w:szCs w:val="28"/>
        </w:rPr>
        <w:t>岩组成，</w:t>
      </w:r>
      <w:r>
        <w:rPr>
          <w:rFonts w:hint="eastAsia"/>
          <w:szCs w:val="28"/>
          <w:lang w:eastAsia="zh-CN"/>
        </w:rPr>
        <w:t>坡积黏性土</w:t>
      </w:r>
      <w:r>
        <w:rPr>
          <w:rFonts w:hint="eastAsia"/>
          <w:szCs w:val="28"/>
        </w:rPr>
        <w:t>较松散，全风化粉砂岩</w:t>
      </w:r>
      <w:r>
        <w:rPr>
          <w:szCs w:val="28"/>
        </w:rPr>
        <w:t>遇水易</w:t>
      </w:r>
      <w:r>
        <w:rPr>
          <w:rFonts w:hint="eastAsia"/>
          <w:szCs w:val="28"/>
        </w:rPr>
        <w:t>软化</w:t>
      </w:r>
      <w:r>
        <w:rPr>
          <w:szCs w:val="28"/>
        </w:rPr>
        <w:t>崩解</w:t>
      </w:r>
      <w:r>
        <w:rPr>
          <w:rFonts w:hint="eastAsia"/>
          <w:szCs w:val="28"/>
        </w:rPr>
        <w:t>，且风化不均</w:t>
      </w:r>
      <w:r>
        <w:rPr>
          <w:szCs w:val="28"/>
        </w:rPr>
        <w:t>。</w:t>
      </w:r>
      <w:r>
        <w:rPr>
          <w:rFonts w:hint="eastAsia"/>
          <w:szCs w:val="28"/>
        </w:rPr>
        <w:t>坡顶平台分布较大面积填土，且填土厚度较厚，结构松散，自稳性差，易产生不均匀沉降、侧向位移，引起地面沉降、护面墙臌胀变形。</w:t>
      </w:r>
    </w:p>
    <w:p>
      <w:pPr>
        <w:ind w:firstLine="560" w:firstLineChars="200"/>
        <w:rPr>
          <w:szCs w:val="28"/>
        </w:rPr>
      </w:pPr>
      <w:r>
        <w:rPr>
          <w:rFonts w:hint="eastAsia"/>
          <w:szCs w:val="28"/>
          <w:lang w:val="en-US" w:eastAsia="zh-CN"/>
        </w:rPr>
        <w:t>3</w:t>
      </w:r>
      <w:r>
        <w:rPr>
          <w:szCs w:val="28"/>
        </w:rPr>
        <w:t>人类工程活动强烈</w:t>
      </w:r>
    </w:p>
    <w:p>
      <w:pPr>
        <w:ind w:firstLine="560" w:firstLineChars="200"/>
        <w:rPr>
          <w:szCs w:val="28"/>
        </w:rPr>
      </w:pPr>
      <w:r>
        <w:rPr>
          <w:rFonts w:hint="eastAsia"/>
          <w:szCs w:val="28"/>
        </w:rPr>
        <w:t>该</w:t>
      </w:r>
      <w:r>
        <w:rPr>
          <w:szCs w:val="28"/>
        </w:rPr>
        <w:t>地质灾害点所在区域人类工程活动主要为</w:t>
      </w:r>
      <w:r>
        <w:rPr>
          <w:rFonts w:hint="eastAsia"/>
          <w:szCs w:val="28"/>
        </w:rPr>
        <w:t>房屋及道路的建设</w:t>
      </w:r>
      <w:r>
        <w:rPr>
          <w:szCs w:val="28"/>
        </w:rPr>
        <w:t>，建设对自然斜坡进行切坡开挖，</w:t>
      </w:r>
      <w:r>
        <w:rPr>
          <w:rFonts w:hint="eastAsia"/>
          <w:szCs w:val="28"/>
        </w:rPr>
        <w:t>局部进行填土整平，</w:t>
      </w:r>
      <w:r>
        <w:rPr>
          <w:szCs w:val="28"/>
        </w:rPr>
        <w:t>形成高陡</w:t>
      </w:r>
      <w:r>
        <w:rPr>
          <w:rFonts w:hint="eastAsia"/>
          <w:szCs w:val="28"/>
        </w:rPr>
        <w:t>人工边坡及填方边坡</w:t>
      </w:r>
      <w:r>
        <w:rPr>
          <w:szCs w:val="28"/>
        </w:rPr>
        <w:t>，</w:t>
      </w:r>
      <w:r>
        <w:rPr>
          <w:rFonts w:hint="eastAsia"/>
          <w:szCs w:val="28"/>
        </w:rPr>
        <w:t>场地内未设置完善的截排水系统，填土边坡虽采用护面墙支护，但护面墙未见专项设计施工，填土未经夯实处理，不能起到有效的支护作用。人类工程活动对地质环境条件的影响较大。</w:t>
      </w:r>
    </w:p>
    <w:p>
      <w:pPr>
        <w:ind w:firstLine="560" w:firstLineChars="200"/>
        <w:rPr>
          <w:szCs w:val="28"/>
        </w:rPr>
      </w:pPr>
      <w:r>
        <w:rPr>
          <w:szCs w:val="28"/>
        </w:rPr>
        <w:t>4降雨</w:t>
      </w:r>
    </w:p>
    <w:p>
      <w:pPr>
        <w:ind w:firstLine="560" w:firstLineChars="200"/>
        <w:rPr>
          <w:szCs w:val="28"/>
        </w:rPr>
      </w:pPr>
      <w:r>
        <w:rPr>
          <w:szCs w:val="28"/>
        </w:rPr>
        <w:t>大气降雨是影响边坡稳定、诱发崩塌的主要因素之一。</w:t>
      </w:r>
      <w:r>
        <w:rPr>
          <w:rFonts w:hint="eastAsia"/>
          <w:szCs w:val="28"/>
        </w:rPr>
        <w:t>勘查区属中亚热带季风气候，降雨量大。</w:t>
      </w:r>
      <w:r>
        <w:rPr>
          <w:szCs w:val="28"/>
        </w:rPr>
        <w:t>大气降雨、坡面流对裸露边坡坡面产生冲刷作用，</w:t>
      </w:r>
      <w:r>
        <w:rPr>
          <w:rFonts w:hint="eastAsia"/>
          <w:szCs w:val="28"/>
          <w:lang w:val="en-US" w:eastAsia="zh-CN"/>
        </w:rPr>
        <w:t>边坡中部平台处排水沟不足以满足强降雨期间的排水需求，部分雨水汇集于排水沟后外溢，对下方坡面造成的冲刷更为显著。原有排水系统大多通过暗埋涵管向边坡外进行排水，涵管局部出现断裂、漏水现象。雨水及生活废水直接经断裂处渗入坡体内部，</w:t>
      </w:r>
      <w:r>
        <w:rPr>
          <w:szCs w:val="28"/>
        </w:rPr>
        <w:t>部分雨水通过岩土体孔隙入渗进入坡体中，</w:t>
      </w:r>
      <w:r>
        <w:rPr>
          <w:rFonts w:hint="eastAsia"/>
          <w:szCs w:val="28"/>
        </w:rPr>
        <w:t>使表层土体软化，</w:t>
      </w:r>
      <w:r>
        <w:rPr>
          <w:szCs w:val="28"/>
        </w:rPr>
        <w:t>岩土体的容重</w:t>
      </w:r>
      <w:r>
        <w:rPr>
          <w:rFonts w:hint="eastAsia"/>
          <w:szCs w:val="28"/>
        </w:rPr>
        <w:t>增加</w:t>
      </w:r>
      <w:r>
        <w:rPr>
          <w:szCs w:val="28"/>
        </w:rPr>
        <w:t>，形成的地下渗流产生向坡外的渗透压力，降低了岩土体的</w:t>
      </w:r>
      <w:r>
        <w:rPr>
          <w:rFonts w:hint="eastAsia"/>
          <w:szCs w:val="28"/>
        </w:rPr>
        <w:t>粘聚力及</w:t>
      </w:r>
      <w:r>
        <w:rPr>
          <w:szCs w:val="28"/>
        </w:rPr>
        <w:t>抗剪强度，增加了下滑力，诱发局部坡体产生崩塌灾害。</w:t>
      </w:r>
      <w:r>
        <w:rPr>
          <w:rFonts w:hint="eastAsia"/>
          <w:szCs w:val="28"/>
        </w:rPr>
        <w:t>由于填土未经夯实处理，雨水下渗，引起填土流失、掏空，产生地面塌陷灾害。</w:t>
      </w:r>
    </w:p>
    <w:p>
      <w:pPr>
        <w:rPr>
          <w:szCs w:val="28"/>
        </w:rPr>
      </w:pPr>
      <w:r>
        <w:rPr>
          <w:szCs w:val="28"/>
        </w:rPr>
        <w:t>3.3.2边坡稳定性定性分析</w:t>
      </w:r>
    </w:p>
    <w:p>
      <w:pPr>
        <w:ind w:firstLine="560" w:firstLineChars="200"/>
        <w:rPr>
          <w:rFonts w:hint="default" w:eastAsia="宋体"/>
          <w:color w:val="auto"/>
          <w:szCs w:val="28"/>
          <w:lang w:val="en-US" w:eastAsia="zh-CN"/>
        </w:rPr>
      </w:pPr>
      <w:r>
        <w:rPr>
          <w:color w:val="auto"/>
          <w:szCs w:val="28"/>
        </w:rPr>
        <w:t>通过现场调查，自然山坡未见裂缝、下错等变形迹象，山坡产生滑坡的可能性较小。</w:t>
      </w:r>
      <w:r>
        <w:rPr>
          <w:rFonts w:hint="eastAsia"/>
          <w:color w:val="auto"/>
          <w:szCs w:val="28"/>
          <w:lang w:val="en-US" w:eastAsia="zh-CN"/>
        </w:rPr>
        <w:t>28、31、32、33号宅前段人工</w:t>
      </w:r>
      <w:r>
        <w:rPr>
          <w:color w:val="auto"/>
          <w:szCs w:val="28"/>
        </w:rPr>
        <w:t>开挖边坡</w:t>
      </w:r>
      <w:r>
        <w:rPr>
          <w:rFonts w:hint="eastAsia"/>
          <w:color w:val="auto"/>
          <w:szCs w:val="28"/>
          <w:lang w:val="en-US" w:eastAsia="zh-CN"/>
        </w:rPr>
        <w:t>及填方边坡</w:t>
      </w:r>
      <w:r>
        <w:rPr>
          <w:color w:val="auto"/>
          <w:szCs w:val="28"/>
        </w:rPr>
        <w:t>高陡，</w:t>
      </w:r>
      <w:r>
        <w:rPr>
          <w:rFonts w:hint="eastAsia"/>
          <w:szCs w:val="28"/>
        </w:rPr>
        <w:t>坡顶填土区域内填方厚度较大，</w:t>
      </w:r>
      <w:r>
        <w:rPr>
          <w:color w:val="auto"/>
          <w:szCs w:val="28"/>
        </w:rPr>
        <w:t>坡面表层土体自身稳定性较差，同时</w:t>
      </w:r>
      <w:r>
        <w:rPr>
          <w:rFonts w:hint="eastAsia"/>
          <w:color w:val="auto"/>
          <w:szCs w:val="28"/>
          <w:lang w:val="en-US" w:eastAsia="zh-CN"/>
        </w:rPr>
        <w:t>边坡平台处</w:t>
      </w:r>
      <w:r>
        <w:rPr>
          <w:rFonts w:hint="eastAsia"/>
          <w:color w:val="auto"/>
          <w:szCs w:val="28"/>
        </w:rPr>
        <w:t>排水</w:t>
      </w:r>
      <w:r>
        <w:rPr>
          <w:color w:val="auto"/>
          <w:szCs w:val="28"/>
        </w:rPr>
        <w:t>系统</w:t>
      </w:r>
      <w:r>
        <w:rPr>
          <w:rFonts w:hint="eastAsia"/>
          <w:color w:val="auto"/>
          <w:szCs w:val="28"/>
        </w:rPr>
        <w:t>功能已大部丧失</w:t>
      </w:r>
      <w:r>
        <w:rPr>
          <w:color w:val="auto"/>
          <w:szCs w:val="28"/>
        </w:rPr>
        <w:t>，强降雨时大量雨水往边坡汇集，边坡在雨水、坡面流强烈的冲刷及雨水入渗软化土体共同作用下，坡面表层土体抗剪强度减小，局部</w:t>
      </w:r>
      <w:r>
        <w:rPr>
          <w:rFonts w:hint="eastAsia"/>
          <w:color w:val="auto"/>
          <w:szCs w:val="28"/>
        </w:rPr>
        <w:t>坡度较陡坡段易</w:t>
      </w:r>
      <w:r>
        <w:rPr>
          <w:color w:val="auto"/>
          <w:szCs w:val="28"/>
        </w:rPr>
        <w:t>产生崩塌灾害</w:t>
      </w:r>
      <w:r>
        <w:rPr>
          <w:rFonts w:hint="eastAsia"/>
          <w:color w:val="auto"/>
          <w:szCs w:val="28"/>
          <w:lang w:eastAsia="zh-CN"/>
        </w:rPr>
        <w:t>。</w:t>
      </w:r>
    </w:p>
    <w:bookmarkEnd w:id="20"/>
    <w:p>
      <w:pPr>
        <w:rPr>
          <w:szCs w:val="28"/>
        </w:rPr>
      </w:pPr>
      <w:r>
        <w:rPr>
          <w:szCs w:val="28"/>
        </w:rPr>
        <w:t>3.3.3边坡稳定性定量分析</w:t>
      </w:r>
    </w:p>
    <w:p>
      <w:pPr>
        <w:ind w:firstLine="560" w:firstLineChars="200"/>
        <w:rPr>
          <w:szCs w:val="28"/>
        </w:rPr>
      </w:pPr>
      <w:r>
        <w:rPr>
          <w:szCs w:val="28"/>
        </w:rPr>
        <w:t>1岩土体物理力学性质</w:t>
      </w:r>
    </w:p>
    <w:p>
      <w:pPr>
        <w:ind w:firstLine="601"/>
        <w:rPr>
          <w:szCs w:val="28"/>
        </w:rPr>
      </w:pPr>
      <w:r>
        <w:rPr>
          <w:szCs w:val="28"/>
        </w:rPr>
        <w:t>本次勘查</w:t>
      </w:r>
      <w:r>
        <w:rPr>
          <w:rFonts w:hint="eastAsia"/>
          <w:szCs w:val="28"/>
        </w:rPr>
        <w:t>参考附近已有的地灾勘查资料的岩土体试验成果</w:t>
      </w:r>
      <w:r>
        <w:rPr>
          <w:szCs w:val="28"/>
        </w:rPr>
        <w:t>，现场进行原位标准贯入试验，</w:t>
      </w:r>
      <w:r>
        <w:rPr>
          <w:color w:val="000000"/>
          <w:szCs w:val="28"/>
        </w:rPr>
        <w:t>根</w:t>
      </w:r>
      <w:r>
        <w:rPr>
          <w:szCs w:val="28"/>
        </w:rPr>
        <w:t>据省标《岩土工程勘察规范》（DBJ13-84-2006），提供各岩土层的天然重度(r)、抗</w:t>
      </w:r>
      <w:r>
        <w:rPr>
          <w:color w:val="000000"/>
          <w:szCs w:val="28"/>
        </w:rPr>
        <w:t>剪强度(C</w:t>
      </w:r>
      <w:r>
        <w:rPr>
          <w:color w:val="000000"/>
          <w:szCs w:val="28"/>
          <w:vertAlign w:val="subscript"/>
        </w:rPr>
        <w:t>k</w:t>
      </w:r>
      <w:r>
        <w:rPr>
          <w:color w:val="000000"/>
          <w:szCs w:val="28"/>
        </w:rPr>
        <w:t>、φ</w:t>
      </w:r>
      <w:r>
        <w:rPr>
          <w:color w:val="000000"/>
          <w:szCs w:val="28"/>
          <w:vertAlign w:val="subscript"/>
        </w:rPr>
        <w:t>k</w:t>
      </w:r>
      <w:r>
        <w:rPr>
          <w:color w:val="000000"/>
          <w:szCs w:val="28"/>
        </w:rPr>
        <w:t>)、地基承载力特征值(f</w:t>
      </w:r>
      <w:r>
        <w:rPr>
          <w:color w:val="000000"/>
          <w:szCs w:val="28"/>
          <w:vertAlign w:val="subscript"/>
        </w:rPr>
        <w:t>ak</w:t>
      </w:r>
      <w:r>
        <w:rPr>
          <w:color w:val="000000"/>
          <w:szCs w:val="28"/>
        </w:rPr>
        <w:t>)、土体与锚固体粘结强度极限标准值f</w:t>
      </w:r>
      <w:r>
        <w:rPr>
          <w:color w:val="000000"/>
          <w:szCs w:val="28"/>
          <w:vertAlign w:val="subscript"/>
        </w:rPr>
        <w:t>rbk</w:t>
      </w:r>
      <w:r>
        <w:rPr>
          <w:color w:val="000000"/>
          <w:szCs w:val="28"/>
        </w:rPr>
        <w:t>、岩土对护面墙基底摩擦系数μ等参数于</w:t>
      </w:r>
      <w:r>
        <w:rPr>
          <w:szCs w:val="28"/>
        </w:rPr>
        <w:t>表3.3.3-1，供设计部门选用。</w:t>
      </w:r>
    </w:p>
    <w:p>
      <w:pPr>
        <w:spacing w:line="520" w:lineRule="exact"/>
        <w:ind w:firstLine="1265" w:firstLineChars="450"/>
        <w:rPr>
          <w:b/>
          <w:bCs/>
          <w:szCs w:val="21"/>
        </w:rPr>
      </w:pPr>
    </w:p>
    <w:p>
      <w:pPr>
        <w:spacing w:line="520" w:lineRule="exact"/>
        <w:ind w:firstLine="1265" w:firstLineChars="450"/>
        <w:rPr>
          <w:b/>
          <w:bCs/>
          <w:szCs w:val="21"/>
        </w:rPr>
      </w:pPr>
    </w:p>
    <w:p>
      <w:pPr>
        <w:spacing w:line="520" w:lineRule="exact"/>
        <w:ind w:firstLine="1265" w:firstLineChars="450"/>
        <w:rPr>
          <w:b/>
          <w:bCs/>
          <w:szCs w:val="21"/>
        </w:rPr>
      </w:pPr>
    </w:p>
    <w:p>
      <w:pPr>
        <w:spacing w:line="520" w:lineRule="exact"/>
        <w:ind w:firstLine="1265" w:firstLineChars="450"/>
        <w:rPr>
          <w:b/>
          <w:bCs/>
          <w:spacing w:val="20"/>
          <w:szCs w:val="21"/>
        </w:rPr>
      </w:pPr>
      <w:r>
        <w:rPr>
          <w:b/>
          <w:bCs/>
          <w:szCs w:val="21"/>
        </w:rPr>
        <w:t xml:space="preserve">表3.3-1        </w:t>
      </w:r>
      <w:r>
        <w:rPr>
          <w:b/>
          <w:bCs/>
          <w:spacing w:val="20"/>
          <w:szCs w:val="21"/>
        </w:rPr>
        <w:t>各岩土层设计计算指标推荐使用值表</w:t>
      </w:r>
    </w:p>
    <w:tbl>
      <w:tblPr>
        <w:tblStyle w:val="14"/>
        <w:tblW w:w="5178" w:type="pct"/>
        <w:jc w:val="center"/>
        <w:tblLayout w:type="fixed"/>
        <w:tblCellMar>
          <w:top w:w="0" w:type="dxa"/>
          <w:left w:w="108" w:type="dxa"/>
          <w:bottom w:w="0" w:type="dxa"/>
          <w:right w:w="108" w:type="dxa"/>
        </w:tblCellMar>
      </w:tblPr>
      <w:tblGrid>
        <w:gridCol w:w="738"/>
        <w:gridCol w:w="1863"/>
        <w:gridCol w:w="890"/>
        <w:gridCol w:w="809"/>
        <w:gridCol w:w="936"/>
        <w:gridCol w:w="925"/>
        <w:gridCol w:w="1147"/>
        <w:gridCol w:w="1047"/>
        <w:gridCol w:w="1215"/>
        <w:gridCol w:w="1295"/>
      </w:tblGrid>
      <w:tr>
        <w:tblPrEx>
          <w:tblCellMar>
            <w:top w:w="0" w:type="dxa"/>
            <w:left w:w="108" w:type="dxa"/>
            <w:bottom w:w="0" w:type="dxa"/>
            <w:right w:w="108" w:type="dxa"/>
          </w:tblCellMar>
        </w:tblPrEx>
        <w:trPr>
          <w:trHeight w:val="322" w:hRule="atLeast"/>
          <w:tblHeader/>
          <w:jc w:val="center"/>
        </w:trPr>
        <w:tc>
          <w:tcPr>
            <w:tcW w:w="339" w:type="pct"/>
            <w:vMerge w:val="restart"/>
            <w:tcBorders>
              <w:top w:val="single" w:color="auto" w:sz="4" w:space="0"/>
              <w:left w:val="single" w:color="auto" w:sz="8" w:space="0"/>
              <w:bottom w:val="single" w:color="auto" w:sz="4" w:space="0"/>
              <w:right w:val="single" w:color="auto" w:sz="4" w:space="0"/>
            </w:tcBorders>
            <w:vAlign w:val="center"/>
          </w:tcPr>
          <w:p>
            <w:pPr>
              <w:widowControl/>
              <w:rPr>
                <w:szCs w:val="18"/>
              </w:rPr>
            </w:pPr>
          </w:p>
          <w:p>
            <w:pPr>
              <w:widowControl/>
              <w:jc w:val="center"/>
              <w:rPr>
                <w:szCs w:val="18"/>
              </w:rPr>
            </w:pPr>
            <w:r>
              <w:rPr>
                <w:szCs w:val="18"/>
              </w:rPr>
              <w:t>层</w:t>
            </w:r>
          </w:p>
          <w:p>
            <w:pPr>
              <w:widowControl/>
              <w:jc w:val="center"/>
              <w:rPr>
                <w:szCs w:val="18"/>
              </w:rPr>
            </w:pPr>
            <w:r>
              <w:rPr>
                <w:szCs w:val="18"/>
              </w:rPr>
              <w:t>号</w:t>
            </w:r>
          </w:p>
        </w:tc>
        <w:tc>
          <w:tcPr>
            <w:tcW w:w="857" w:type="pct"/>
            <w:vMerge w:val="restart"/>
            <w:tcBorders>
              <w:top w:val="single" w:color="auto" w:sz="4" w:space="0"/>
              <w:left w:val="single" w:color="auto" w:sz="4" w:space="0"/>
              <w:right w:val="single" w:color="auto" w:sz="4" w:space="0"/>
            </w:tcBorders>
            <w:vAlign w:val="center"/>
          </w:tcPr>
          <w:p>
            <w:pPr>
              <w:widowControl/>
              <w:ind w:firstLine="140" w:firstLineChars="50"/>
              <w:jc w:val="center"/>
              <w:rPr>
                <w:szCs w:val="18"/>
              </w:rPr>
            </w:pPr>
            <w:r>
              <w:rPr>
                <w:szCs w:val="18"/>
              </w:rPr>
              <mc:AlternateContent>
                <mc:Choice Requires="wps">
                  <w:drawing>
                    <wp:anchor distT="0" distB="0" distL="114300" distR="114300" simplePos="0" relativeHeight="251659264" behindDoc="0" locked="0" layoutInCell="1" allowOverlap="1">
                      <wp:simplePos x="0" y="0"/>
                      <wp:positionH relativeFrom="column">
                        <wp:posOffset>234315</wp:posOffset>
                      </wp:positionH>
                      <wp:positionV relativeFrom="paragraph">
                        <wp:posOffset>38735</wp:posOffset>
                      </wp:positionV>
                      <wp:extent cx="789305" cy="1005205"/>
                      <wp:effectExtent l="3810" t="3175" r="14605" b="12700"/>
                      <wp:wrapNone/>
                      <wp:docPr id="1" name="自选图形 2"/>
                      <wp:cNvGraphicFramePr/>
                      <a:graphic xmlns:a="http://schemas.openxmlformats.org/drawingml/2006/main">
                        <a:graphicData uri="http://schemas.microsoft.com/office/word/2010/wordprocessingShape">
                          <wps:wsp>
                            <wps:cNvCnPr/>
                            <wps:spPr>
                              <a:xfrm>
                                <a:off x="0" y="0"/>
                                <a:ext cx="789305" cy="100520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18.45pt;margin-top:3.05pt;height:79.15pt;width:62.15pt;z-index:251659264;mso-width-relative:page;mso-height-relative:page;" filled="f" stroked="t" coordsize="21600,21600" o:gfxdata="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5YivLXAAAACAEAAA8AAAAAAAAAAQAgAAAAIgAAAGRycy9kb3ducmV2LnhtbFBL&#10;AQIUABQAAAAIAIdO4kCHasRz9wEAAOgDAAAOAAAAAAAAAAEAIAAAACYBAABkcnMvZTJvRG9jLnht&#10;bFBLBQYAAAAABgAGAFkBAACPBQAAAAA=&#10;">
                      <v:fill on="f" focussize="0,0"/>
                      <v:stroke color="#000000" joinstyle="round"/>
                      <v:imagedata o:title=""/>
                      <o:lock v:ext="edit" aspectratio="f"/>
                    </v:shape>
                  </w:pict>
                </mc:Fallback>
              </mc:AlternateContent>
            </w:r>
          </w:p>
          <w:p>
            <w:pPr>
              <w:widowControl/>
              <w:jc w:val="center"/>
              <w:rPr>
                <w:szCs w:val="22"/>
              </w:rPr>
            </w:pPr>
            <w:r>
              <w:rPr>
                <w:szCs w:val="18"/>
              </w:rPr>
              <w:t xml:space="preserve">       项目</w:t>
            </w:r>
          </w:p>
          <w:p>
            <w:pPr>
              <w:widowControl/>
              <w:snapToGrid w:val="0"/>
              <w:rPr>
                <w:szCs w:val="22"/>
              </w:rPr>
            </w:pPr>
            <w:r>
              <w:rPr>
                <w:szCs w:val="18"/>
              </w:rPr>
              <mc:AlternateContent>
                <mc:Choice Requires="wps">
                  <w:drawing>
                    <wp:anchor distT="0" distB="0" distL="114300" distR="114300" simplePos="0" relativeHeight="251660288" behindDoc="0" locked="0" layoutInCell="1" allowOverlap="1">
                      <wp:simplePos x="0" y="0"/>
                      <wp:positionH relativeFrom="column">
                        <wp:posOffset>-24765</wp:posOffset>
                      </wp:positionH>
                      <wp:positionV relativeFrom="paragraph">
                        <wp:posOffset>17780</wp:posOffset>
                      </wp:positionV>
                      <wp:extent cx="1048385" cy="699135"/>
                      <wp:effectExtent l="2540" t="3810" r="15875" b="13335"/>
                      <wp:wrapNone/>
                      <wp:docPr id="2" name="自选图形 3"/>
                      <wp:cNvGraphicFramePr/>
                      <a:graphic xmlns:a="http://schemas.openxmlformats.org/drawingml/2006/main">
                        <a:graphicData uri="http://schemas.microsoft.com/office/word/2010/wordprocessingShape">
                          <wps:wsp>
                            <wps:cNvCnPr/>
                            <wps:spPr>
                              <a:xfrm>
                                <a:off x="0" y="0"/>
                                <a:ext cx="1048385" cy="69913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1.95pt;margin-top:1.4pt;height:55.05pt;width:82.55pt;z-index:251660288;mso-width-relative:page;mso-height-relative:page;" filled="f" stroked="t" coordsize="21600,21600" o:gfxdata="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w46W3WAAAACAEAAA8AAAAAAAAAAQAgAAAAIgAAAGRycy9kb3ducmV2LnhtbFBL&#10;AQIUABQAAAAIAIdO4kA1hxof+AEAAOgDAAAOAAAAAAAAAAEAIAAAACUBAABkcnMvZTJvRG9jLnht&#10;bFBLBQYAAAAABgAGAFkBAACPBQAAAAA=&#10;">
                      <v:fill on="f" focussize="0,0"/>
                      <v:stroke color="#000000" joinstyle="round"/>
                      <v:imagedata o:title=""/>
                      <o:lock v:ext="edit" aspectratio="f"/>
                    </v:shape>
                  </w:pict>
                </mc:Fallback>
              </mc:AlternateContent>
            </w:r>
            <w:r>
              <w:rPr>
                <w:szCs w:val="22"/>
              </w:rPr>
              <w:t xml:space="preserve">  指标</w:t>
            </w:r>
          </w:p>
          <w:p>
            <w:pPr>
              <w:widowControl/>
              <w:rPr>
                <w:szCs w:val="18"/>
              </w:rPr>
            </w:pPr>
          </w:p>
          <w:p>
            <w:pPr>
              <w:widowControl/>
              <w:ind w:firstLine="140" w:firstLineChars="50"/>
              <w:rPr>
                <w:szCs w:val="18"/>
              </w:rPr>
            </w:pPr>
            <w:r>
              <w:rPr>
                <w:szCs w:val="18"/>
              </w:rPr>
              <w:t>岩土层</w:t>
            </w:r>
          </w:p>
          <w:p>
            <w:pPr>
              <w:widowControl/>
              <w:ind w:firstLine="140" w:firstLineChars="50"/>
              <w:rPr>
                <w:szCs w:val="18"/>
              </w:rPr>
            </w:pPr>
            <w:r>
              <w:rPr>
                <w:szCs w:val="18"/>
              </w:rPr>
              <w:t>名称</w:t>
            </w:r>
          </w:p>
        </w:tc>
        <w:tc>
          <w:tcPr>
            <w:tcW w:w="409" w:type="pct"/>
            <w:vMerge w:val="restart"/>
            <w:tcBorders>
              <w:top w:val="single" w:color="auto" w:sz="4" w:space="0"/>
              <w:left w:val="single" w:color="auto" w:sz="4" w:space="0"/>
              <w:right w:val="single" w:color="auto" w:sz="4" w:space="0"/>
            </w:tcBorders>
            <w:vAlign w:val="center"/>
          </w:tcPr>
          <w:p>
            <w:pPr>
              <w:widowControl/>
              <w:jc w:val="center"/>
              <w:rPr>
                <w:szCs w:val="18"/>
              </w:rPr>
            </w:pPr>
            <w:r>
              <w:rPr>
                <w:szCs w:val="18"/>
              </w:rPr>
              <w:t>天然</w:t>
            </w:r>
          </w:p>
          <w:p>
            <w:pPr>
              <w:widowControl/>
              <w:jc w:val="center"/>
              <w:rPr>
                <w:szCs w:val="18"/>
              </w:rPr>
            </w:pPr>
            <w:r>
              <w:rPr>
                <w:szCs w:val="18"/>
              </w:rPr>
              <w:t>重度</w:t>
            </w:r>
          </w:p>
        </w:tc>
        <w:tc>
          <w:tcPr>
            <w:tcW w:w="802"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直接快剪</w:t>
            </w:r>
          </w:p>
        </w:tc>
        <w:tc>
          <w:tcPr>
            <w:tcW w:w="95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饱和快剪</w:t>
            </w:r>
          </w:p>
        </w:tc>
        <w:tc>
          <w:tcPr>
            <w:tcW w:w="482" w:type="pct"/>
            <w:vMerge w:val="restart"/>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承载力</w:t>
            </w:r>
          </w:p>
          <w:p>
            <w:pPr>
              <w:widowControl/>
              <w:jc w:val="center"/>
              <w:rPr>
                <w:szCs w:val="18"/>
              </w:rPr>
            </w:pPr>
            <w:r>
              <w:rPr>
                <w:szCs w:val="18"/>
              </w:rPr>
              <w:t>特征值</w:t>
            </w:r>
          </w:p>
        </w:tc>
        <w:tc>
          <w:tcPr>
            <w:tcW w:w="559" w:type="pct"/>
            <w:vMerge w:val="restart"/>
            <w:tcBorders>
              <w:top w:val="single" w:color="auto" w:sz="4" w:space="0"/>
              <w:left w:val="single" w:color="auto" w:sz="4" w:space="0"/>
              <w:right w:val="single" w:color="auto" w:sz="8" w:space="0"/>
            </w:tcBorders>
            <w:vAlign w:val="center"/>
          </w:tcPr>
          <w:p>
            <w:pPr>
              <w:widowControl/>
              <w:jc w:val="center"/>
              <w:rPr>
                <w:szCs w:val="18"/>
              </w:rPr>
            </w:pPr>
            <w:r>
              <w:rPr>
                <w:szCs w:val="18"/>
              </w:rPr>
              <w:t>土体与锚固体粘结强度极限标准值</w:t>
            </w:r>
          </w:p>
        </w:tc>
        <w:tc>
          <w:tcPr>
            <w:tcW w:w="596" w:type="pct"/>
            <w:vMerge w:val="restart"/>
            <w:tcBorders>
              <w:top w:val="single" w:color="auto" w:sz="4" w:space="0"/>
              <w:left w:val="single" w:color="auto" w:sz="4" w:space="0"/>
              <w:right w:val="single" w:color="auto" w:sz="8" w:space="0"/>
            </w:tcBorders>
            <w:vAlign w:val="center"/>
          </w:tcPr>
          <w:p>
            <w:pPr>
              <w:widowControl/>
              <w:jc w:val="center"/>
            </w:pPr>
            <w:r>
              <w:rPr>
                <w:szCs w:val="18"/>
              </w:rPr>
              <w:t>岩土对护面墙基底摩擦系数</w:t>
            </w:r>
          </w:p>
        </w:tc>
      </w:tr>
      <w:tr>
        <w:tblPrEx>
          <w:tblCellMar>
            <w:top w:w="0" w:type="dxa"/>
            <w:left w:w="108" w:type="dxa"/>
            <w:bottom w:w="0" w:type="dxa"/>
            <w:right w:w="108" w:type="dxa"/>
          </w:tblCellMar>
        </w:tblPrEx>
        <w:trPr>
          <w:trHeight w:val="1247"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57" w:type="pct"/>
            <w:vMerge w:val="continue"/>
            <w:tcBorders>
              <w:left w:val="single" w:color="auto" w:sz="4" w:space="0"/>
              <w:right w:val="single" w:color="auto" w:sz="4" w:space="0"/>
            </w:tcBorders>
            <w:vAlign w:val="center"/>
          </w:tcPr>
          <w:p>
            <w:pPr>
              <w:ind w:firstLine="980" w:firstLineChars="350"/>
              <w:jc w:val="center"/>
              <w:rPr>
                <w:szCs w:val="18"/>
              </w:rPr>
            </w:pPr>
          </w:p>
        </w:tc>
        <w:tc>
          <w:tcPr>
            <w:tcW w:w="409" w:type="pct"/>
            <w:vMerge w:val="continue"/>
            <w:tcBorders>
              <w:left w:val="single" w:color="auto" w:sz="4" w:space="0"/>
              <w:bottom w:val="single" w:color="auto" w:sz="4" w:space="0"/>
              <w:right w:val="single" w:color="auto" w:sz="4" w:space="0"/>
            </w:tcBorders>
            <w:vAlign w:val="center"/>
          </w:tcPr>
          <w:p>
            <w:pPr>
              <w:widowControl/>
              <w:jc w:val="center"/>
              <w:rPr>
                <w:szCs w:val="18"/>
              </w:rPr>
            </w:pPr>
          </w:p>
        </w:tc>
        <w:tc>
          <w:tcPr>
            <w:tcW w:w="372" w:type="pct"/>
            <w:tcBorders>
              <w:top w:val="nil"/>
              <w:left w:val="single" w:color="auto" w:sz="4" w:space="0"/>
              <w:bottom w:val="single" w:color="auto" w:sz="4" w:space="0"/>
              <w:right w:val="single" w:color="auto" w:sz="4" w:space="0"/>
            </w:tcBorders>
            <w:vAlign w:val="center"/>
          </w:tcPr>
          <w:p>
            <w:pPr>
              <w:widowControl/>
              <w:jc w:val="center"/>
              <w:rPr>
                <w:szCs w:val="18"/>
              </w:rPr>
            </w:pPr>
            <w:r>
              <w:rPr>
                <w:szCs w:val="18"/>
              </w:rPr>
              <w:t>黏聚力</w:t>
            </w:r>
          </w:p>
        </w:tc>
        <w:tc>
          <w:tcPr>
            <w:tcW w:w="429" w:type="pct"/>
            <w:tcBorders>
              <w:top w:val="nil"/>
              <w:left w:val="single" w:color="auto" w:sz="4" w:space="0"/>
              <w:bottom w:val="single" w:color="000000" w:sz="4" w:space="0"/>
              <w:right w:val="single" w:color="auto" w:sz="4" w:space="0"/>
            </w:tcBorders>
            <w:vAlign w:val="center"/>
          </w:tcPr>
          <w:p>
            <w:pPr>
              <w:widowControl/>
              <w:jc w:val="center"/>
              <w:rPr>
                <w:szCs w:val="18"/>
              </w:rPr>
            </w:pPr>
            <w:r>
              <w:rPr>
                <w:szCs w:val="18"/>
              </w:rPr>
              <w:t>内摩</w:t>
            </w:r>
          </w:p>
          <w:p>
            <w:pPr>
              <w:widowControl/>
              <w:jc w:val="center"/>
              <w:rPr>
                <w:szCs w:val="18"/>
              </w:rPr>
            </w:pPr>
            <w:r>
              <w:rPr>
                <w:szCs w:val="18"/>
              </w:rPr>
              <w:t>擦角</w:t>
            </w:r>
          </w:p>
        </w:tc>
        <w:tc>
          <w:tcPr>
            <w:tcW w:w="426" w:type="pct"/>
            <w:tcBorders>
              <w:top w:val="nil"/>
              <w:left w:val="single" w:color="auto" w:sz="4" w:space="0"/>
              <w:bottom w:val="single" w:color="auto" w:sz="4" w:space="0"/>
              <w:right w:val="single" w:color="auto" w:sz="4" w:space="0"/>
            </w:tcBorders>
            <w:vAlign w:val="center"/>
          </w:tcPr>
          <w:p>
            <w:pPr>
              <w:widowControl/>
              <w:jc w:val="center"/>
              <w:rPr>
                <w:szCs w:val="18"/>
              </w:rPr>
            </w:pPr>
            <w:r>
              <w:rPr>
                <w:szCs w:val="18"/>
              </w:rPr>
              <w:t>黏聚力</w:t>
            </w:r>
          </w:p>
        </w:tc>
        <w:tc>
          <w:tcPr>
            <w:tcW w:w="528" w:type="pct"/>
            <w:tcBorders>
              <w:top w:val="nil"/>
              <w:left w:val="single" w:color="auto" w:sz="4" w:space="0"/>
              <w:bottom w:val="single" w:color="000000" w:sz="4" w:space="0"/>
              <w:right w:val="single" w:color="auto" w:sz="4" w:space="0"/>
            </w:tcBorders>
            <w:vAlign w:val="center"/>
          </w:tcPr>
          <w:p>
            <w:pPr>
              <w:widowControl/>
              <w:jc w:val="center"/>
              <w:rPr>
                <w:szCs w:val="18"/>
              </w:rPr>
            </w:pPr>
            <w:r>
              <w:rPr>
                <w:szCs w:val="18"/>
              </w:rPr>
              <w:t>内摩</w:t>
            </w:r>
          </w:p>
          <w:p>
            <w:pPr>
              <w:widowControl/>
              <w:jc w:val="center"/>
              <w:rPr>
                <w:szCs w:val="18"/>
              </w:rPr>
            </w:pPr>
            <w:r>
              <w:rPr>
                <w:szCs w:val="18"/>
              </w:rPr>
              <w:t>擦角</w:t>
            </w:r>
          </w:p>
        </w:tc>
        <w:tc>
          <w:tcPr>
            <w:tcW w:w="482" w:type="pct"/>
            <w:vMerge w:val="continue"/>
            <w:tcBorders>
              <w:top w:val="nil"/>
              <w:left w:val="single" w:color="auto" w:sz="4" w:space="0"/>
              <w:bottom w:val="single" w:color="auto" w:sz="4" w:space="0"/>
              <w:right w:val="single" w:color="auto" w:sz="4" w:space="0"/>
            </w:tcBorders>
            <w:vAlign w:val="center"/>
          </w:tcPr>
          <w:p>
            <w:pPr>
              <w:widowControl/>
              <w:jc w:val="center"/>
              <w:rPr>
                <w:szCs w:val="18"/>
              </w:rPr>
            </w:pPr>
          </w:p>
        </w:tc>
        <w:tc>
          <w:tcPr>
            <w:tcW w:w="559" w:type="pct"/>
            <w:vMerge w:val="continue"/>
            <w:tcBorders>
              <w:left w:val="single" w:color="auto" w:sz="4" w:space="0"/>
              <w:bottom w:val="single" w:color="auto" w:sz="4" w:space="0"/>
              <w:right w:val="single" w:color="auto" w:sz="8" w:space="0"/>
            </w:tcBorders>
            <w:vAlign w:val="center"/>
          </w:tcPr>
          <w:p>
            <w:pPr>
              <w:widowControl/>
              <w:jc w:val="center"/>
            </w:pPr>
          </w:p>
        </w:tc>
        <w:tc>
          <w:tcPr>
            <w:tcW w:w="596" w:type="pct"/>
            <w:vMerge w:val="continue"/>
            <w:tcBorders>
              <w:left w:val="single" w:color="auto" w:sz="4" w:space="0"/>
              <w:bottom w:val="single" w:color="auto" w:sz="4" w:space="0"/>
              <w:right w:val="single" w:color="auto" w:sz="8" w:space="0"/>
            </w:tcBorders>
            <w:vAlign w:val="center"/>
          </w:tcPr>
          <w:p>
            <w:pPr>
              <w:widowControl/>
              <w:jc w:val="center"/>
            </w:pPr>
          </w:p>
        </w:tc>
      </w:tr>
      <w:tr>
        <w:tblPrEx>
          <w:tblCellMar>
            <w:top w:w="0" w:type="dxa"/>
            <w:left w:w="108" w:type="dxa"/>
            <w:bottom w:w="0" w:type="dxa"/>
            <w:right w:w="108" w:type="dxa"/>
          </w:tblCellMar>
        </w:tblPrEx>
        <w:trPr>
          <w:trHeight w:val="286"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57" w:type="pct"/>
            <w:vMerge w:val="continue"/>
            <w:tcBorders>
              <w:left w:val="single" w:color="auto" w:sz="4" w:space="0"/>
              <w:right w:val="single" w:color="auto" w:sz="4" w:space="0"/>
            </w:tcBorders>
            <w:vAlign w:val="center"/>
          </w:tcPr>
          <w:p>
            <w:pPr>
              <w:widowControl/>
              <w:jc w:val="center"/>
              <w:rPr>
                <w:szCs w:val="18"/>
              </w:rPr>
            </w:pPr>
          </w:p>
        </w:tc>
        <w:tc>
          <w:tcPr>
            <w:tcW w:w="409" w:type="pct"/>
            <w:tcBorders>
              <w:top w:val="nil"/>
              <w:left w:val="nil"/>
              <w:bottom w:val="single" w:color="auto" w:sz="4" w:space="0"/>
              <w:right w:val="single" w:color="auto" w:sz="4" w:space="0"/>
            </w:tcBorders>
            <w:vAlign w:val="center"/>
          </w:tcPr>
          <w:p>
            <w:pPr>
              <w:widowControl/>
              <w:jc w:val="center"/>
              <w:rPr>
                <w:szCs w:val="18"/>
              </w:rPr>
            </w:pPr>
            <w:r>
              <w:rPr>
                <w:szCs w:val="18"/>
              </w:rPr>
              <w:t>γ</w:t>
            </w:r>
          </w:p>
        </w:tc>
        <w:tc>
          <w:tcPr>
            <w:tcW w:w="372" w:type="pct"/>
            <w:tcBorders>
              <w:top w:val="nil"/>
              <w:left w:val="nil"/>
              <w:bottom w:val="single" w:color="auto" w:sz="4" w:space="0"/>
              <w:right w:val="single" w:color="auto" w:sz="4" w:space="0"/>
            </w:tcBorders>
            <w:vAlign w:val="center"/>
          </w:tcPr>
          <w:p>
            <w:pPr>
              <w:widowControl/>
              <w:jc w:val="center"/>
              <w:rPr>
                <w:szCs w:val="18"/>
              </w:rPr>
            </w:pPr>
            <w:r>
              <w:rPr>
                <w:szCs w:val="18"/>
              </w:rPr>
              <w:t>C</w:t>
            </w:r>
            <w:r>
              <w:rPr>
                <w:szCs w:val="18"/>
                <w:vertAlign w:val="subscript"/>
              </w:rPr>
              <w:t>K</w:t>
            </w:r>
          </w:p>
        </w:tc>
        <w:tc>
          <w:tcPr>
            <w:tcW w:w="429" w:type="pct"/>
            <w:tcBorders>
              <w:top w:val="nil"/>
              <w:left w:val="nil"/>
              <w:bottom w:val="single" w:color="auto" w:sz="4" w:space="0"/>
              <w:right w:val="single" w:color="auto" w:sz="4" w:space="0"/>
            </w:tcBorders>
            <w:vAlign w:val="center"/>
          </w:tcPr>
          <w:p>
            <w:pPr>
              <w:widowControl/>
              <w:jc w:val="center"/>
              <w:rPr>
                <w:szCs w:val="18"/>
              </w:rPr>
            </w:pPr>
            <w:r>
              <w:rPr>
                <w:szCs w:val="18"/>
              </w:rPr>
              <w:t>φ</w:t>
            </w:r>
            <w:r>
              <w:rPr>
                <w:szCs w:val="18"/>
                <w:vertAlign w:val="subscript"/>
              </w:rPr>
              <w:t>K</w:t>
            </w:r>
          </w:p>
        </w:tc>
        <w:tc>
          <w:tcPr>
            <w:tcW w:w="426" w:type="pct"/>
            <w:tcBorders>
              <w:top w:val="nil"/>
              <w:left w:val="nil"/>
              <w:bottom w:val="single" w:color="auto" w:sz="4" w:space="0"/>
              <w:right w:val="single" w:color="auto" w:sz="4" w:space="0"/>
            </w:tcBorders>
            <w:vAlign w:val="center"/>
          </w:tcPr>
          <w:p>
            <w:pPr>
              <w:widowControl/>
              <w:jc w:val="center"/>
              <w:rPr>
                <w:szCs w:val="18"/>
              </w:rPr>
            </w:pPr>
            <w:r>
              <w:rPr>
                <w:szCs w:val="18"/>
              </w:rPr>
              <w:t>C</w:t>
            </w:r>
            <w:r>
              <w:rPr>
                <w:szCs w:val="18"/>
                <w:vertAlign w:val="subscript"/>
              </w:rPr>
              <w:t>K</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φ</w:t>
            </w:r>
            <w:r>
              <w:rPr>
                <w:szCs w:val="18"/>
                <w:vertAlign w:val="subscript"/>
              </w:rPr>
              <w:t>K</w:t>
            </w:r>
          </w:p>
        </w:tc>
        <w:tc>
          <w:tcPr>
            <w:tcW w:w="482" w:type="pct"/>
            <w:tcBorders>
              <w:top w:val="nil"/>
              <w:left w:val="nil"/>
              <w:bottom w:val="single" w:color="auto" w:sz="4" w:space="0"/>
              <w:right w:val="single" w:color="auto" w:sz="4" w:space="0"/>
            </w:tcBorders>
            <w:vAlign w:val="center"/>
          </w:tcPr>
          <w:p>
            <w:pPr>
              <w:widowControl/>
              <w:jc w:val="center"/>
              <w:rPr>
                <w:szCs w:val="18"/>
              </w:rPr>
            </w:pPr>
            <w:r>
              <w:rPr>
                <w:szCs w:val="18"/>
              </w:rPr>
              <w:t>f</w:t>
            </w:r>
            <w:r>
              <w:rPr>
                <w:szCs w:val="18"/>
                <w:vertAlign w:val="subscript"/>
              </w:rPr>
              <w:t>ak</w:t>
            </w:r>
          </w:p>
        </w:tc>
        <w:tc>
          <w:tcPr>
            <w:tcW w:w="559" w:type="pct"/>
            <w:tcBorders>
              <w:top w:val="nil"/>
              <w:left w:val="nil"/>
              <w:bottom w:val="single" w:color="auto" w:sz="4" w:space="0"/>
              <w:right w:val="single" w:color="auto" w:sz="8" w:space="0"/>
            </w:tcBorders>
            <w:vAlign w:val="center"/>
          </w:tcPr>
          <w:p>
            <w:pPr>
              <w:widowControl/>
              <w:jc w:val="center"/>
            </w:pPr>
            <w:r>
              <w:rPr>
                <w:color w:val="000000"/>
                <w:sz w:val="24"/>
                <w:szCs w:val="24"/>
              </w:rPr>
              <w:t>f</w:t>
            </w:r>
            <w:r>
              <w:rPr>
                <w:color w:val="000000"/>
                <w:sz w:val="24"/>
                <w:szCs w:val="24"/>
                <w:vertAlign w:val="subscript"/>
              </w:rPr>
              <w:t>rbk</w:t>
            </w:r>
          </w:p>
        </w:tc>
        <w:tc>
          <w:tcPr>
            <w:tcW w:w="596" w:type="pct"/>
            <w:tcBorders>
              <w:top w:val="nil"/>
              <w:left w:val="nil"/>
              <w:bottom w:val="single" w:color="auto" w:sz="4" w:space="0"/>
              <w:right w:val="single" w:color="auto" w:sz="8" w:space="0"/>
            </w:tcBorders>
            <w:vAlign w:val="center"/>
          </w:tcPr>
          <w:p>
            <w:pPr>
              <w:widowControl/>
              <w:jc w:val="center"/>
              <w:rPr>
                <w:szCs w:val="21"/>
              </w:rPr>
            </w:pPr>
            <w:r>
              <w:rPr>
                <w:color w:val="000000"/>
                <w:szCs w:val="21"/>
              </w:rPr>
              <w:t>μ</w:t>
            </w:r>
          </w:p>
        </w:tc>
      </w:tr>
      <w:tr>
        <w:tblPrEx>
          <w:tblCellMar>
            <w:top w:w="0" w:type="dxa"/>
            <w:left w:w="108" w:type="dxa"/>
            <w:bottom w:w="0" w:type="dxa"/>
            <w:right w:w="108" w:type="dxa"/>
          </w:tblCellMar>
        </w:tblPrEx>
        <w:trPr>
          <w:trHeight w:val="561"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57" w:type="pct"/>
            <w:vMerge w:val="continue"/>
            <w:tcBorders>
              <w:left w:val="single" w:color="auto" w:sz="4" w:space="0"/>
              <w:bottom w:val="single" w:color="auto" w:sz="4" w:space="0"/>
              <w:right w:val="single" w:color="auto" w:sz="4" w:space="0"/>
            </w:tcBorders>
            <w:vAlign w:val="center"/>
          </w:tcPr>
          <w:p>
            <w:pPr>
              <w:widowControl/>
              <w:jc w:val="center"/>
              <w:rPr>
                <w:szCs w:val="22"/>
              </w:rPr>
            </w:pPr>
          </w:p>
        </w:tc>
        <w:tc>
          <w:tcPr>
            <w:tcW w:w="409" w:type="pct"/>
            <w:tcBorders>
              <w:top w:val="nil"/>
              <w:left w:val="nil"/>
              <w:bottom w:val="single" w:color="auto" w:sz="4" w:space="0"/>
              <w:right w:val="single" w:color="auto" w:sz="4" w:space="0"/>
            </w:tcBorders>
            <w:vAlign w:val="center"/>
          </w:tcPr>
          <w:p>
            <w:pPr>
              <w:widowControl/>
              <w:jc w:val="center"/>
              <w:rPr>
                <w:szCs w:val="18"/>
              </w:rPr>
            </w:pPr>
            <w:r>
              <w:rPr>
                <w:szCs w:val="18"/>
              </w:rPr>
              <w:t>kN/m</w:t>
            </w:r>
            <w:r>
              <w:rPr>
                <w:szCs w:val="18"/>
                <w:vertAlign w:val="superscript"/>
              </w:rPr>
              <w:t>3</w:t>
            </w:r>
          </w:p>
        </w:tc>
        <w:tc>
          <w:tcPr>
            <w:tcW w:w="372"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429" w:type="pct"/>
            <w:tcBorders>
              <w:top w:val="nil"/>
              <w:left w:val="nil"/>
              <w:bottom w:val="single" w:color="auto" w:sz="4" w:space="0"/>
              <w:right w:val="single" w:color="auto" w:sz="4" w:space="0"/>
            </w:tcBorders>
            <w:vAlign w:val="center"/>
          </w:tcPr>
          <w:p>
            <w:pPr>
              <w:widowControl/>
              <w:jc w:val="center"/>
              <w:rPr>
                <w:szCs w:val="18"/>
              </w:rPr>
            </w:pPr>
            <w:r>
              <w:rPr>
                <w:szCs w:val="18"/>
              </w:rPr>
              <w:t>度</w:t>
            </w:r>
          </w:p>
        </w:tc>
        <w:tc>
          <w:tcPr>
            <w:tcW w:w="426"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度</w:t>
            </w:r>
          </w:p>
        </w:tc>
        <w:tc>
          <w:tcPr>
            <w:tcW w:w="482"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559" w:type="pct"/>
            <w:tcBorders>
              <w:top w:val="nil"/>
              <w:left w:val="nil"/>
              <w:bottom w:val="single" w:color="auto" w:sz="4" w:space="0"/>
              <w:right w:val="single" w:color="auto" w:sz="8" w:space="0"/>
            </w:tcBorders>
            <w:vAlign w:val="center"/>
          </w:tcPr>
          <w:p>
            <w:pPr>
              <w:widowControl/>
              <w:jc w:val="center"/>
            </w:pPr>
          </w:p>
        </w:tc>
        <w:tc>
          <w:tcPr>
            <w:tcW w:w="596" w:type="pct"/>
            <w:tcBorders>
              <w:top w:val="nil"/>
              <w:left w:val="nil"/>
              <w:bottom w:val="single" w:color="auto" w:sz="4" w:space="0"/>
              <w:right w:val="single" w:color="auto" w:sz="8" w:space="0"/>
            </w:tcBorders>
            <w:vAlign w:val="center"/>
          </w:tcPr>
          <w:p>
            <w:pPr>
              <w:widowControl/>
              <w:jc w:val="center"/>
            </w:pPr>
          </w:p>
        </w:tc>
      </w:tr>
      <w:tr>
        <w:tblPrEx>
          <w:tblCellMar>
            <w:top w:w="0" w:type="dxa"/>
            <w:left w:w="108" w:type="dxa"/>
            <w:bottom w:w="0" w:type="dxa"/>
            <w:right w:w="108" w:type="dxa"/>
          </w:tblCellMar>
        </w:tblPrEx>
        <w:trPr>
          <w:trHeight w:val="322"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rFonts w:hint="eastAsia"/>
                <w:szCs w:val="18"/>
              </w:rPr>
              <w:t>①</w:t>
            </w:r>
          </w:p>
        </w:tc>
        <w:tc>
          <w:tcPr>
            <w:tcW w:w="857" w:type="pct"/>
            <w:tcBorders>
              <w:top w:val="single" w:color="auto" w:sz="4" w:space="0"/>
              <w:left w:val="nil"/>
              <w:bottom w:val="single" w:color="auto" w:sz="4" w:space="0"/>
              <w:right w:val="single" w:color="auto" w:sz="4" w:space="0"/>
            </w:tcBorders>
            <w:vAlign w:val="center"/>
          </w:tcPr>
          <w:p>
            <w:pPr>
              <w:widowControl/>
              <w:jc w:val="center"/>
              <w:rPr>
                <w:szCs w:val="18"/>
              </w:rPr>
            </w:pPr>
            <w:r>
              <w:rPr>
                <w:rFonts w:hint="eastAsia"/>
                <w:szCs w:val="18"/>
              </w:rPr>
              <w:t>杂填土</w:t>
            </w:r>
          </w:p>
        </w:tc>
        <w:tc>
          <w:tcPr>
            <w:tcW w:w="409" w:type="pct"/>
            <w:tcBorders>
              <w:top w:val="nil"/>
              <w:left w:val="nil"/>
              <w:bottom w:val="single" w:color="auto" w:sz="4" w:space="0"/>
              <w:right w:val="single" w:color="auto" w:sz="4" w:space="0"/>
            </w:tcBorders>
            <w:vAlign w:val="center"/>
          </w:tcPr>
          <w:p>
            <w:pPr>
              <w:widowControl/>
              <w:jc w:val="center"/>
              <w:rPr>
                <w:szCs w:val="18"/>
              </w:rPr>
            </w:pPr>
            <w:r>
              <w:rPr>
                <w:szCs w:val="18"/>
              </w:rPr>
              <w:t>1</w:t>
            </w:r>
            <w:r>
              <w:rPr>
                <w:rFonts w:hint="eastAsia"/>
                <w:szCs w:val="18"/>
              </w:rPr>
              <w:t>7</w:t>
            </w:r>
            <w:r>
              <w:rPr>
                <w:szCs w:val="18"/>
              </w:rPr>
              <w:t>*</w:t>
            </w:r>
          </w:p>
        </w:tc>
        <w:tc>
          <w:tcPr>
            <w:tcW w:w="37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14</w:t>
            </w:r>
            <w:r>
              <w:rPr>
                <w:b/>
                <w:szCs w:val="18"/>
              </w:rPr>
              <w:t>*</w:t>
            </w:r>
          </w:p>
        </w:tc>
        <w:tc>
          <w:tcPr>
            <w:tcW w:w="42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14</w:t>
            </w:r>
            <w:r>
              <w:rPr>
                <w:b/>
                <w:szCs w:val="18"/>
              </w:rPr>
              <w:t>*</w:t>
            </w:r>
          </w:p>
        </w:tc>
        <w:tc>
          <w:tcPr>
            <w:tcW w:w="426"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10</w:t>
            </w:r>
            <w:r>
              <w:rPr>
                <w:b/>
                <w:szCs w:val="18"/>
              </w:rPr>
              <w:t>*</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10</w:t>
            </w:r>
            <w:r>
              <w:rPr>
                <w:b/>
                <w:szCs w:val="18"/>
              </w:rPr>
              <w:t>*</w:t>
            </w:r>
          </w:p>
        </w:tc>
        <w:tc>
          <w:tcPr>
            <w:tcW w:w="482" w:type="pct"/>
            <w:tcBorders>
              <w:top w:val="nil"/>
              <w:left w:val="nil"/>
              <w:bottom w:val="single" w:color="auto" w:sz="4" w:space="0"/>
              <w:right w:val="single" w:color="auto" w:sz="4" w:space="0"/>
            </w:tcBorders>
            <w:vAlign w:val="center"/>
          </w:tcPr>
          <w:p>
            <w:pPr>
              <w:widowControl/>
              <w:jc w:val="center"/>
              <w:rPr>
                <w:szCs w:val="18"/>
              </w:rPr>
            </w:pPr>
          </w:p>
        </w:tc>
        <w:tc>
          <w:tcPr>
            <w:tcW w:w="559" w:type="pct"/>
            <w:tcBorders>
              <w:top w:val="nil"/>
              <w:left w:val="nil"/>
              <w:bottom w:val="single" w:color="auto" w:sz="4" w:space="0"/>
              <w:right w:val="single" w:color="auto" w:sz="8" w:space="0"/>
            </w:tcBorders>
            <w:vAlign w:val="center"/>
          </w:tcPr>
          <w:p>
            <w:pPr>
              <w:spacing w:line="260" w:lineRule="exact"/>
              <w:ind w:right="-105"/>
              <w:jc w:val="center"/>
              <w:textAlignment w:val="center"/>
              <w:rPr>
                <w:szCs w:val="18"/>
              </w:rPr>
            </w:pPr>
          </w:p>
        </w:tc>
        <w:tc>
          <w:tcPr>
            <w:tcW w:w="596" w:type="pct"/>
            <w:tcBorders>
              <w:top w:val="nil"/>
              <w:left w:val="nil"/>
              <w:bottom w:val="single" w:color="auto" w:sz="4" w:space="0"/>
              <w:right w:val="single" w:color="auto" w:sz="8" w:space="0"/>
            </w:tcBorders>
            <w:vAlign w:val="center"/>
          </w:tcPr>
          <w:p>
            <w:pPr>
              <w:widowControl/>
              <w:jc w:val="center"/>
              <w:rPr>
                <w:szCs w:val="18"/>
              </w:rPr>
            </w:pPr>
          </w:p>
        </w:tc>
      </w:tr>
      <w:tr>
        <w:tblPrEx>
          <w:tblCellMar>
            <w:top w:w="0" w:type="dxa"/>
            <w:left w:w="108" w:type="dxa"/>
            <w:bottom w:w="0" w:type="dxa"/>
            <w:right w:w="108" w:type="dxa"/>
          </w:tblCellMar>
        </w:tblPrEx>
        <w:trPr>
          <w:trHeight w:val="322"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szCs w:val="18"/>
              </w:rPr>
              <w:t>②</w:t>
            </w:r>
          </w:p>
        </w:tc>
        <w:tc>
          <w:tcPr>
            <w:tcW w:w="857" w:type="pct"/>
            <w:tcBorders>
              <w:top w:val="single" w:color="auto" w:sz="4" w:space="0"/>
              <w:left w:val="nil"/>
              <w:bottom w:val="single" w:color="auto" w:sz="4" w:space="0"/>
              <w:right w:val="single" w:color="auto" w:sz="4" w:space="0"/>
            </w:tcBorders>
            <w:vAlign w:val="center"/>
          </w:tcPr>
          <w:p>
            <w:pPr>
              <w:widowControl/>
              <w:jc w:val="center"/>
              <w:rPr>
                <w:rFonts w:hint="eastAsia" w:eastAsia="宋体"/>
                <w:szCs w:val="18"/>
                <w:lang w:eastAsia="zh-CN"/>
              </w:rPr>
            </w:pPr>
            <w:r>
              <w:rPr>
                <w:rFonts w:hint="eastAsia"/>
                <w:szCs w:val="18"/>
                <w:lang w:eastAsia="zh-CN"/>
              </w:rPr>
              <w:t>坡积黏性土</w:t>
            </w:r>
          </w:p>
        </w:tc>
        <w:tc>
          <w:tcPr>
            <w:tcW w:w="40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17.6</w:t>
            </w:r>
          </w:p>
        </w:tc>
        <w:tc>
          <w:tcPr>
            <w:tcW w:w="37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18.4</w:t>
            </w:r>
          </w:p>
        </w:tc>
        <w:tc>
          <w:tcPr>
            <w:tcW w:w="42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19.3</w:t>
            </w:r>
          </w:p>
        </w:tc>
        <w:tc>
          <w:tcPr>
            <w:tcW w:w="426"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15.6</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16.5</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lang w:val="en-US" w:eastAsia="zh-CN"/>
              </w:rPr>
              <w:t>15</w:t>
            </w:r>
            <w:r>
              <w:rPr>
                <w:rFonts w:hint="eastAsia"/>
                <w:szCs w:val="18"/>
              </w:rPr>
              <w:t>0*</w:t>
            </w:r>
          </w:p>
        </w:tc>
        <w:tc>
          <w:tcPr>
            <w:tcW w:w="559" w:type="pct"/>
            <w:tcBorders>
              <w:top w:val="nil"/>
              <w:left w:val="nil"/>
              <w:bottom w:val="single" w:color="auto" w:sz="4" w:space="0"/>
              <w:right w:val="single" w:color="auto" w:sz="8" w:space="0"/>
            </w:tcBorders>
            <w:vAlign w:val="center"/>
          </w:tcPr>
          <w:p>
            <w:pPr>
              <w:widowControl/>
              <w:jc w:val="center"/>
              <w:rPr>
                <w:szCs w:val="18"/>
              </w:rPr>
            </w:pPr>
            <w:r>
              <w:rPr>
                <w:rFonts w:hint="eastAsia"/>
                <w:szCs w:val="18"/>
              </w:rPr>
              <w:t>45*</w:t>
            </w:r>
          </w:p>
        </w:tc>
        <w:tc>
          <w:tcPr>
            <w:tcW w:w="596" w:type="pct"/>
            <w:tcBorders>
              <w:top w:val="nil"/>
              <w:left w:val="nil"/>
              <w:bottom w:val="single" w:color="auto" w:sz="4" w:space="0"/>
              <w:right w:val="single" w:color="auto" w:sz="8" w:space="0"/>
            </w:tcBorders>
            <w:vAlign w:val="center"/>
          </w:tcPr>
          <w:p>
            <w:pPr>
              <w:widowControl/>
              <w:jc w:val="center"/>
              <w:rPr>
                <w:szCs w:val="18"/>
              </w:rPr>
            </w:pPr>
            <w:r>
              <w:rPr>
                <w:rFonts w:hint="eastAsia"/>
                <w:szCs w:val="18"/>
              </w:rPr>
              <w:t>0.25*</w:t>
            </w:r>
          </w:p>
        </w:tc>
      </w:tr>
      <w:tr>
        <w:tblPrEx>
          <w:tblCellMar>
            <w:top w:w="0" w:type="dxa"/>
            <w:left w:w="108" w:type="dxa"/>
            <w:bottom w:w="0" w:type="dxa"/>
            <w:right w:w="108" w:type="dxa"/>
          </w:tblCellMar>
        </w:tblPrEx>
        <w:trPr>
          <w:trHeight w:val="633"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rFonts w:hint="eastAsia"/>
                <w:szCs w:val="18"/>
              </w:rPr>
              <w:t>③</w:t>
            </w:r>
          </w:p>
        </w:tc>
        <w:tc>
          <w:tcPr>
            <w:tcW w:w="857" w:type="pct"/>
            <w:tcBorders>
              <w:top w:val="nil"/>
              <w:left w:val="nil"/>
              <w:bottom w:val="single" w:color="auto" w:sz="4" w:space="0"/>
              <w:right w:val="single" w:color="auto" w:sz="4" w:space="0"/>
            </w:tcBorders>
            <w:vAlign w:val="center"/>
          </w:tcPr>
          <w:p>
            <w:pPr>
              <w:widowControl/>
              <w:jc w:val="center"/>
              <w:rPr>
                <w:szCs w:val="18"/>
              </w:rPr>
            </w:pPr>
            <w:r>
              <w:rPr>
                <w:szCs w:val="18"/>
              </w:rPr>
              <w:t>全风化</w:t>
            </w:r>
            <w:r>
              <w:rPr>
                <w:rFonts w:hint="eastAsia"/>
                <w:szCs w:val="18"/>
              </w:rPr>
              <w:t>粉砂</w:t>
            </w:r>
            <w:r>
              <w:rPr>
                <w:szCs w:val="18"/>
              </w:rPr>
              <w:t>岩</w:t>
            </w:r>
          </w:p>
        </w:tc>
        <w:tc>
          <w:tcPr>
            <w:tcW w:w="40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19</w:t>
            </w:r>
            <w:r>
              <w:rPr>
                <w:b/>
                <w:color w:val="000000"/>
                <w:szCs w:val="18"/>
              </w:rPr>
              <w:t>*</w:t>
            </w:r>
          </w:p>
        </w:tc>
        <w:tc>
          <w:tcPr>
            <w:tcW w:w="37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24</w:t>
            </w:r>
            <w:r>
              <w:rPr>
                <w:b/>
                <w:color w:val="000000"/>
                <w:szCs w:val="18"/>
              </w:rPr>
              <w:t>*</w:t>
            </w:r>
          </w:p>
        </w:tc>
        <w:tc>
          <w:tcPr>
            <w:tcW w:w="42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26</w:t>
            </w:r>
            <w:r>
              <w:rPr>
                <w:b/>
                <w:color w:val="000000"/>
                <w:szCs w:val="18"/>
              </w:rPr>
              <w:t>*</w:t>
            </w:r>
          </w:p>
        </w:tc>
        <w:tc>
          <w:tcPr>
            <w:tcW w:w="426"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22</w:t>
            </w:r>
            <w:r>
              <w:rPr>
                <w:b/>
                <w:color w:val="000000"/>
                <w:szCs w:val="18"/>
              </w:rPr>
              <w:t>*</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24</w:t>
            </w:r>
            <w:r>
              <w:rPr>
                <w:b/>
                <w:color w:val="000000"/>
                <w:szCs w:val="18"/>
              </w:rPr>
              <w:t>*</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lang w:val="en-US" w:eastAsia="zh-CN"/>
              </w:rPr>
              <w:t>20</w:t>
            </w:r>
            <w:r>
              <w:rPr>
                <w:rFonts w:hint="eastAsia"/>
                <w:szCs w:val="18"/>
              </w:rPr>
              <w:t>0</w:t>
            </w:r>
            <w:r>
              <w:rPr>
                <w:b/>
                <w:color w:val="000000"/>
                <w:szCs w:val="18"/>
              </w:rPr>
              <w:t>*</w:t>
            </w:r>
          </w:p>
        </w:tc>
        <w:tc>
          <w:tcPr>
            <w:tcW w:w="559" w:type="pct"/>
            <w:tcBorders>
              <w:top w:val="nil"/>
              <w:left w:val="nil"/>
              <w:bottom w:val="single" w:color="auto" w:sz="4" w:space="0"/>
              <w:right w:val="single" w:color="auto" w:sz="8" w:space="0"/>
            </w:tcBorders>
            <w:vAlign w:val="center"/>
          </w:tcPr>
          <w:p>
            <w:pPr>
              <w:spacing w:line="260" w:lineRule="exact"/>
              <w:ind w:right="-105"/>
              <w:jc w:val="center"/>
              <w:textAlignment w:val="center"/>
            </w:pPr>
            <w:r>
              <w:rPr>
                <w:rFonts w:hint="eastAsia"/>
              </w:rPr>
              <w:t>80</w:t>
            </w:r>
            <w:r>
              <w:rPr>
                <w:b/>
                <w:color w:val="000000"/>
                <w:szCs w:val="18"/>
              </w:rPr>
              <w:t>*</w:t>
            </w:r>
          </w:p>
        </w:tc>
        <w:tc>
          <w:tcPr>
            <w:tcW w:w="596" w:type="pct"/>
            <w:tcBorders>
              <w:top w:val="nil"/>
              <w:left w:val="nil"/>
              <w:bottom w:val="single" w:color="auto" w:sz="4" w:space="0"/>
              <w:right w:val="single" w:color="auto" w:sz="8" w:space="0"/>
            </w:tcBorders>
            <w:vAlign w:val="center"/>
          </w:tcPr>
          <w:p>
            <w:pPr>
              <w:widowControl/>
              <w:jc w:val="center"/>
            </w:pPr>
            <w:r>
              <w:rPr>
                <w:rFonts w:hint="eastAsia"/>
              </w:rPr>
              <w:t>0.30</w:t>
            </w:r>
            <w:r>
              <w:rPr>
                <w:b/>
                <w:color w:val="000000"/>
                <w:szCs w:val="18"/>
              </w:rPr>
              <w:t>*</w:t>
            </w:r>
          </w:p>
        </w:tc>
      </w:tr>
      <w:tr>
        <w:tblPrEx>
          <w:tblCellMar>
            <w:top w:w="0" w:type="dxa"/>
            <w:left w:w="108" w:type="dxa"/>
            <w:bottom w:w="0" w:type="dxa"/>
            <w:right w:w="108" w:type="dxa"/>
          </w:tblCellMar>
        </w:tblPrEx>
        <w:trPr>
          <w:trHeight w:val="643" w:hRule="atLeast"/>
          <w:jc w:val="center"/>
        </w:trPr>
        <w:tc>
          <w:tcPr>
            <w:tcW w:w="33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④</w:t>
            </w:r>
          </w:p>
        </w:tc>
        <w:tc>
          <w:tcPr>
            <w:tcW w:w="857"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szCs w:val="18"/>
              </w:rPr>
              <w:t>碎块状强风化</w:t>
            </w:r>
            <w:r>
              <w:rPr>
                <w:rFonts w:hint="eastAsia"/>
                <w:szCs w:val="18"/>
              </w:rPr>
              <w:t>粉砂</w:t>
            </w:r>
            <w:r>
              <w:rPr>
                <w:szCs w:val="18"/>
              </w:rPr>
              <w:t>岩</w:t>
            </w:r>
          </w:p>
        </w:tc>
        <w:tc>
          <w:tcPr>
            <w:tcW w:w="40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22</w:t>
            </w:r>
            <w:r>
              <w:rPr>
                <w:b/>
                <w:color w:val="000000"/>
                <w:szCs w:val="18"/>
              </w:rPr>
              <w:t>*</w:t>
            </w:r>
          </w:p>
        </w:tc>
        <w:tc>
          <w:tcPr>
            <w:tcW w:w="37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60</w:t>
            </w:r>
            <w:r>
              <w:rPr>
                <w:b/>
                <w:color w:val="000000"/>
                <w:szCs w:val="18"/>
              </w:rPr>
              <w:t>*</w:t>
            </w:r>
          </w:p>
        </w:tc>
        <w:tc>
          <w:tcPr>
            <w:tcW w:w="42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32</w:t>
            </w:r>
            <w:r>
              <w:rPr>
                <w:b/>
                <w:color w:val="000000"/>
                <w:szCs w:val="18"/>
              </w:rPr>
              <w:t>*</w:t>
            </w:r>
          </w:p>
        </w:tc>
        <w:tc>
          <w:tcPr>
            <w:tcW w:w="426"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40*</w:t>
            </w:r>
          </w:p>
        </w:tc>
        <w:tc>
          <w:tcPr>
            <w:tcW w:w="528"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30</w:t>
            </w:r>
            <w:r>
              <w:rPr>
                <w:b/>
                <w:color w:val="000000"/>
                <w:szCs w:val="18"/>
              </w:rPr>
              <w:t>*</w:t>
            </w:r>
          </w:p>
        </w:tc>
        <w:tc>
          <w:tcPr>
            <w:tcW w:w="48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450</w:t>
            </w:r>
            <w:r>
              <w:rPr>
                <w:b/>
                <w:color w:val="000000"/>
                <w:szCs w:val="18"/>
              </w:rPr>
              <w:t>*</w:t>
            </w:r>
          </w:p>
        </w:tc>
        <w:tc>
          <w:tcPr>
            <w:tcW w:w="55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300</w:t>
            </w:r>
            <w:r>
              <w:rPr>
                <w:b/>
                <w:color w:val="000000"/>
                <w:szCs w:val="18"/>
              </w:rPr>
              <w:t>*</w:t>
            </w:r>
          </w:p>
        </w:tc>
        <w:tc>
          <w:tcPr>
            <w:tcW w:w="596"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0.50</w:t>
            </w:r>
            <w:r>
              <w:rPr>
                <w:b/>
                <w:color w:val="000000"/>
                <w:szCs w:val="18"/>
              </w:rPr>
              <w:t>*</w:t>
            </w:r>
          </w:p>
        </w:tc>
      </w:tr>
    </w:tbl>
    <w:p>
      <w:pPr>
        <w:spacing w:line="540" w:lineRule="exact"/>
        <w:rPr>
          <w:sz w:val="24"/>
          <w:szCs w:val="24"/>
        </w:rPr>
      </w:pPr>
      <w:r>
        <w:rPr>
          <w:sz w:val="24"/>
          <w:szCs w:val="24"/>
        </w:rPr>
        <w:t>注：带“*”为经验值。</w:t>
      </w:r>
    </w:p>
    <w:p>
      <w:pPr>
        <w:ind w:firstLine="560" w:firstLineChars="200"/>
        <w:rPr>
          <w:szCs w:val="28"/>
        </w:rPr>
      </w:pPr>
      <w:r>
        <w:rPr>
          <w:szCs w:val="28"/>
        </w:rPr>
        <w:t>2边坡稳定性验算</w:t>
      </w:r>
    </w:p>
    <w:p>
      <w:pPr>
        <w:autoSpaceDE w:val="0"/>
        <w:autoSpaceDN w:val="0"/>
        <w:adjustRightInd w:val="0"/>
        <w:ind w:firstLine="560" w:firstLineChars="200"/>
        <w:rPr>
          <w:szCs w:val="28"/>
        </w:rPr>
      </w:pPr>
      <w:r>
        <w:rPr>
          <w:szCs w:val="28"/>
        </w:rPr>
        <w:t>根据影响边坡稳定性的各种因素，采用表3.3.3-1推荐的岩土物理力学性能指标进行稳定性分析，对各剖面采用简化Bishop法及传递系数法对1-1’～</w:t>
      </w:r>
      <w:r>
        <w:rPr>
          <w:rFonts w:hint="eastAsia"/>
          <w:szCs w:val="28"/>
        </w:rPr>
        <w:t>3-3</w:t>
      </w:r>
      <w:r>
        <w:rPr>
          <w:szCs w:val="28"/>
        </w:rPr>
        <w:t>’剖面进行整体稳定性验算。验算时土层的抗剪强度分别采用直接快剪试验（天然状态）和饱和快剪（饱和状态）试验C、φ指标进行计算，具体计算结果可参见剖面计算简图（附图1）。</w:t>
      </w:r>
    </w:p>
    <w:p>
      <w:pPr>
        <w:autoSpaceDE w:val="0"/>
        <w:autoSpaceDN w:val="0"/>
        <w:adjustRightInd w:val="0"/>
        <w:rPr>
          <w:szCs w:val="28"/>
        </w:rPr>
      </w:pPr>
      <w:r>
        <w:rPr>
          <w:szCs w:val="28"/>
        </w:rPr>
        <w:t>（1）简化Bishop法：</w:t>
      </w:r>
    </w:p>
    <w:p>
      <w:pPr>
        <w:autoSpaceDE w:val="0"/>
        <w:autoSpaceDN w:val="0"/>
        <w:adjustRightInd w:val="0"/>
        <w:ind w:firstLine="560" w:firstLineChars="200"/>
        <w:rPr>
          <w:spacing w:val="20"/>
          <w:szCs w:val="28"/>
        </w:rPr>
      </w:pPr>
      <m:oMathPara>
        <m:oMath>
          <m:r>
            <m:rPr/>
            <w:rPr>
              <w:rFonts w:ascii="Cambria Math" w:hAnsi="Cambria Math"/>
              <w:spacing w:val="20"/>
              <w:sz w:val="24"/>
              <w:szCs w:val="24"/>
            </w:rPr>
            <m:t>F</m:t>
          </m:r>
          <m:r>
            <m:rPr/>
            <w:rPr>
              <w:rFonts w:hint="eastAsia" w:ascii="Cambria Math" w:hAnsi="Cambria Math"/>
              <w:spacing w:val="20"/>
              <w:sz w:val="24"/>
              <w:szCs w:val="24"/>
            </w:rPr>
            <m:t>s=</m:t>
          </m:r>
          <m:f>
            <m:fPr>
              <m:ctrlPr>
                <w:rPr>
                  <w:rFonts w:ascii="Cambria Math" w:hAnsi="Cambria Math"/>
                  <w:i/>
                  <w:spacing w:val="20"/>
                  <w:sz w:val="24"/>
                  <w:szCs w:val="24"/>
                </w:rPr>
              </m:ctrlPr>
            </m:fPr>
            <m:num>
              <m:nary>
                <m:naryPr>
                  <m:chr m:val="∑"/>
                  <m:limLoc m:val="undOvr"/>
                  <m:subHide m:val="1"/>
                  <m:supHide m:val="1"/>
                  <m:ctrlPr>
                    <w:rPr>
                      <w:rFonts w:ascii="Cambria Math" w:hAnsi="Cambria Math"/>
                      <w:i/>
                      <w:spacing w:val="20"/>
                      <w:sz w:val="24"/>
                      <w:szCs w:val="24"/>
                    </w:rPr>
                  </m:ctrlPr>
                </m:naryPr>
                <m:sub>
                  <m:ctrlPr>
                    <w:rPr>
                      <w:rFonts w:ascii="Cambria Math" w:hAnsi="Cambria Math"/>
                      <w:i/>
                      <w:spacing w:val="20"/>
                      <w:sz w:val="24"/>
                      <w:szCs w:val="24"/>
                    </w:rPr>
                  </m:ctrlPr>
                </m:sub>
                <m:sup>
                  <m:ctrlPr>
                    <w:rPr>
                      <w:rFonts w:ascii="Cambria Math" w:hAnsi="Cambria Math"/>
                      <w:i/>
                      <w:spacing w:val="20"/>
                      <w:sz w:val="24"/>
                      <w:szCs w:val="24"/>
                    </w:rPr>
                  </m:ctrlPr>
                </m:sup>
                <m:e>
                  <m:d>
                    <m:dPr>
                      <m:ctrlPr>
                        <w:rPr>
                          <w:rFonts w:ascii="Cambria Math" w:hAnsi="Cambria Math"/>
                          <w:i/>
                          <w:spacing w:val="20"/>
                          <w:sz w:val="24"/>
                          <w:szCs w:val="24"/>
                        </w:rPr>
                      </m:ctrlPr>
                    </m:dPr>
                    <m:e>
                      <m:sSub>
                        <m:sSubPr>
                          <m:ctrlPr>
                            <w:rPr>
                              <w:rFonts w:ascii="Cambria Math" w:hAnsi="Cambria Math"/>
                              <w:i/>
                              <w:spacing w:val="20"/>
                              <w:sz w:val="24"/>
                              <w:szCs w:val="24"/>
                            </w:rPr>
                          </m:ctrlPr>
                        </m:sSubPr>
                        <m:e>
                          <m:r>
                            <m:rPr/>
                            <w:rPr>
                              <w:rFonts w:ascii="Cambria Math" w:hAnsi="Cambria Math"/>
                              <w:spacing w:val="20"/>
                              <w:sz w:val="24"/>
                              <w:szCs w:val="24"/>
                            </w:rPr>
                            <m:t>W</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tan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φ</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c</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r>
                        <m:rPr/>
                        <w:rPr>
                          <w:rFonts w:hint="eastAsia"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l</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cos</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α</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d>
                  <m:r>
                    <m:rPr/>
                    <w:rPr>
                      <w:rFonts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m</m:t>
                      </m:r>
                      <m:ctrlPr>
                        <w:rPr>
                          <w:rFonts w:ascii="Cambria Math" w:hAnsi="Cambria Math"/>
                          <w:i/>
                          <w:spacing w:val="20"/>
                          <w:sz w:val="24"/>
                          <w:szCs w:val="24"/>
                        </w:rPr>
                      </m:ctrlPr>
                    </m:e>
                    <m:sub>
                      <m:r>
                        <m:rPr/>
                        <w:rPr>
                          <w:rFonts w:ascii="Cambria Math" w:hAnsi="Cambria Math"/>
                          <w:spacing w:val="20"/>
                          <w:sz w:val="24"/>
                          <w:szCs w:val="24"/>
                        </w:rPr>
                        <m:t>θ</m:t>
                      </m:r>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nary>
              <m:ctrlPr>
                <w:rPr>
                  <w:rFonts w:ascii="Cambria Math" w:hAnsi="Cambria Math"/>
                  <w:i/>
                  <w:spacing w:val="20"/>
                  <w:sz w:val="24"/>
                  <w:szCs w:val="24"/>
                </w:rPr>
              </m:ctrlPr>
            </m:num>
            <m:den>
              <m:nary>
                <m:naryPr>
                  <m:chr m:val="∑"/>
                  <m:limLoc m:val="undOvr"/>
                  <m:subHide m:val="1"/>
                  <m:supHide m:val="1"/>
                  <m:ctrlPr>
                    <w:rPr>
                      <w:rFonts w:ascii="Cambria Math" w:hAnsi="Cambria Math"/>
                      <w:i/>
                      <w:spacing w:val="20"/>
                      <w:sz w:val="24"/>
                      <w:szCs w:val="24"/>
                    </w:rPr>
                  </m:ctrlPr>
                </m:naryPr>
                <m:sub>
                  <m:ctrlPr>
                    <w:rPr>
                      <w:rFonts w:ascii="Cambria Math" w:hAnsi="Cambria Math"/>
                      <w:i/>
                      <w:spacing w:val="20"/>
                      <w:sz w:val="24"/>
                      <w:szCs w:val="24"/>
                    </w:rPr>
                  </m:ctrlPr>
                </m:sub>
                <m:sup>
                  <m:ctrlPr>
                    <w:rPr>
                      <w:rFonts w:ascii="Cambria Math" w:hAnsi="Cambria Math"/>
                      <w:i/>
                      <w:spacing w:val="20"/>
                      <w:sz w:val="24"/>
                      <w:szCs w:val="24"/>
                    </w:rPr>
                  </m:ctrlPr>
                </m:sup>
                <m:e>
                  <m:d>
                    <m:dPr>
                      <m:ctrlPr>
                        <w:rPr>
                          <w:rFonts w:ascii="Cambria Math" w:hAnsi="Cambria Math"/>
                          <w:i/>
                          <w:spacing w:val="20"/>
                          <w:sz w:val="24"/>
                          <w:szCs w:val="24"/>
                        </w:rPr>
                      </m:ctrlPr>
                    </m:dPr>
                    <m:e>
                      <m:sSub>
                        <m:sSubPr>
                          <m:ctrlPr>
                            <w:rPr>
                              <w:rFonts w:ascii="Cambria Math" w:hAnsi="Cambria Math"/>
                              <w:i/>
                              <w:spacing w:val="20"/>
                              <w:sz w:val="24"/>
                              <w:szCs w:val="24"/>
                            </w:rPr>
                          </m:ctrlPr>
                        </m:sSubPr>
                        <m:e>
                          <m:r>
                            <m:rPr/>
                            <w:rPr>
                              <w:rFonts w:ascii="Cambria Math" w:hAnsi="Cambria Math"/>
                              <w:spacing w:val="20"/>
                              <w:sz w:val="24"/>
                              <w:szCs w:val="24"/>
                            </w:rPr>
                            <m:t>W</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sin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α</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d>
                  <m:ctrlPr>
                    <w:rPr>
                      <w:rFonts w:ascii="Cambria Math" w:hAnsi="Cambria Math"/>
                      <w:i/>
                      <w:spacing w:val="20"/>
                      <w:sz w:val="24"/>
                      <w:szCs w:val="24"/>
                    </w:rPr>
                  </m:ctrlPr>
                </m:e>
              </m:nary>
              <m:ctrlPr>
                <w:rPr>
                  <w:rFonts w:ascii="Cambria Math" w:hAnsi="Cambria Math"/>
                  <w:i/>
                  <w:spacing w:val="20"/>
                  <w:sz w:val="24"/>
                  <w:szCs w:val="24"/>
                </w:rPr>
              </m:ctrlPr>
            </m:den>
          </m:f>
        </m:oMath>
      </m:oMathPara>
    </w:p>
    <w:p>
      <w:pPr>
        <w:autoSpaceDE w:val="0"/>
        <w:autoSpaceDN w:val="0"/>
        <w:adjustRightInd w:val="0"/>
        <w:ind w:firstLine="480" w:firstLineChars="200"/>
        <w:rPr>
          <w:szCs w:val="28"/>
        </w:rPr>
      </w:pPr>
      <m:oMathPara>
        <m:oMath>
          <m:sSub>
            <m:sSubPr>
              <m:ctrlPr>
                <w:rPr>
                  <w:rFonts w:ascii="Cambria Math" w:hAnsi="Cambria Math"/>
                  <w:i/>
                  <w:sz w:val="24"/>
                  <w:szCs w:val="24"/>
                </w:rPr>
              </m:ctrlPr>
            </m:sSubPr>
            <m:e>
              <m:r>
                <m:rPr/>
                <w:rPr>
                  <w:rFonts w:hint="eastAsia" w:ascii="Cambria Math" w:hAnsi="Cambria Math"/>
                  <w:sz w:val="24"/>
                  <w:szCs w:val="24"/>
                </w:rPr>
                <m:t>m</m:t>
              </m:r>
              <m:ctrlPr>
                <w:rPr>
                  <w:rFonts w:ascii="Cambria Math" w:hAnsi="Cambria Math"/>
                  <w:i/>
                  <w:sz w:val="24"/>
                  <w:szCs w:val="24"/>
                </w:rPr>
              </m:ctrlPr>
            </m:e>
            <m:sub>
              <m:r>
                <m:rPr/>
                <w:rPr>
                  <w:rFonts w:ascii="Cambria Math" w:hAnsi="Cambria Math"/>
                  <w:sz w:val="24"/>
                  <w:szCs w:val="24"/>
                </w:rPr>
                <m:t>θ</m:t>
              </m:r>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ctrlPr>
                <w:rPr>
                  <w:rFonts w:ascii="Cambria Math" w:hAnsi="Cambria Math"/>
                  <w:i/>
                  <w:sz w:val="24"/>
                  <w:szCs w:val="24"/>
                </w:rPr>
              </m:ctrlPr>
            </m:fName>
            <m:e>
              <m:sSub>
                <m:sSubPr>
                  <m:ctrlPr>
                    <w:rPr>
                      <w:rFonts w:ascii="Cambria Math" w:hAnsi="Cambria Math"/>
                      <w:i/>
                      <w:sz w:val="24"/>
                      <w:szCs w:val="24"/>
                    </w:rPr>
                  </m:ctrlPr>
                </m:sSubPr>
                <m:e>
                  <m:r>
                    <m:rPr/>
                    <w:rPr>
                      <w:rFonts w:ascii="Cambria Math" w:hAnsi="Cambria Math"/>
                      <w:sz w:val="24"/>
                      <w:szCs w:val="24"/>
                    </w:rPr>
                    <m:t>α</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ctrlPr>
                <w:rPr>
                  <w:rFonts w:ascii="Cambria Math" w:hAnsi="Cambria Math"/>
                  <w:i/>
                  <w:sz w:val="24"/>
                  <w:szCs w:val="24"/>
                </w:rPr>
              </m:ctrlPr>
            </m:e>
          </m:func>
          <m:f>
            <m:fPr>
              <m:ctrlPr>
                <w:rPr>
                  <w:rFonts w:ascii="Cambria Math" w:hAnsi="Cambria Math"/>
                  <w:i/>
                  <w:sz w:val="24"/>
                  <w:szCs w:val="24"/>
                </w:rPr>
              </m:ctrlPr>
            </m:fPr>
            <m:num>
              <m:func>
                <m:funcPr>
                  <m:ctrlPr>
                    <w:rPr>
                      <w:rFonts w:ascii="Cambria Math" w:hAnsi="Cambria Math"/>
                      <w:i/>
                      <w:sz w:val="24"/>
                      <w:szCs w:val="24"/>
                    </w:rPr>
                  </m:ctrlPr>
                </m:funcPr>
                <m:fName>
                  <m:r>
                    <m:rPr>
                      <m:sty m:val="p"/>
                    </m:rPr>
                    <w:rPr>
                      <w:rFonts w:ascii="Cambria Math" w:hAnsi="Cambria Math"/>
                      <w:sz w:val="24"/>
                      <w:szCs w:val="24"/>
                    </w:rPr>
                    <m:t>sin</m:t>
                  </m:r>
                  <m:ctrlPr>
                    <w:rPr>
                      <w:rFonts w:ascii="Cambria Math" w:hAnsi="Cambria Math"/>
                      <w:i/>
                      <w:sz w:val="24"/>
                      <w:szCs w:val="24"/>
                    </w:rPr>
                  </m:ctrlPr>
                </m:fName>
                <m:e>
                  <m:sSub>
                    <m:sSubPr>
                      <m:ctrlPr>
                        <w:rPr>
                          <w:rFonts w:ascii="Cambria Math" w:hAnsi="Cambria Math"/>
                          <w:i/>
                          <w:sz w:val="24"/>
                          <w:szCs w:val="24"/>
                        </w:rPr>
                      </m:ctrlPr>
                    </m:sSubPr>
                    <m:e>
                      <m:r>
                        <m:rPr/>
                        <w:rPr>
                          <w:rFonts w:ascii="Cambria Math" w:hAnsi="Cambria Math"/>
                          <w:sz w:val="24"/>
                          <w:szCs w:val="24"/>
                        </w:rPr>
                        <m:t>α</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tan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φ</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func>
              <m:ctrlPr>
                <w:rPr>
                  <w:rFonts w:ascii="Cambria Math" w:hAnsi="Cambria Math"/>
                  <w:i/>
                  <w:sz w:val="24"/>
                  <w:szCs w:val="24"/>
                </w:rPr>
              </m:ctrlPr>
            </m:num>
            <m:den>
              <m:r>
                <m:rPr/>
                <w:rPr>
                  <w:rFonts w:ascii="Cambria Math" w:hAnsi="Cambria Math"/>
                  <w:sz w:val="24"/>
                  <w:szCs w:val="24"/>
                </w:rPr>
                <m:t>F</m:t>
              </m:r>
              <m:r>
                <m:rPr/>
                <w:rPr>
                  <w:rFonts w:hint="eastAsia" w:ascii="Cambria Math" w:hAnsi="Cambria Math"/>
                  <w:sz w:val="24"/>
                  <w:szCs w:val="24"/>
                </w:rPr>
                <m:t>s</m:t>
              </m:r>
              <m:ctrlPr>
                <w:rPr>
                  <w:rFonts w:ascii="Cambria Math" w:hAnsi="Cambria Math"/>
                  <w:i/>
                  <w:sz w:val="24"/>
                  <w:szCs w:val="24"/>
                </w:rPr>
              </m:ctrlPr>
            </m:den>
          </m:f>
        </m:oMath>
      </m:oMathPara>
    </w:p>
    <w:p>
      <w:pPr>
        <w:ind w:firstLine="960" w:firstLineChars="300"/>
        <w:rPr>
          <w:spacing w:val="20"/>
          <w:szCs w:val="28"/>
        </w:rPr>
      </w:pPr>
      <w:r>
        <w:rPr>
          <w:spacing w:val="20"/>
          <w:szCs w:val="28"/>
        </w:rPr>
        <w:t>公式中：</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30"/>
          <w:szCs w:val="28"/>
        </w:rPr>
        <w:pict>
          <v:shape id="_x0000_i1025" o:spt="75" type="#_x0000_t75" style="height:31.2pt;width:19.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B779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5B7792&quot; wsp:rsidP=&quot;005B7792&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W&lt;/m:t&gt;&lt;/m:r&gt;&lt;/m:e&gt;&lt;m:sub&gt;&lt;m:eqArr&gt;&lt;m:eqArrPr&gt;&lt;m:ctrlPr&gt;&lt;w:rPr&gt;&lt;w: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2"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30"/>
          <w:szCs w:val="28"/>
        </w:rPr>
        <w:pict>
          <v:shape id="_x0000_i1026" o:spt="75" type="#_x0000_t75" style="height:31.2pt;width:19.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B779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5B7792&quot; wsp:rsidP=&quot;005B7792&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W&lt;/m:t&gt;&lt;/m:r&gt;&lt;/m:e&gt;&lt;m:sub&gt;&lt;m:eqArr&gt;&lt;m:eqArrPr&gt;&lt;m:ctrlPr&gt;&lt;w:rPr&gt;&lt;w: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2" chromakey="#FFFFFF" o:title=""/>
            <o:lock v:ext="edit" aspectratio="t"/>
            <w10:wrap type="none"/>
            <w10:anchorlock/>
          </v:shape>
        </w:pict>
      </w:r>
      <w:r>
        <w:rPr>
          <w:spacing w:val="20"/>
          <w:szCs w:val="28"/>
        </w:rPr>
        <w:fldChar w:fldCharType="end"/>
      </w:r>
      <w:r>
        <w:rPr>
          <w:spacing w:val="20"/>
          <w:szCs w:val="28"/>
        </w:rPr>
        <w:t>：条块重量（KN），水上采用天然容重，水下采用饱和容重；</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30"/>
          <w:szCs w:val="28"/>
        </w:rPr>
        <w:pict>
          <v:shape id="_x0000_i1027" o:spt="75" type="#_x0000_t75" style="height:31.2pt;width:15.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6518&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866518&quot; wsp:rsidP=&quot;00866518&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α&lt;/m:t&gt;&lt;/m:r&gt;&lt;/m:e&gt;&lt;m:sub&gt;&lt;m:eqArr&gt;&lt;m:eqArrPr&gt;&lt;m:ctrlPr&gt;&lt;w:rPr&gt;bbbb&lt;wr: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3"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30"/>
          <w:szCs w:val="28"/>
        </w:rPr>
        <w:pict>
          <v:shape id="_x0000_i1028" o:spt="75" type="#_x0000_t75" style="height:31.2pt;width:15.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6518&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866518&quot; wsp:rsidP=&quot;00866518&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α&lt;/m:t&gt;&lt;/m:r&gt;&lt;/m:e&gt;&lt;m:sub&gt;&lt;m:eqArr&gt;&lt;m:eqArrPr&gt;&lt;m:ctrlPr&gt;&lt;w:rPr&gt;bbbb&lt;wr: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3" chromakey="#FFFFFF" o:title=""/>
            <o:lock v:ext="edit" aspectratio="t"/>
            <w10:wrap type="none"/>
            <w10:anchorlock/>
          </v:shape>
        </w:pict>
      </w:r>
      <w:r>
        <w:rPr>
          <w:spacing w:val="20"/>
          <w:szCs w:val="28"/>
        </w:rPr>
        <w:fldChar w:fldCharType="end"/>
      </w:r>
      <w:r>
        <w:rPr>
          <w:spacing w:val="20"/>
          <w:szCs w:val="28"/>
        </w:rPr>
        <w:t>：条块底面与水平向夹角（</w:t>
      </w:r>
      <w:r>
        <w:rPr>
          <w:szCs w:val="28"/>
        </w:rPr>
        <w:t>°</w:t>
      </w:r>
      <w:r>
        <w:rPr>
          <w:spacing w:val="20"/>
          <w:szCs w:val="28"/>
        </w:rPr>
        <w:t>）；</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6"/>
          <w:szCs w:val="28"/>
        </w:rPr>
        <w:pict>
          <v:shape id="_x0000_i1029" o:spt="75" type="#_x0000_t75" style="height:15.6pt;width: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5EED&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215EED&quot; wsp:rsidP=&quot;00215EED&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c&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4"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0" o:spt="75" type="#_x0000_t75" style="height:15.6pt;width: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5EED&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215EED&quot; wsp:rsidP=&quot;00215EED&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c&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4" chromakey="#FFFFFF" o:title=""/>
            <o:lock v:ext="edit" aspectratio="t"/>
            <w10:wrap type="none"/>
            <w10:anchorlock/>
          </v:shape>
        </w:pict>
      </w:r>
      <w:r>
        <w:rPr>
          <w:spacing w:val="20"/>
          <w:szCs w:val="28"/>
        </w:rPr>
        <w:fldChar w:fldCharType="end"/>
      </w:r>
      <w:r>
        <w:rPr>
          <w:spacing w:val="20"/>
          <w:szCs w:val="28"/>
        </w:rPr>
        <w:t>、</w:t>
      </w:r>
      <w:r>
        <w:rPr>
          <w:spacing w:val="20"/>
          <w:szCs w:val="28"/>
        </w:rPr>
        <w:fldChar w:fldCharType="begin"/>
      </w:r>
      <w:r>
        <w:rPr>
          <w:spacing w:val="20"/>
          <w:szCs w:val="28"/>
        </w:rPr>
        <w:instrText xml:space="preserve"> QUOTE </w:instrText>
      </w:r>
      <w:r>
        <w:rPr>
          <w:position w:val="-6"/>
          <w:szCs w:val="28"/>
        </w:rPr>
        <w:pict>
          <v:shape id="_x0000_i1031" o:spt="75" type="#_x0000_t75" style="height:15.6pt;width: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73A&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77373A&quot; wsp:rsidP=&quot;0077373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φ&lt;/m:t&gt;&lt;/m:r&gt;&lt;/m:e&gt;&lt;m:sub&gt;&lt;m:r&gt;&lt;w:rPr&gt;&lt;w:rFonts w:ascii=&quot;Cambribbbba r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5"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2" o:spt="75" type="#_x0000_t75" style="height:15.6pt;width: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73A&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77373A&quot; wsp:rsidP=&quot;0077373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φ&lt;/m:t&gt;&lt;/m:r&gt;&lt;/m:e&gt;&lt;m:sub&gt;&lt;m:r&gt;&lt;w:rPr&gt;&lt;w:rFonts w:ascii=&quot;Cambribbbba r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5" chromakey="#FFFFFF" o:title=""/>
            <o:lock v:ext="edit" aspectratio="t"/>
            <w10:wrap type="none"/>
            <w10:anchorlock/>
          </v:shape>
        </w:pict>
      </w:r>
      <w:r>
        <w:rPr>
          <w:spacing w:val="20"/>
          <w:szCs w:val="28"/>
        </w:rPr>
        <w:fldChar w:fldCharType="end"/>
      </w:r>
      <w:r>
        <w:rPr>
          <w:spacing w:val="20"/>
          <w:szCs w:val="28"/>
        </w:rPr>
        <w:t>：条块滑面的粘聚力（kPa）与内摩擦角（</w:t>
      </w:r>
      <w:r>
        <w:rPr>
          <w:szCs w:val="28"/>
        </w:rPr>
        <w:t>°</w:t>
      </w:r>
      <w:r>
        <w:rPr>
          <w:spacing w:val="20"/>
          <w:szCs w:val="28"/>
        </w:rPr>
        <w:t>）；</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6"/>
          <w:szCs w:val="28"/>
        </w:rPr>
        <w:pict>
          <v:shape id="_x0000_i1033" o:spt="75" type="#_x0000_t75" style="height:15.6pt;width:7.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2CDA&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E62CDA&quot; wsp:rsidP=&quot;00E62CD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l&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6"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4" o:spt="75" type="#_x0000_t75" style="height:15.6pt;width:7.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2CDA&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E62CDA&quot; wsp:rsidP=&quot;00E62CD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l&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6" chromakey="#FFFFFF" o:title=""/>
            <o:lock v:ext="edit" aspectratio="t"/>
            <w10:wrap type="none"/>
            <w10:anchorlock/>
          </v:shape>
        </w:pict>
      </w:r>
      <w:r>
        <w:rPr>
          <w:spacing w:val="20"/>
          <w:szCs w:val="28"/>
        </w:rPr>
        <w:fldChar w:fldCharType="end"/>
      </w:r>
      <w:r>
        <w:rPr>
          <w:spacing w:val="20"/>
          <w:szCs w:val="28"/>
        </w:rPr>
        <w:t>：条块滑面斜长（m）。</w:t>
      </w:r>
    </w:p>
    <w:p>
      <w:pPr>
        <w:spacing w:line="500" w:lineRule="exact"/>
        <w:jc w:val="center"/>
        <w:rPr>
          <w:b/>
          <w:bCs/>
          <w:spacing w:val="20"/>
          <w:szCs w:val="28"/>
        </w:rPr>
      </w:pPr>
      <w:r>
        <w:rPr>
          <w:b/>
          <w:bCs/>
          <w:spacing w:val="20"/>
          <w:szCs w:val="28"/>
        </w:rPr>
        <w:t>表3.3.3-2   各工况计算边坡稳定系数表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4"/>
        <w:gridCol w:w="1696"/>
        <w:gridCol w:w="3560"/>
        <w:gridCol w:w="35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1615" w:type="pct"/>
            <w:gridSpan w:val="2"/>
            <w:vAlign w:val="center"/>
          </w:tcPr>
          <w:p>
            <w:pPr>
              <w:spacing w:line="360" w:lineRule="exact"/>
              <w:jc w:val="center"/>
              <w:rPr>
                <w:szCs w:val="28"/>
              </w:rPr>
            </w:pPr>
            <w:r>
              <w:rPr>
                <w:szCs w:val="28"/>
              </w:rPr>
              <w:t>计算剖面</w:t>
            </w:r>
          </w:p>
        </w:tc>
        <w:tc>
          <w:tcPr>
            <w:tcW w:w="1696" w:type="pct"/>
            <w:vAlign w:val="center"/>
          </w:tcPr>
          <w:p>
            <w:pPr>
              <w:spacing w:line="360" w:lineRule="exact"/>
              <w:jc w:val="center"/>
              <w:rPr>
                <w:b/>
                <w:bCs/>
                <w:spacing w:val="20"/>
                <w:szCs w:val="28"/>
              </w:rPr>
            </w:pPr>
            <w:r>
              <w:rPr>
                <w:szCs w:val="28"/>
              </w:rPr>
              <w:t>天然状态</w:t>
            </w:r>
          </w:p>
        </w:tc>
        <w:tc>
          <w:tcPr>
            <w:tcW w:w="1687" w:type="pct"/>
            <w:vAlign w:val="center"/>
          </w:tcPr>
          <w:p>
            <w:pPr>
              <w:spacing w:line="360" w:lineRule="exact"/>
              <w:jc w:val="center"/>
              <w:rPr>
                <w:b/>
                <w:bCs/>
                <w:spacing w:val="20"/>
                <w:szCs w:val="28"/>
              </w:rPr>
            </w:pPr>
            <w:r>
              <w:rPr>
                <w:szCs w:val="28"/>
              </w:rPr>
              <w:t>饱和状态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7" w:type="pct"/>
            <w:vMerge w:val="restart"/>
            <w:vAlign w:val="center"/>
          </w:tcPr>
          <w:p>
            <w:pPr>
              <w:spacing w:line="360" w:lineRule="exact"/>
              <w:jc w:val="center"/>
              <w:rPr>
                <w:szCs w:val="28"/>
              </w:rPr>
            </w:pPr>
            <w:r>
              <w:rPr>
                <w:szCs w:val="28"/>
              </w:rPr>
              <w:t>1-1’</w:t>
            </w:r>
          </w:p>
        </w:tc>
        <w:tc>
          <w:tcPr>
            <w:tcW w:w="808" w:type="pct"/>
            <w:vAlign w:val="center"/>
          </w:tcPr>
          <w:p>
            <w:pPr>
              <w:spacing w:line="360" w:lineRule="exact"/>
              <w:jc w:val="center"/>
              <w:rPr>
                <w:rFonts w:hint="default" w:eastAsia="宋体"/>
                <w:szCs w:val="28"/>
                <w:lang w:val="en-US" w:eastAsia="zh-CN"/>
              </w:rPr>
            </w:pPr>
            <w:r>
              <w:rPr>
                <w:rFonts w:hint="eastAsia"/>
                <w:szCs w:val="28"/>
                <w:lang w:val="en-US" w:eastAsia="zh-CN"/>
              </w:rPr>
              <w:t>房前坡段</w:t>
            </w:r>
          </w:p>
        </w:tc>
        <w:tc>
          <w:tcPr>
            <w:tcW w:w="1696" w:type="pct"/>
            <w:vAlign w:val="center"/>
          </w:tcPr>
          <w:p>
            <w:pPr>
              <w:spacing w:line="360" w:lineRule="exact"/>
              <w:jc w:val="center"/>
              <w:rPr>
                <w:szCs w:val="28"/>
              </w:rPr>
            </w:pPr>
            <w:r>
              <w:rPr>
                <w:rFonts w:hint="eastAsia"/>
                <w:szCs w:val="28"/>
              </w:rPr>
              <w:t>1.039</w:t>
            </w:r>
          </w:p>
        </w:tc>
        <w:tc>
          <w:tcPr>
            <w:tcW w:w="1687" w:type="pct"/>
            <w:vAlign w:val="center"/>
          </w:tcPr>
          <w:p>
            <w:pPr>
              <w:spacing w:line="360" w:lineRule="exact"/>
              <w:jc w:val="center"/>
              <w:rPr>
                <w:szCs w:val="28"/>
              </w:rPr>
            </w:pPr>
            <w:r>
              <w:rPr>
                <w:rFonts w:hint="eastAsia"/>
                <w:szCs w:val="28"/>
              </w:rPr>
              <w:t>0.901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7" w:type="pct"/>
            <w:vMerge w:val="continue"/>
            <w:vAlign w:val="center"/>
          </w:tcPr>
          <w:p>
            <w:pPr>
              <w:spacing w:line="360" w:lineRule="exact"/>
              <w:jc w:val="center"/>
              <w:rPr>
                <w:szCs w:val="28"/>
              </w:rPr>
            </w:pPr>
          </w:p>
        </w:tc>
        <w:tc>
          <w:tcPr>
            <w:tcW w:w="808" w:type="pct"/>
            <w:vAlign w:val="center"/>
          </w:tcPr>
          <w:p>
            <w:pPr>
              <w:spacing w:line="360" w:lineRule="exact"/>
              <w:jc w:val="center"/>
              <w:rPr>
                <w:rFonts w:hint="default" w:eastAsia="宋体"/>
                <w:szCs w:val="28"/>
                <w:lang w:val="en-US" w:eastAsia="zh-CN"/>
              </w:rPr>
            </w:pPr>
            <w:r>
              <w:rPr>
                <w:rFonts w:hint="eastAsia"/>
                <w:szCs w:val="28"/>
                <w:lang w:val="en-US" w:eastAsia="zh-CN"/>
              </w:rPr>
              <w:t>房后坡段</w:t>
            </w:r>
          </w:p>
        </w:tc>
        <w:tc>
          <w:tcPr>
            <w:tcW w:w="1696" w:type="pct"/>
            <w:vAlign w:val="center"/>
          </w:tcPr>
          <w:p>
            <w:pPr>
              <w:spacing w:line="360" w:lineRule="exact"/>
              <w:jc w:val="center"/>
              <w:rPr>
                <w:rFonts w:hint="default" w:eastAsia="宋体"/>
                <w:szCs w:val="28"/>
                <w:lang w:val="en-US" w:eastAsia="zh-CN"/>
              </w:rPr>
            </w:pPr>
            <w:r>
              <w:rPr>
                <w:rFonts w:hint="eastAsia"/>
                <w:szCs w:val="28"/>
                <w:lang w:val="en-US" w:eastAsia="zh-CN"/>
              </w:rPr>
              <w:t>1.215</w:t>
            </w:r>
          </w:p>
        </w:tc>
        <w:tc>
          <w:tcPr>
            <w:tcW w:w="1687" w:type="pct"/>
            <w:vAlign w:val="center"/>
          </w:tcPr>
          <w:p>
            <w:pPr>
              <w:spacing w:line="360" w:lineRule="exact"/>
              <w:jc w:val="center"/>
              <w:rPr>
                <w:rFonts w:hint="default" w:eastAsia="宋体"/>
                <w:szCs w:val="28"/>
                <w:lang w:val="en-US" w:eastAsia="zh-CN"/>
              </w:rPr>
            </w:pPr>
            <w:r>
              <w:rPr>
                <w:rFonts w:hint="eastAsia"/>
                <w:szCs w:val="28"/>
                <w:lang w:val="en-US" w:eastAsia="zh-CN"/>
              </w:rPr>
              <w:t>1.066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615" w:type="pct"/>
            <w:gridSpan w:val="2"/>
            <w:vAlign w:val="center"/>
          </w:tcPr>
          <w:p>
            <w:pPr>
              <w:spacing w:line="360" w:lineRule="exact"/>
              <w:jc w:val="center"/>
              <w:rPr>
                <w:rFonts w:ascii="Times New Roman" w:hAnsi="Times New Roman" w:eastAsia="宋体" w:cs="Times New Roman"/>
                <w:sz w:val="28"/>
                <w:szCs w:val="28"/>
                <w:lang w:val="en-US" w:eastAsia="zh-CN" w:bidi="ar-SA"/>
              </w:rPr>
            </w:pPr>
            <w:r>
              <w:rPr>
                <w:szCs w:val="28"/>
              </w:rPr>
              <w:t>2-2’</w:t>
            </w:r>
          </w:p>
        </w:tc>
        <w:tc>
          <w:tcPr>
            <w:tcW w:w="1696" w:type="pct"/>
            <w:vAlign w:val="center"/>
          </w:tcPr>
          <w:p>
            <w:pPr>
              <w:spacing w:line="360" w:lineRule="exact"/>
              <w:jc w:val="center"/>
              <w:rPr>
                <w:rFonts w:hint="eastAsia" w:ascii="Times New Roman" w:hAnsi="Times New Roman" w:eastAsia="宋体" w:cs="Times New Roman"/>
                <w:sz w:val="28"/>
                <w:szCs w:val="28"/>
                <w:lang w:val="en-US" w:eastAsia="zh-CN" w:bidi="ar-SA"/>
              </w:rPr>
            </w:pPr>
            <w:r>
              <w:rPr>
                <w:rFonts w:hint="eastAsia"/>
                <w:szCs w:val="28"/>
              </w:rPr>
              <w:t>1.104</w:t>
            </w:r>
          </w:p>
        </w:tc>
        <w:tc>
          <w:tcPr>
            <w:tcW w:w="1687" w:type="pct"/>
            <w:vAlign w:val="center"/>
          </w:tcPr>
          <w:p>
            <w:pPr>
              <w:spacing w:line="360" w:lineRule="exact"/>
              <w:jc w:val="center"/>
              <w:rPr>
                <w:rFonts w:hint="eastAsia" w:ascii="Times New Roman" w:hAnsi="Times New Roman" w:eastAsia="宋体" w:cs="Times New Roman"/>
                <w:sz w:val="28"/>
                <w:szCs w:val="28"/>
                <w:lang w:val="en-US" w:eastAsia="zh-CN" w:bidi="ar-SA"/>
              </w:rPr>
            </w:pPr>
            <w:r>
              <w:rPr>
                <w:rFonts w:hint="eastAsia"/>
                <w:szCs w:val="28"/>
              </w:rPr>
              <w:t>0.984</w:t>
            </w:r>
          </w:p>
        </w:tc>
      </w:tr>
    </w:tbl>
    <w:p>
      <w:pPr>
        <w:ind w:firstLine="560" w:firstLineChars="200"/>
        <w:jc w:val="left"/>
        <w:rPr>
          <w:rFonts w:hint="eastAsia"/>
          <w:color w:val="auto"/>
          <w:szCs w:val="28"/>
          <w:lang w:eastAsia="zh-CN"/>
        </w:rPr>
      </w:pPr>
      <w:r>
        <w:rPr>
          <w:szCs w:val="28"/>
        </w:rPr>
        <w:t>计算结果表明：</w:t>
      </w:r>
      <w:r>
        <w:rPr>
          <w:rFonts w:hint="eastAsia"/>
          <w:szCs w:val="28"/>
          <w:lang w:val="en-US" w:eastAsia="zh-CN"/>
        </w:rPr>
        <w:t>28、</w:t>
      </w:r>
      <w:r>
        <w:rPr>
          <w:rFonts w:hint="eastAsia"/>
          <w:color w:val="auto"/>
          <w:szCs w:val="28"/>
          <w:lang w:val="en-US" w:eastAsia="zh-CN"/>
        </w:rPr>
        <w:t>31、32、33号宅前坡段边坡</w:t>
      </w:r>
      <w:r>
        <w:rPr>
          <w:rFonts w:hint="eastAsia"/>
          <w:color w:val="auto"/>
          <w:szCs w:val="28"/>
        </w:rPr>
        <w:t>天然状态下</w:t>
      </w:r>
      <w:r>
        <w:rPr>
          <w:color w:val="auto"/>
          <w:szCs w:val="28"/>
        </w:rPr>
        <w:t>整体处于</w:t>
      </w:r>
      <w:r>
        <w:rPr>
          <w:rFonts w:hint="eastAsia"/>
          <w:color w:val="auto"/>
          <w:szCs w:val="28"/>
          <w:lang w:val="en-US" w:eastAsia="zh-CN"/>
        </w:rPr>
        <w:t>欠</w:t>
      </w:r>
      <w:r>
        <w:rPr>
          <w:color w:val="auto"/>
          <w:szCs w:val="28"/>
        </w:rPr>
        <w:t>稳定</w:t>
      </w:r>
      <w:r>
        <w:rPr>
          <w:rFonts w:hint="eastAsia"/>
          <w:color w:val="auto"/>
          <w:szCs w:val="28"/>
          <w:lang w:val="en-US" w:eastAsia="zh-CN"/>
        </w:rPr>
        <w:t>～基本稳定</w:t>
      </w:r>
      <w:r>
        <w:rPr>
          <w:color w:val="auto"/>
          <w:szCs w:val="28"/>
        </w:rPr>
        <w:t>状态，</w:t>
      </w:r>
      <w:r>
        <w:rPr>
          <w:rFonts w:hint="eastAsia"/>
          <w:color w:val="auto"/>
          <w:szCs w:val="28"/>
        </w:rPr>
        <w:t>但由于</w:t>
      </w:r>
      <w:r>
        <w:rPr>
          <w:rFonts w:hint="eastAsia"/>
          <w:color w:val="auto"/>
          <w:szCs w:val="28"/>
          <w:lang w:val="en-US" w:eastAsia="zh-CN"/>
        </w:rPr>
        <w:t>边</w:t>
      </w:r>
      <w:r>
        <w:rPr>
          <w:rFonts w:hint="eastAsia"/>
          <w:color w:val="auto"/>
          <w:szCs w:val="28"/>
        </w:rPr>
        <w:t>坡坡度较陡，</w:t>
      </w:r>
      <w:r>
        <w:rPr>
          <w:rFonts w:hint="eastAsia"/>
          <w:szCs w:val="28"/>
        </w:rPr>
        <w:t>坡顶填土区域内填方厚度较大，</w:t>
      </w:r>
      <w:r>
        <w:rPr>
          <w:rFonts w:hint="eastAsia"/>
          <w:color w:val="auto"/>
          <w:szCs w:val="28"/>
        </w:rPr>
        <w:t>在暴雨等极端气候条件下</w:t>
      </w:r>
      <w:r>
        <w:rPr>
          <w:rFonts w:hint="eastAsia"/>
          <w:color w:val="auto"/>
          <w:szCs w:val="28"/>
          <w:lang w:eastAsia="zh-CN"/>
        </w:rPr>
        <w:t>，</w:t>
      </w:r>
      <w:r>
        <w:rPr>
          <w:rFonts w:hint="eastAsia"/>
          <w:color w:val="auto"/>
          <w:szCs w:val="28"/>
        </w:rPr>
        <w:t>当边坡土体达到饱和状态时，</w:t>
      </w:r>
      <w:r>
        <w:rPr>
          <w:color w:val="auto"/>
          <w:szCs w:val="28"/>
        </w:rPr>
        <w:t>边坡稳定系数减小</w:t>
      </w:r>
      <w:r>
        <w:rPr>
          <w:rFonts w:hint="eastAsia"/>
          <w:color w:val="auto"/>
          <w:szCs w:val="28"/>
          <w:lang w:eastAsia="zh-CN"/>
        </w:rPr>
        <w:t>，</w:t>
      </w:r>
      <w:r>
        <w:rPr>
          <w:rFonts w:hint="eastAsia"/>
          <w:color w:val="auto"/>
          <w:szCs w:val="28"/>
          <w:lang w:val="en-US" w:eastAsia="zh-CN"/>
        </w:rPr>
        <w:t>边坡</w:t>
      </w:r>
      <w:r>
        <w:rPr>
          <w:rFonts w:hint="eastAsia"/>
          <w:color w:val="auto"/>
          <w:szCs w:val="28"/>
        </w:rPr>
        <w:t>处于</w:t>
      </w:r>
      <w:r>
        <w:rPr>
          <w:rFonts w:hint="eastAsia"/>
          <w:color w:val="auto"/>
          <w:szCs w:val="28"/>
          <w:lang w:val="en-US" w:eastAsia="zh-CN"/>
        </w:rPr>
        <w:t>不</w:t>
      </w:r>
      <w:r>
        <w:rPr>
          <w:rFonts w:hint="eastAsia"/>
          <w:color w:val="auto"/>
          <w:szCs w:val="28"/>
        </w:rPr>
        <w:t>稳定状态，潜在产生表层滑塌灾害</w:t>
      </w:r>
      <w:r>
        <w:rPr>
          <w:rFonts w:hint="eastAsia"/>
          <w:color w:val="auto"/>
          <w:szCs w:val="28"/>
          <w:lang w:eastAsia="zh-CN"/>
        </w:rPr>
        <w:t>；</w:t>
      </w:r>
      <w:r>
        <w:rPr>
          <w:rFonts w:hint="eastAsia"/>
          <w:color w:val="auto"/>
          <w:szCs w:val="28"/>
          <w:lang w:val="en-US" w:eastAsia="zh-CN"/>
        </w:rPr>
        <w:t>31、32、33号宅后坡段天然状态下整体处于基本稳定状态，但由于边坡坡度较陡，</w:t>
      </w:r>
      <w:r>
        <w:rPr>
          <w:rFonts w:hint="eastAsia"/>
          <w:color w:val="auto"/>
          <w:szCs w:val="28"/>
        </w:rPr>
        <w:t>在暴雨等极端气候条件下</w:t>
      </w:r>
      <w:r>
        <w:rPr>
          <w:rFonts w:hint="eastAsia"/>
          <w:color w:val="auto"/>
          <w:szCs w:val="28"/>
          <w:lang w:eastAsia="zh-CN"/>
        </w:rPr>
        <w:t>，</w:t>
      </w:r>
      <w:r>
        <w:rPr>
          <w:rFonts w:hint="eastAsia"/>
          <w:color w:val="auto"/>
          <w:szCs w:val="28"/>
        </w:rPr>
        <w:t>当边坡土体达到饱和状态时，</w:t>
      </w:r>
      <w:r>
        <w:rPr>
          <w:color w:val="auto"/>
          <w:szCs w:val="28"/>
        </w:rPr>
        <w:t>边坡稳定系数减小</w:t>
      </w:r>
      <w:r>
        <w:rPr>
          <w:rFonts w:hint="eastAsia"/>
          <w:color w:val="auto"/>
          <w:szCs w:val="28"/>
          <w:lang w:eastAsia="zh-CN"/>
        </w:rPr>
        <w:t>，</w:t>
      </w:r>
      <w:r>
        <w:rPr>
          <w:rFonts w:hint="eastAsia"/>
          <w:color w:val="auto"/>
          <w:szCs w:val="28"/>
          <w:lang w:val="en-US" w:eastAsia="zh-CN"/>
        </w:rPr>
        <w:t>边坡</w:t>
      </w:r>
      <w:r>
        <w:rPr>
          <w:rFonts w:hint="eastAsia"/>
          <w:color w:val="auto"/>
          <w:szCs w:val="28"/>
        </w:rPr>
        <w:t>处于</w:t>
      </w:r>
      <w:r>
        <w:rPr>
          <w:rFonts w:hint="eastAsia"/>
          <w:color w:val="auto"/>
          <w:szCs w:val="28"/>
          <w:lang w:val="en-US" w:eastAsia="zh-CN"/>
        </w:rPr>
        <w:t>欠</w:t>
      </w:r>
      <w:r>
        <w:rPr>
          <w:rFonts w:hint="eastAsia"/>
          <w:color w:val="auto"/>
          <w:szCs w:val="28"/>
        </w:rPr>
        <w:t>稳定状态，潜在产生表层滑塌灾害</w:t>
      </w:r>
      <w:r>
        <w:rPr>
          <w:rFonts w:hint="eastAsia"/>
          <w:color w:val="auto"/>
          <w:szCs w:val="28"/>
          <w:lang w:eastAsia="zh-CN"/>
        </w:rPr>
        <w:t>。</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rPr>
                <w:rFonts w:hint="eastAsia" w:eastAsia="宋体"/>
                <w:lang w:eastAsia="zh-CN"/>
              </w:rPr>
            </w:pPr>
            <w:r>
              <w:rPr>
                <w:rFonts w:hint="eastAsia" w:eastAsia="宋体"/>
                <w:lang w:eastAsia="zh-CN"/>
              </w:rPr>
              <w:drawing>
                <wp:inline distT="0" distB="0" distL="114300" distR="114300">
                  <wp:extent cx="3857625" cy="4212590"/>
                  <wp:effectExtent l="0" t="0" r="8890" b="13335"/>
                  <wp:docPr id="12" name="图片 12" descr="尤溪北门31、32、33号等宅后崩塌治理工程图件 Layout1 (1)_4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尤溪北门31、32、33号等宅后崩塌治理工程图件 Layout1 (1)_4_页面_1"/>
                          <pic:cNvPicPr>
                            <a:picLocks noChangeAspect="1"/>
                          </pic:cNvPicPr>
                        </pic:nvPicPr>
                        <pic:blipFill>
                          <a:blip r:embed="rId27"/>
                          <a:srcRect l="13790" t="15590" r="9350" b="25040"/>
                          <a:stretch>
                            <a:fillRect/>
                          </a:stretch>
                        </pic:blipFill>
                        <pic:spPr>
                          <a:xfrm rot="16200000">
                            <a:off x="0" y="0"/>
                            <a:ext cx="3857625" cy="42125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pPr>
            <w:r>
              <w:rPr>
                <w:rFonts w:hint="eastAsia"/>
              </w:rPr>
              <w:drawing>
                <wp:inline distT="0" distB="0" distL="114300" distR="114300">
                  <wp:extent cx="3727450" cy="4531995"/>
                  <wp:effectExtent l="0" t="0" r="9525" b="6350"/>
                  <wp:docPr id="25" name="图片 25" descr="尤溪北门28号等宅后崩塌治理工程图件 Layout1 (1)_2_页面_1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尤溪北门28号等宅后崩塌治理工程图件 Layout1 (1)_2_页面_1_页面_2"/>
                          <pic:cNvPicPr>
                            <a:picLocks noChangeAspect="1"/>
                          </pic:cNvPicPr>
                        </pic:nvPicPr>
                        <pic:blipFill>
                          <a:blip r:embed="rId28"/>
                          <a:srcRect l="15739" t="10375" r="9491" b="25317"/>
                          <a:stretch>
                            <a:fillRect/>
                          </a:stretch>
                        </pic:blipFill>
                        <pic:spPr>
                          <a:xfrm rot="16200000">
                            <a:off x="0" y="0"/>
                            <a:ext cx="3727450" cy="4531995"/>
                          </a:xfrm>
                          <a:prstGeom prst="rect">
                            <a:avLst/>
                          </a:prstGeom>
                        </pic:spPr>
                      </pic:pic>
                    </a:graphicData>
                  </a:graphic>
                </wp:inline>
              </w:drawing>
            </w:r>
          </w:p>
        </w:tc>
      </w:tr>
    </w:tbl>
    <w:p>
      <w:pPr>
        <w:pStyle w:val="21"/>
      </w:pPr>
    </w:p>
    <w:p>
      <w:pPr>
        <w:ind w:firstLine="560" w:firstLineChars="200"/>
        <w:jc w:val="left"/>
        <w:rPr>
          <w:szCs w:val="28"/>
        </w:rPr>
      </w:pPr>
      <w:r>
        <w:rPr>
          <w:szCs w:val="28"/>
        </w:rPr>
        <w:t>3 边坡稳定性综合评价</w:t>
      </w:r>
    </w:p>
    <w:p>
      <w:pPr>
        <w:ind w:firstLine="560" w:firstLineChars="200"/>
        <w:jc w:val="left"/>
        <w:rPr>
          <w:color w:val="FF0000"/>
          <w:szCs w:val="28"/>
        </w:rPr>
      </w:pPr>
      <w:r>
        <w:rPr>
          <w:szCs w:val="28"/>
        </w:rPr>
        <w:t>通过边坡稳定性定量与定性分析，</w:t>
      </w:r>
      <w:r>
        <w:rPr>
          <w:rFonts w:hint="eastAsia"/>
          <w:szCs w:val="28"/>
          <w:lang w:val="en-US" w:eastAsia="zh-CN"/>
        </w:rPr>
        <w:t>28、</w:t>
      </w:r>
      <w:r>
        <w:rPr>
          <w:rFonts w:hint="eastAsia"/>
          <w:szCs w:val="28"/>
        </w:rPr>
        <w:t>31、32、33号宅前开挖边坡天然状态</w:t>
      </w:r>
      <w:r>
        <w:rPr>
          <w:rFonts w:hint="eastAsia"/>
          <w:color w:val="auto"/>
          <w:szCs w:val="28"/>
        </w:rPr>
        <w:t>下整体处于</w:t>
      </w:r>
      <w:r>
        <w:rPr>
          <w:rFonts w:hint="eastAsia"/>
          <w:color w:val="auto"/>
          <w:szCs w:val="28"/>
          <w:lang w:val="en-US" w:eastAsia="zh-CN"/>
        </w:rPr>
        <w:t>欠稳</w:t>
      </w:r>
      <w:r>
        <w:rPr>
          <w:rFonts w:hint="eastAsia"/>
          <w:color w:val="auto"/>
          <w:szCs w:val="28"/>
        </w:rPr>
        <w:t>定</w:t>
      </w:r>
      <w:r>
        <w:rPr>
          <w:rFonts w:hint="eastAsia"/>
          <w:color w:val="auto"/>
          <w:szCs w:val="28"/>
          <w:lang w:val="en-US" w:eastAsia="zh-CN"/>
        </w:rPr>
        <w:t>～基本稳定</w:t>
      </w:r>
      <w:r>
        <w:rPr>
          <w:rFonts w:hint="eastAsia"/>
          <w:color w:val="auto"/>
          <w:szCs w:val="28"/>
        </w:rPr>
        <w:t>状态，由于边坡高陡，坡顶填土区域内填方厚度较大，</w:t>
      </w:r>
      <w:r>
        <w:rPr>
          <w:rFonts w:hint="eastAsia"/>
          <w:color w:val="auto"/>
          <w:szCs w:val="28"/>
          <w:lang w:val="en-US" w:eastAsia="zh-CN"/>
        </w:rPr>
        <w:t>现有截排水系统不足以满足强降雨期间的排水需求，</w:t>
      </w:r>
      <w:r>
        <w:rPr>
          <w:rFonts w:hint="eastAsia"/>
          <w:color w:val="auto"/>
          <w:szCs w:val="28"/>
        </w:rPr>
        <w:t>在暴雨等极端气候条件下</w:t>
      </w:r>
      <w:r>
        <w:rPr>
          <w:rFonts w:hint="eastAsia"/>
          <w:color w:val="auto"/>
          <w:szCs w:val="28"/>
          <w:lang w:eastAsia="zh-CN"/>
        </w:rPr>
        <w:t>，</w:t>
      </w:r>
      <w:r>
        <w:rPr>
          <w:rFonts w:hint="eastAsia"/>
          <w:color w:val="auto"/>
          <w:szCs w:val="28"/>
        </w:rPr>
        <w:t>当边坡土体达到饱和状态时，</w:t>
      </w:r>
      <w:r>
        <w:rPr>
          <w:color w:val="auto"/>
          <w:szCs w:val="28"/>
        </w:rPr>
        <w:t>边坡稳定系数减小</w:t>
      </w:r>
      <w:r>
        <w:rPr>
          <w:rFonts w:hint="eastAsia"/>
          <w:color w:val="auto"/>
          <w:szCs w:val="28"/>
          <w:lang w:eastAsia="zh-CN"/>
        </w:rPr>
        <w:t>，</w:t>
      </w:r>
      <w:r>
        <w:rPr>
          <w:rFonts w:hint="eastAsia"/>
          <w:color w:val="auto"/>
          <w:szCs w:val="28"/>
          <w:lang w:val="en-US" w:eastAsia="zh-CN"/>
        </w:rPr>
        <w:t>边坡</w:t>
      </w:r>
      <w:r>
        <w:rPr>
          <w:rFonts w:hint="eastAsia"/>
          <w:color w:val="auto"/>
          <w:szCs w:val="28"/>
        </w:rPr>
        <w:t>处于</w:t>
      </w:r>
      <w:r>
        <w:rPr>
          <w:rFonts w:hint="eastAsia"/>
          <w:color w:val="auto"/>
          <w:szCs w:val="28"/>
          <w:lang w:val="en-US" w:eastAsia="zh-CN"/>
        </w:rPr>
        <w:t>不</w:t>
      </w:r>
      <w:r>
        <w:rPr>
          <w:rFonts w:hint="eastAsia"/>
          <w:color w:val="auto"/>
          <w:szCs w:val="28"/>
        </w:rPr>
        <w:t>稳定状态，仍存在产生局部崩塌灾害的可能性</w:t>
      </w:r>
      <w:r>
        <w:rPr>
          <w:rFonts w:hint="eastAsia"/>
          <w:color w:val="auto"/>
          <w:szCs w:val="28"/>
          <w:lang w:eastAsia="zh-CN"/>
        </w:rPr>
        <w:t>；；</w:t>
      </w:r>
      <w:r>
        <w:rPr>
          <w:rFonts w:hint="eastAsia"/>
          <w:color w:val="auto"/>
          <w:szCs w:val="28"/>
          <w:lang w:val="en-US" w:eastAsia="zh-CN"/>
        </w:rPr>
        <w:t>31、32、33号宅后坡段天然状态下整体处于基本稳定状态，但由于边坡坡度较陡，</w:t>
      </w:r>
      <w:r>
        <w:rPr>
          <w:rFonts w:hint="eastAsia"/>
          <w:color w:val="auto"/>
          <w:szCs w:val="28"/>
        </w:rPr>
        <w:t>在暴雨等极端气候条件下</w:t>
      </w:r>
      <w:r>
        <w:rPr>
          <w:rFonts w:hint="eastAsia"/>
          <w:color w:val="auto"/>
          <w:szCs w:val="28"/>
          <w:lang w:eastAsia="zh-CN"/>
        </w:rPr>
        <w:t>，</w:t>
      </w:r>
      <w:r>
        <w:rPr>
          <w:rFonts w:hint="eastAsia"/>
          <w:color w:val="auto"/>
          <w:szCs w:val="28"/>
        </w:rPr>
        <w:t>当边坡土体达到饱和状态时，</w:t>
      </w:r>
      <w:r>
        <w:rPr>
          <w:color w:val="auto"/>
          <w:szCs w:val="28"/>
        </w:rPr>
        <w:t>边坡稳定系数减小</w:t>
      </w:r>
      <w:r>
        <w:rPr>
          <w:rFonts w:hint="eastAsia"/>
          <w:color w:val="auto"/>
          <w:szCs w:val="28"/>
          <w:lang w:eastAsia="zh-CN"/>
        </w:rPr>
        <w:t>，</w:t>
      </w:r>
      <w:r>
        <w:rPr>
          <w:rFonts w:hint="eastAsia"/>
          <w:color w:val="auto"/>
          <w:szCs w:val="28"/>
          <w:lang w:val="en-US" w:eastAsia="zh-CN"/>
        </w:rPr>
        <w:t>边坡</w:t>
      </w:r>
      <w:r>
        <w:rPr>
          <w:rFonts w:hint="eastAsia"/>
          <w:color w:val="auto"/>
          <w:szCs w:val="28"/>
        </w:rPr>
        <w:t>处于</w:t>
      </w:r>
      <w:r>
        <w:rPr>
          <w:rFonts w:hint="eastAsia"/>
          <w:color w:val="auto"/>
          <w:szCs w:val="28"/>
          <w:lang w:val="en-US" w:eastAsia="zh-CN"/>
        </w:rPr>
        <w:t>欠</w:t>
      </w:r>
      <w:r>
        <w:rPr>
          <w:rFonts w:hint="eastAsia"/>
          <w:color w:val="auto"/>
          <w:szCs w:val="28"/>
        </w:rPr>
        <w:t>稳定状态，潜在产生表层滑塌灾害</w:t>
      </w:r>
      <w:r>
        <w:rPr>
          <w:rFonts w:hint="eastAsia"/>
          <w:color w:val="auto"/>
          <w:szCs w:val="28"/>
          <w:lang w:eastAsia="zh-CN"/>
        </w:rPr>
        <w:t>，</w:t>
      </w:r>
      <w:r>
        <w:rPr>
          <w:rFonts w:hint="eastAsia"/>
          <w:color w:val="auto"/>
          <w:szCs w:val="28"/>
          <w:lang w:val="en-US" w:eastAsia="zh-CN"/>
        </w:rPr>
        <w:t>且坡墙距过近，</w:t>
      </w:r>
      <w:r>
        <w:rPr>
          <w:color w:val="auto"/>
          <w:szCs w:val="28"/>
        </w:rPr>
        <w:t>威胁坡</w:t>
      </w:r>
      <w:r>
        <w:rPr>
          <w:rFonts w:hint="eastAsia"/>
          <w:color w:val="auto"/>
          <w:szCs w:val="28"/>
        </w:rPr>
        <w:t>顶、坡脚居民及过往车辆行人</w:t>
      </w:r>
      <w:r>
        <w:rPr>
          <w:color w:val="auto"/>
          <w:szCs w:val="28"/>
        </w:rPr>
        <w:t>的生命财产安全，其危害性较大，应进行综合治理。</w:t>
      </w:r>
    </w:p>
    <w:p>
      <w:pPr>
        <w:ind w:firstLine="560" w:firstLineChars="200"/>
        <w:jc w:val="left"/>
        <w:rPr>
          <w:szCs w:val="28"/>
        </w:rPr>
      </w:pPr>
      <w:r>
        <w:rPr>
          <w:rFonts w:hint="eastAsia"/>
          <w:szCs w:val="28"/>
        </w:rPr>
        <w:t xml:space="preserve">4 </w:t>
      </w:r>
      <w:r>
        <w:rPr>
          <w:szCs w:val="28"/>
        </w:rPr>
        <w:t>潜在规模</w:t>
      </w:r>
    </w:p>
    <w:p>
      <w:pPr>
        <w:ind w:firstLine="560" w:firstLineChars="200"/>
        <w:jc w:val="left"/>
        <w:rPr>
          <w:szCs w:val="28"/>
        </w:rPr>
      </w:pPr>
      <w:r>
        <w:rPr>
          <w:rFonts w:hint="eastAsia"/>
          <w:szCs w:val="28"/>
        </w:rPr>
        <w:t>通过稳定性分析可知，勘查区潜在产生的地质灾害类型有开挖边坡浅表层土体存在产生局部崩塌灾害的可能性。</w:t>
      </w:r>
    </w:p>
    <w:p>
      <w:pPr>
        <w:ind w:firstLine="560" w:firstLineChars="200"/>
        <w:jc w:val="left"/>
        <w:rPr>
          <w:color w:val="FF0000"/>
          <w:szCs w:val="28"/>
          <w:highlight w:val="yellow"/>
        </w:rPr>
      </w:pPr>
      <w:r>
        <w:rPr>
          <w:color w:val="auto"/>
          <w:szCs w:val="28"/>
        </w:rPr>
        <w:t>拟治理边坡</w:t>
      </w:r>
      <w:r>
        <w:rPr>
          <w:rFonts w:hint="eastAsia"/>
          <w:color w:val="auto"/>
          <w:szCs w:val="28"/>
        </w:rPr>
        <w:t>天然状态下</w:t>
      </w:r>
      <w:r>
        <w:rPr>
          <w:color w:val="auto"/>
          <w:szCs w:val="28"/>
        </w:rPr>
        <w:t>整体稳定性</w:t>
      </w:r>
      <w:r>
        <w:rPr>
          <w:rFonts w:hint="eastAsia"/>
          <w:color w:val="auto"/>
          <w:szCs w:val="28"/>
          <w:lang w:val="en-US" w:eastAsia="zh-CN"/>
        </w:rPr>
        <w:t>一般</w:t>
      </w:r>
      <w:r>
        <w:rPr>
          <w:color w:val="auto"/>
          <w:szCs w:val="28"/>
        </w:rPr>
        <w:t>，</w:t>
      </w:r>
      <w:r>
        <w:rPr>
          <w:rFonts w:hint="eastAsia"/>
          <w:color w:val="auto"/>
          <w:szCs w:val="28"/>
          <w:lang w:val="en-US" w:eastAsia="zh-CN"/>
        </w:rPr>
        <w:t>但</w:t>
      </w:r>
      <w:r>
        <w:rPr>
          <w:rFonts w:hint="eastAsia"/>
          <w:color w:val="auto"/>
          <w:szCs w:val="28"/>
        </w:rPr>
        <w:t>坡面裸露高陡，表层土体松散，</w:t>
      </w:r>
      <w:r>
        <w:rPr>
          <w:szCs w:val="28"/>
        </w:rPr>
        <w:t>在强降雨条件下</w:t>
      </w:r>
      <w:r>
        <w:rPr>
          <w:rFonts w:hint="eastAsia"/>
          <w:szCs w:val="28"/>
        </w:rPr>
        <w:t>表层土体易产生崩塌等</w:t>
      </w:r>
      <w:r>
        <w:rPr>
          <w:szCs w:val="28"/>
        </w:rPr>
        <w:t>灾害，</w:t>
      </w:r>
      <w:r>
        <w:rPr>
          <w:rFonts w:hint="eastAsia"/>
          <w:szCs w:val="28"/>
          <w:lang w:val="en-US" w:eastAsia="zh-CN"/>
        </w:rPr>
        <w:t>28、</w:t>
      </w:r>
      <w:r>
        <w:rPr>
          <w:rFonts w:hint="eastAsia"/>
          <w:szCs w:val="28"/>
        </w:rPr>
        <w:t>31、32、33号宅前边坡潜在发生崩塌的平均</w:t>
      </w:r>
      <w:r>
        <w:rPr>
          <w:szCs w:val="28"/>
        </w:rPr>
        <w:t>厚度约</w:t>
      </w:r>
      <w:r>
        <w:rPr>
          <w:rFonts w:hint="eastAsia"/>
          <w:szCs w:val="28"/>
        </w:rPr>
        <w:t>5</w:t>
      </w:r>
      <w:r>
        <w:rPr>
          <w:szCs w:val="28"/>
        </w:rPr>
        <w:t>m，</w:t>
      </w:r>
      <w:r>
        <w:rPr>
          <w:rFonts w:hint="eastAsia"/>
          <w:szCs w:val="28"/>
          <w:lang w:val="en-US" w:eastAsia="zh-CN"/>
        </w:rPr>
        <w:t>宽</w:t>
      </w:r>
      <w:r>
        <w:rPr>
          <w:rFonts w:hint="eastAsia"/>
          <w:szCs w:val="28"/>
        </w:rPr>
        <w:t>约55m，</w:t>
      </w:r>
      <w:r>
        <w:rPr>
          <w:rFonts w:hint="eastAsia"/>
          <w:szCs w:val="28"/>
          <w:lang w:val="en-US" w:eastAsia="zh-CN"/>
        </w:rPr>
        <w:t>高</w:t>
      </w:r>
      <w:r>
        <w:rPr>
          <w:rFonts w:hint="eastAsia"/>
          <w:szCs w:val="28"/>
        </w:rPr>
        <w:t>约24m，</w:t>
      </w:r>
      <w:r>
        <w:rPr>
          <w:szCs w:val="28"/>
        </w:rPr>
        <w:t>潜在方量约</w:t>
      </w:r>
      <w:r>
        <w:rPr>
          <w:rFonts w:hint="eastAsia"/>
          <w:szCs w:val="28"/>
        </w:rPr>
        <w:t>6600</w:t>
      </w:r>
      <w:r>
        <w:rPr>
          <w:szCs w:val="28"/>
        </w:rPr>
        <w:t>m</w:t>
      </w:r>
      <w:r>
        <w:rPr>
          <w:szCs w:val="28"/>
          <w:vertAlign w:val="superscript"/>
        </w:rPr>
        <w:t>3</w:t>
      </w:r>
      <w:r>
        <w:rPr>
          <w:rFonts w:hint="eastAsia"/>
          <w:szCs w:val="28"/>
          <w:vertAlign w:val="baseline"/>
          <w:lang w:eastAsia="zh-CN"/>
        </w:rPr>
        <w:t>；</w:t>
      </w:r>
      <w:r>
        <w:rPr>
          <w:rFonts w:hint="eastAsia"/>
          <w:szCs w:val="28"/>
        </w:rPr>
        <w:t>31、32、33号宅</w:t>
      </w:r>
      <w:r>
        <w:rPr>
          <w:rFonts w:hint="eastAsia"/>
          <w:szCs w:val="28"/>
          <w:lang w:val="en-US" w:eastAsia="zh-CN"/>
        </w:rPr>
        <w:t>后边坡潜在发生崩塌的平均厚度约3m，宽约23m，高约14m，潜在方量约966</w:t>
      </w:r>
      <w:r>
        <w:rPr>
          <w:szCs w:val="28"/>
        </w:rPr>
        <w:t>m</w:t>
      </w:r>
      <w:r>
        <w:rPr>
          <w:szCs w:val="28"/>
          <w:vertAlign w:val="superscript"/>
        </w:rPr>
        <w:t>3</w:t>
      </w:r>
      <w:r>
        <w:rPr>
          <w:szCs w:val="28"/>
        </w:rPr>
        <w:t>。</w:t>
      </w:r>
    </w:p>
    <w:p>
      <w:pPr>
        <w:pStyle w:val="3"/>
        <w:numPr>
          <w:ilvl w:val="0"/>
          <w:numId w:val="2"/>
        </w:numPr>
        <w:rPr>
          <w:highlight w:val="none"/>
        </w:rPr>
      </w:pPr>
      <w:bookmarkStart w:id="21" w:name="_Toc29783"/>
      <w:bookmarkStart w:id="22" w:name="_Toc40709411"/>
      <w:bookmarkStart w:id="23" w:name="_Toc12914"/>
      <w:r>
        <w:rPr>
          <w:highlight w:val="none"/>
        </w:rPr>
        <w:t>崩塌治理方案建议及监测建议</w:t>
      </w:r>
      <w:bookmarkEnd w:id="21"/>
      <w:bookmarkEnd w:id="22"/>
      <w:bookmarkEnd w:id="23"/>
    </w:p>
    <w:p>
      <w:pPr>
        <w:pStyle w:val="2"/>
        <w:numPr>
          <w:ilvl w:val="1"/>
          <w:numId w:val="2"/>
        </w:numPr>
        <w:rPr>
          <w:highlight w:val="none"/>
        </w:rPr>
      </w:pPr>
      <w:bookmarkStart w:id="24" w:name="_Toc19914"/>
      <w:bookmarkStart w:id="25" w:name="_Toc22365"/>
      <w:bookmarkStart w:id="26" w:name="_Toc40709412"/>
      <w:r>
        <w:rPr>
          <w:highlight w:val="none"/>
        </w:rPr>
        <w:t>崩塌治理方案建议</w:t>
      </w:r>
      <w:bookmarkEnd w:id="24"/>
      <w:bookmarkEnd w:id="25"/>
      <w:bookmarkEnd w:id="26"/>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szCs w:val="28"/>
        </w:rPr>
      </w:pPr>
      <w:r>
        <w:rPr>
          <w:szCs w:val="28"/>
        </w:rPr>
        <w:t>根据目前地形、地质条件以及对边坡稳定性分析，现建议对坡体采取相应治理方案，同时要求加强边坡的监测。具体方案建议如下：</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eastAsia="宋体" w:cs="Times New Roman"/>
          <w:color w:val="auto"/>
          <w:szCs w:val="28"/>
          <w:highlight w:val="none"/>
          <w:lang w:val="en-US" w:eastAsia="zh-CN"/>
        </w:rPr>
      </w:pPr>
      <w:bookmarkStart w:id="27" w:name="_Toc172731854"/>
      <w:r>
        <w:rPr>
          <w:rFonts w:hint="eastAsia" w:cs="Times New Roman"/>
          <w:color w:val="auto"/>
          <w:szCs w:val="28"/>
          <w:highlight w:val="none"/>
          <w:lang w:val="en-US" w:eastAsia="zh-CN"/>
        </w:rPr>
        <w:t>31-33号房前边坡：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eastAsia="宋体" w:cs="Times New Roman"/>
          <w:color w:val="auto"/>
          <w:szCs w:val="28"/>
          <w:highlight w:val="none"/>
          <w:lang w:val="en-US" w:eastAsia="zh-CN"/>
        </w:rPr>
      </w:pPr>
      <w:r>
        <w:rPr>
          <w:rFonts w:hint="eastAsia" w:ascii="Times New Roman" w:hAnsi="Times New Roman" w:eastAsia="宋体" w:cs="Times New Roman"/>
          <w:color w:val="auto"/>
          <w:szCs w:val="28"/>
          <w:highlight w:val="none"/>
          <w:lang w:val="en-US" w:eastAsia="zh-CN"/>
        </w:rPr>
        <w:t>挡墙+抗滑桩+挂网喷锚</w:t>
      </w:r>
      <w:r>
        <w:rPr>
          <w:rFonts w:ascii="Times New Roman" w:hAnsi="Times New Roman" w:eastAsia="宋体" w:cs="Times New Roman"/>
          <w:color w:val="auto"/>
          <w:szCs w:val="28"/>
          <w:highlight w:val="none"/>
        </w:rPr>
        <w:t>+</w:t>
      </w:r>
      <w:r>
        <w:rPr>
          <w:rFonts w:hint="eastAsia" w:ascii="Times New Roman" w:hAnsi="Times New Roman" w:eastAsia="宋体" w:cs="Times New Roman"/>
          <w:color w:val="auto"/>
          <w:szCs w:val="28"/>
          <w:highlight w:val="none"/>
        </w:rPr>
        <w:t>坡面截排水</w:t>
      </w:r>
      <w:r>
        <w:rPr>
          <w:rFonts w:hint="eastAsia" w:ascii="Times New Roman" w:hAnsi="Times New Roman" w:eastAsia="宋体" w:cs="Times New Roman"/>
          <w:color w:val="auto"/>
          <w:szCs w:val="28"/>
          <w:highlight w:val="none"/>
          <w:lang w:val="en-US" w:eastAsia="zh-CN"/>
        </w:rPr>
        <w:t>+坡体深层排水</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eastAsia="宋体"/>
          <w:szCs w:val="28"/>
          <w:highlight w:val="none"/>
          <w:lang w:val="en-US" w:eastAsia="zh-CN"/>
        </w:rPr>
      </w:pPr>
      <w:r>
        <w:rPr>
          <w:rFonts w:hint="eastAsia"/>
          <w:szCs w:val="28"/>
          <w:highlight w:val="none"/>
          <w:lang w:val="en-US" w:eastAsia="zh-CN"/>
        </w:rPr>
        <w:t>1）挡墙：清除崩积体后在已发生崩塌段边坡坡脚处设置毛石混凝土挡墙；</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szCs w:val="28"/>
          <w:highlight w:val="none"/>
        </w:rPr>
      </w:pPr>
      <w:r>
        <w:rPr>
          <w:rFonts w:hint="eastAsia"/>
          <w:szCs w:val="28"/>
          <w:highlight w:val="none"/>
          <w:lang w:val="en-US" w:eastAsia="zh-CN"/>
        </w:rPr>
        <w:t>2</w:t>
      </w:r>
      <w:r>
        <w:rPr>
          <w:szCs w:val="28"/>
          <w:highlight w:val="none"/>
        </w:rPr>
        <w:t>）</w:t>
      </w:r>
      <w:r>
        <w:rPr>
          <w:rFonts w:hint="eastAsia"/>
          <w:szCs w:val="28"/>
          <w:highlight w:val="none"/>
          <w:lang w:val="en-US" w:eastAsia="zh-CN"/>
        </w:rPr>
        <w:t>抗滑桩</w:t>
      </w:r>
      <w:r>
        <w:rPr>
          <w:szCs w:val="28"/>
          <w:highlight w:val="none"/>
        </w:rPr>
        <w:t>：</w:t>
      </w:r>
      <w:r>
        <w:rPr>
          <w:rFonts w:hint="eastAsia"/>
          <w:szCs w:val="28"/>
          <w:highlight w:val="none"/>
        </w:rPr>
        <w:t>在</w:t>
      </w:r>
      <w:r>
        <w:rPr>
          <w:rFonts w:hint="eastAsia"/>
          <w:szCs w:val="28"/>
          <w:highlight w:val="none"/>
          <w:lang w:val="en-US" w:eastAsia="zh-CN"/>
        </w:rPr>
        <w:t>31-33号房前设置一排抗滑桩，桩后掏空处采用混凝土浇筑</w:t>
      </w:r>
      <w:r>
        <w:rPr>
          <w:szCs w:val="28"/>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eastAsia="宋体"/>
          <w:szCs w:val="28"/>
          <w:highlight w:val="none"/>
          <w:lang w:val="en-US" w:eastAsia="zh-CN"/>
        </w:rPr>
      </w:pPr>
      <w:r>
        <w:rPr>
          <w:rFonts w:hint="eastAsia"/>
          <w:szCs w:val="28"/>
          <w:highlight w:val="none"/>
          <w:lang w:val="en-US" w:eastAsia="zh-CN"/>
        </w:rPr>
        <w:t>3）挂网喷锚：清除坡面崩塌体及表面浮土后，对坡面采用挂网喷锚进行防护；</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eastAsia="宋体"/>
          <w:szCs w:val="28"/>
          <w:highlight w:val="none"/>
          <w:lang w:eastAsia="zh-CN"/>
        </w:rPr>
      </w:pPr>
      <w:r>
        <w:rPr>
          <w:rFonts w:hint="eastAsia"/>
          <w:szCs w:val="28"/>
          <w:highlight w:val="none"/>
          <w:lang w:val="en-US" w:eastAsia="zh-CN"/>
        </w:rPr>
        <w:t>4</w:t>
      </w:r>
      <w:r>
        <w:rPr>
          <w:szCs w:val="28"/>
          <w:highlight w:val="none"/>
        </w:rPr>
        <w:t>）排水</w:t>
      </w:r>
      <w:r>
        <w:rPr>
          <w:rFonts w:hint="eastAsia"/>
          <w:szCs w:val="28"/>
          <w:highlight w:val="none"/>
        </w:rPr>
        <w:t>措施</w:t>
      </w:r>
      <w:r>
        <w:rPr>
          <w:szCs w:val="28"/>
          <w:highlight w:val="none"/>
        </w:rPr>
        <w:t>：</w:t>
      </w:r>
      <w:r>
        <w:rPr>
          <w:rFonts w:hint="eastAsia"/>
          <w:szCs w:val="28"/>
          <w:highlight w:val="none"/>
        </w:rPr>
        <w:t>设置完善的坡面截排水、坡体深层排水措施，及时有效排出地表水、地下水，减小水对滑坡稳定性的影响作用</w:t>
      </w:r>
      <w:r>
        <w:rPr>
          <w:rFonts w:hint="eastAsia"/>
          <w:szCs w:val="28"/>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szCs w:val="28"/>
          <w:highlight w:val="none"/>
          <w:lang w:val="en-US" w:eastAsia="zh-CN"/>
        </w:rPr>
      </w:pPr>
      <w:r>
        <w:rPr>
          <w:rFonts w:hint="eastAsia"/>
          <w:szCs w:val="28"/>
          <w:highlight w:val="none"/>
          <w:lang w:val="en-US" w:eastAsia="zh-CN"/>
        </w:rPr>
        <w:t>31-33号房后边坡：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szCs w:val="28"/>
          <w:highlight w:val="none"/>
          <w:lang w:val="en-US" w:eastAsia="zh-CN"/>
        </w:rPr>
      </w:pPr>
      <w:r>
        <w:rPr>
          <w:rFonts w:hint="eastAsia"/>
          <w:szCs w:val="28"/>
          <w:highlight w:val="none"/>
          <w:lang w:val="en-US" w:eastAsia="zh-CN"/>
        </w:rPr>
        <w:t>锚杆框架</w:t>
      </w:r>
    </w:p>
    <w:p>
      <w:pPr>
        <w:keepNext w:val="0"/>
        <w:keepLines w:val="0"/>
        <w:pageBreakBefore w:val="0"/>
        <w:widowControl w:val="0"/>
        <w:numPr>
          <w:ilvl w:val="0"/>
          <w:numId w:val="3"/>
        </w:numPr>
        <w:kinsoku/>
        <w:wordWrap/>
        <w:overflowPunct/>
        <w:topLinePunct w:val="0"/>
        <w:autoSpaceDE/>
        <w:autoSpaceDN/>
        <w:bidi w:val="0"/>
        <w:adjustRightInd/>
        <w:snapToGrid/>
        <w:spacing w:line="240" w:lineRule="auto"/>
        <w:ind w:firstLine="560" w:firstLineChars="200"/>
        <w:textAlignment w:val="auto"/>
        <w:rPr>
          <w:rFonts w:hint="default" w:eastAsia="宋体"/>
          <w:szCs w:val="28"/>
          <w:highlight w:val="none"/>
          <w:lang w:val="en-US" w:eastAsia="zh-CN"/>
        </w:rPr>
      </w:pPr>
      <w:r>
        <w:rPr>
          <w:rFonts w:hint="eastAsia"/>
          <w:szCs w:val="28"/>
          <w:highlight w:val="none"/>
          <w:lang w:val="en-US" w:eastAsia="zh-CN"/>
        </w:rPr>
        <w:t>锚杆框架：修整坡面，清除浮土后设置锚杆框架，框架内植草灌护坡。</w:t>
      </w:r>
    </w:p>
    <w:bookmarkEnd w:id="27"/>
    <w:p>
      <w:pPr>
        <w:pStyle w:val="2"/>
        <w:numPr>
          <w:ilvl w:val="1"/>
          <w:numId w:val="2"/>
        </w:numPr>
      </w:pPr>
      <w:bookmarkStart w:id="28" w:name="_Toc30557"/>
      <w:bookmarkStart w:id="29" w:name="_Toc40709413"/>
      <w:bookmarkStart w:id="30" w:name="_Toc28018"/>
      <w:r>
        <w:t>监测建议</w:t>
      </w:r>
      <w:bookmarkEnd w:id="28"/>
      <w:bookmarkEnd w:id="29"/>
      <w:bookmarkEnd w:id="30"/>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应根据规范要求作好长期监测，对边坡失稳作出预警，及时处理，主要监测内容有：</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1、对坡顶上山体进行巡查，禁止堆载，并查看有无裂缝、地表积水、截排水沟是否完好畅通等；</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2、在坡顶设置水平位移和垂直位移长期观测点，观测边坡动态变化；</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3、查看坡面及坡底有无地下水渗出，若有地下水渗出则应及时分析其来源及其对边坡稳定性的影响，应对降雨于与地下水、坡面渗水的关系进行记录；</w:t>
      </w:r>
    </w:p>
    <w:p>
      <w:pPr>
        <w:pStyle w:val="5"/>
        <w:spacing w:line="520" w:lineRule="exact"/>
        <w:ind w:firstLine="560"/>
        <w:rPr>
          <w:sz w:val="28"/>
          <w:szCs w:val="28"/>
        </w:rPr>
      </w:pPr>
      <w:r>
        <w:rPr>
          <w:rFonts w:hint="eastAsia"/>
          <w:sz w:val="28"/>
          <w:szCs w:val="28"/>
        </w:rPr>
        <w:t>4</w:t>
      </w:r>
      <w:r>
        <w:rPr>
          <w:sz w:val="28"/>
          <w:szCs w:val="28"/>
        </w:rPr>
        <w:t xml:space="preserve">、应注意天气预报，在暴雨来临前确保排水设施能正常工作，并及时查看边坡现状，加密监测周期。  </w:t>
      </w:r>
    </w:p>
    <w:p>
      <w:pPr>
        <w:pStyle w:val="3"/>
        <w:numPr>
          <w:ilvl w:val="0"/>
          <w:numId w:val="2"/>
        </w:numPr>
      </w:pPr>
      <w:bookmarkStart w:id="31" w:name="_Toc40709414"/>
      <w:bookmarkStart w:id="32" w:name="_Toc14991"/>
      <w:bookmarkStart w:id="33" w:name="_Toc1121"/>
      <w:r>
        <w:t>结论与建议</w:t>
      </w:r>
      <w:bookmarkEnd w:id="31"/>
      <w:bookmarkEnd w:id="32"/>
      <w:bookmarkEnd w:id="33"/>
    </w:p>
    <w:p>
      <w:pPr>
        <w:ind w:firstLine="562" w:firstLineChars="200"/>
        <w:rPr>
          <w:szCs w:val="28"/>
        </w:rPr>
      </w:pPr>
      <w:r>
        <w:rPr>
          <w:b/>
          <w:szCs w:val="28"/>
        </w:rPr>
        <w:t>5.0.1</w:t>
      </w:r>
      <w:r>
        <w:rPr>
          <w:szCs w:val="28"/>
        </w:rPr>
        <w:t>本地质灾害点位于</w:t>
      </w:r>
      <w:r>
        <w:rPr>
          <w:rFonts w:hint="eastAsia"/>
          <w:szCs w:val="28"/>
        </w:rPr>
        <w:t>三明市尤溪县城关镇北门</w:t>
      </w:r>
      <w:r>
        <w:rPr>
          <w:rFonts w:hint="eastAsia"/>
          <w:szCs w:val="28"/>
          <w:lang w:val="en-US" w:eastAsia="zh-CN"/>
        </w:rPr>
        <w:t>28、</w:t>
      </w:r>
      <w:r>
        <w:rPr>
          <w:rFonts w:hint="eastAsia"/>
          <w:szCs w:val="28"/>
        </w:rPr>
        <w:t>31、32、33号南侧人工开挖边坡及35号东侧道路旁开挖边坡。</w:t>
      </w:r>
      <w:r>
        <w:rPr>
          <w:rFonts w:hint="eastAsia"/>
          <w:bCs/>
        </w:rPr>
        <w:t>北门</w:t>
      </w:r>
      <w:r>
        <w:rPr>
          <w:rFonts w:hint="eastAsia"/>
          <w:bCs/>
          <w:lang w:val="en-US" w:eastAsia="zh-CN"/>
        </w:rPr>
        <w:t>28、</w:t>
      </w:r>
      <w:r>
        <w:rPr>
          <w:rFonts w:hint="eastAsia"/>
          <w:bCs/>
        </w:rPr>
        <w:t>31、32、33号宅前边坡原</w:t>
      </w:r>
      <w:r>
        <w:rPr>
          <w:rFonts w:hint="eastAsia"/>
          <w:szCs w:val="28"/>
        </w:rPr>
        <w:t>为二级坡，平台宽度1.7m，自上而下：第一级为填土边坡，高3.5m，坡度约78°，采用干砌块石护面墙进行支护（31号-32号宅前段现已垮塌损毁）；第二级为开挖边坡，高7～</w:t>
      </w:r>
      <w:r>
        <w:rPr>
          <w:rFonts w:hint="eastAsia"/>
          <w:szCs w:val="28"/>
          <w:lang w:val="en-US" w:eastAsia="zh-CN"/>
        </w:rPr>
        <w:t>13</w:t>
      </w:r>
      <w:r>
        <w:rPr>
          <w:rFonts w:hint="eastAsia"/>
          <w:szCs w:val="28"/>
        </w:rPr>
        <w:t>m，坡度约60～65°，坡脚处局部采取支护措施：20-1、20-2号屋后采用干砌块石护面墙进行支护（现已损毁），20-2号东侧院子后方采用喷砼进行支护，其余段边坡坡面裸露，以</w:t>
      </w:r>
      <w:r>
        <w:rPr>
          <w:rFonts w:hint="eastAsia"/>
          <w:szCs w:val="28"/>
          <w:lang w:eastAsia="zh-CN"/>
        </w:rPr>
        <w:t>坡积黏性土</w:t>
      </w:r>
      <w:r>
        <w:rPr>
          <w:rFonts w:hint="eastAsia"/>
          <w:szCs w:val="28"/>
        </w:rPr>
        <w:t>为主。</w:t>
      </w:r>
      <w:r>
        <w:rPr>
          <w:szCs w:val="28"/>
        </w:rPr>
        <w:t>受强降雨的影响，边坡坡面已</w:t>
      </w:r>
      <w:r>
        <w:rPr>
          <w:rFonts w:hint="eastAsia"/>
          <w:szCs w:val="28"/>
          <w:lang w:val="en-US" w:eastAsia="zh-CN"/>
        </w:rPr>
        <w:t>多次</w:t>
      </w:r>
      <w:r>
        <w:rPr>
          <w:szCs w:val="28"/>
        </w:rPr>
        <w:t>发生崩塌灾害（BT</w:t>
      </w:r>
      <w:r>
        <w:rPr>
          <w:rFonts w:hint="eastAsia"/>
          <w:szCs w:val="28"/>
        </w:rPr>
        <w:t>1</w:t>
      </w:r>
      <w:r>
        <w:rPr>
          <w:rFonts w:hint="eastAsia"/>
          <w:szCs w:val="28"/>
          <w:lang w:val="en-US" w:eastAsia="zh-CN"/>
        </w:rPr>
        <w:t>处</w:t>
      </w:r>
      <w:r>
        <w:rPr>
          <w:szCs w:val="28"/>
        </w:rPr>
        <w:t>），方量</w:t>
      </w:r>
      <w:r>
        <w:rPr>
          <w:rFonts w:hint="eastAsia"/>
          <w:szCs w:val="28"/>
          <w:lang w:val="en-US" w:eastAsia="zh-CN"/>
        </w:rPr>
        <w:t>约</w:t>
      </w:r>
      <w:r>
        <w:rPr>
          <w:szCs w:val="28"/>
        </w:rPr>
        <w:t>1</w:t>
      </w:r>
      <w:r>
        <w:rPr>
          <w:rFonts w:hint="eastAsia"/>
          <w:szCs w:val="28"/>
        </w:rPr>
        <w:t>0</w:t>
      </w:r>
      <w:r>
        <w:rPr>
          <w:szCs w:val="28"/>
        </w:rPr>
        <w:t>00m</w:t>
      </w:r>
      <w:r>
        <w:rPr>
          <w:szCs w:val="28"/>
          <w:vertAlign w:val="superscript"/>
        </w:rPr>
        <w:t>3</w:t>
      </w:r>
      <w:r>
        <w:rPr>
          <w:szCs w:val="28"/>
        </w:rPr>
        <w:t>，崩塌</w:t>
      </w:r>
      <w:r>
        <w:rPr>
          <w:rFonts w:hint="eastAsia"/>
          <w:szCs w:val="28"/>
        </w:rPr>
        <w:t>导坡顶房屋前院子垮塌，坡脚房屋墙面破损，门窗损坏</w:t>
      </w:r>
      <w:r>
        <w:rPr>
          <w:szCs w:val="28"/>
        </w:rPr>
        <w:t>，所幸未造成人员伤亡。</w:t>
      </w:r>
    </w:p>
    <w:p>
      <w:pPr>
        <w:pStyle w:val="35"/>
        <w:spacing w:line="520" w:lineRule="exact"/>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5.0.2</w:t>
      </w:r>
      <w:r>
        <w:rPr>
          <w:rFonts w:ascii="Times New Roman" w:hAnsi="Times New Roman" w:eastAsia="宋体" w:cs="Times New Roman"/>
          <w:color w:val="auto"/>
          <w:szCs w:val="28"/>
        </w:rPr>
        <w:t>根据《福建省滑坡勘查技术规范》（试行）3.2.2条规定，确定本地质灾害点防治工程等级为</w:t>
      </w:r>
      <w:r>
        <w:rPr>
          <w:rFonts w:hint="eastAsia" w:ascii="Times New Roman" w:hAnsi="Times New Roman" w:eastAsia="宋体" w:cs="Times New Roman"/>
          <w:color w:val="auto"/>
          <w:szCs w:val="28"/>
        </w:rPr>
        <w:t>二</w:t>
      </w:r>
      <w:r>
        <w:rPr>
          <w:rFonts w:ascii="Times New Roman" w:hAnsi="Times New Roman" w:eastAsia="宋体" w:cs="Times New Roman"/>
          <w:color w:val="auto"/>
          <w:szCs w:val="28"/>
        </w:rPr>
        <w:t>级，确定本场地地质条件类型为复杂的场地。根据国标《建筑抗震设计规范》（GB50011-2010）3.1条规定，建筑抗震设防类别为</w:t>
      </w:r>
      <w:r>
        <w:rPr>
          <w:rFonts w:hint="eastAsia" w:ascii="Times New Roman" w:hAnsi="Times New Roman" w:eastAsia="宋体" w:cs="Times New Roman"/>
          <w:color w:val="auto"/>
          <w:szCs w:val="28"/>
          <w:lang w:val="en-US" w:eastAsia="zh-CN"/>
        </w:rPr>
        <w:t>丙</w:t>
      </w:r>
      <w:r>
        <w:rPr>
          <w:rFonts w:ascii="Times New Roman" w:hAnsi="Times New Roman" w:eastAsia="宋体" w:cs="Times New Roman"/>
          <w:color w:val="auto"/>
          <w:szCs w:val="28"/>
        </w:rPr>
        <w:t>类。</w:t>
      </w:r>
    </w:p>
    <w:p>
      <w:pPr>
        <w:ind w:firstLine="562" w:firstLineChars="200"/>
        <w:jc w:val="left"/>
        <w:rPr>
          <w:szCs w:val="28"/>
        </w:rPr>
      </w:pPr>
      <w:r>
        <w:rPr>
          <w:b/>
          <w:szCs w:val="28"/>
        </w:rPr>
        <w:t>5.0.3</w:t>
      </w:r>
      <w:r>
        <w:rPr>
          <w:szCs w:val="28"/>
        </w:rPr>
        <w:t>通过边坡稳定性定量与定性分析，拟治理边坡</w:t>
      </w:r>
      <w:r>
        <w:rPr>
          <w:rFonts w:hint="eastAsia"/>
          <w:szCs w:val="28"/>
        </w:rPr>
        <w:t>天然状态下</w:t>
      </w:r>
      <w:r>
        <w:rPr>
          <w:szCs w:val="28"/>
        </w:rPr>
        <w:t>整体处于</w:t>
      </w:r>
      <w:r>
        <w:rPr>
          <w:rFonts w:hint="eastAsia"/>
          <w:szCs w:val="28"/>
          <w:lang w:val="en-US" w:eastAsia="zh-CN"/>
        </w:rPr>
        <w:t>基本</w:t>
      </w:r>
      <w:r>
        <w:rPr>
          <w:szCs w:val="28"/>
        </w:rPr>
        <w:t>稳定</w:t>
      </w:r>
      <w:r>
        <w:rPr>
          <w:rFonts w:hint="eastAsia"/>
          <w:szCs w:val="28"/>
          <w:lang w:val="en-US" w:eastAsia="zh-CN"/>
        </w:rPr>
        <w:t>～欠稳定</w:t>
      </w:r>
      <w:r>
        <w:rPr>
          <w:szCs w:val="28"/>
        </w:rPr>
        <w:t>状态，但边坡高陡，坡面裸露，</w:t>
      </w:r>
      <w:r>
        <w:rPr>
          <w:rFonts w:hint="eastAsia"/>
          <w:color w:val="auto"/>
          <w:szCs w:val="28"/>
          <w:lang w:val="en-US" w:eastAsia="zh-CN"/>
        </w:rPr>
        <w:t>现有截排水系统不足以满足强降雨期间的排水需求，</w:t>
      </w:r>
      <w:r>
        <w:rPr>
          <w:szCs w:val="28"/>
        </w:rPr>
        <w:t>强降雨时大量雨水往边坡汇集，边坡表层土体在雨水、坡面流强烈的冲刷及雨水入渗软化土体共同作用下，仍存在产生</w:t>
      </w:r>
      <w:r>
        <w:rPr>
          <w:rFonts w:hint="eastAsia"/>
          <w:szCs w:val="28"/>
        </w:rPr>
        <w:t>表层崩塌等灾害</w:t>
      </w:r>
      <w:r>
        <w:rPr>
          <w:rFonts w:hint="eastAsia"/>
          <w:szCs w:val="28"/>
          <w:lang w:eastAsia="zh-CN"/>
        </w:rPr>
        <w:t>；</w:t>
      </w:r>
      <w:r>
        <w:rPr>
          <w:rFonts w:hint="eastAsia"/>
          <w:color w:val="auto"/>
          <w:szCs w:val="28"/>
          <w:lang w:val="en-US" w:eastAsia="zh-CN"/>
        </w:rPr>
        <w:t>31、32、33号宅后坡段天然状态下整体处于基本稳定状态，但由于边坡坡度较陡，</w:t>
      </w:r>
      <w:r>
        <w:rPr>
          <w:rFonts w:hint="eastAsia"/>
          <w:color w:val="auto"/>
          <w:szCs w:val="28"/>
        </w:rPr>
        <w:t>在暴雨等极端气候条件下</w:t>
      </w:r>
      <w:r>
        <w:rPr>
          <w:rFonts w:hint="eastAsia"/>
          <w:color w:val="auto"/>
          <w:szCs w:val="28"/>
          <w:lang w:eastAsia="zh-CN"/>
        </w:rPr>
        <w:t>，</w:t>
      </w:r>
      <w:r>
        <w:rPr>
          <w:rFonts w:hint="eastAsia"/>
          <w:color w:val="auto"/>
          <w:szCs w:val="28"/>
        </w:rPr>
        <w:t>当边坡土体达到饱和状态时，</w:t>
      </w:r>
      <w:r>
        <w:rPr>
          <w:color w:val="auto"/>
          <w:szCs w:val="28"/>
        </w:rPr>
        <w:t>边坡稳定系数减小</w:t>
      </w:r>
      <w:r>
        <w:rPr>
          <w:rFonts w:hint="eastAsia"/>
          <w:color w:val="auto"/>
          <w:szCs w:val="28"/>
          <w:lang w:eastAsia="zh-CN"/>
        </w:rPr>
        <w:t>，</w:t>
      </w:r>
      <w:r>
        <w:rPr>
          <w:rFonts w:hint="eastAsia"/>
          <w:color w:val="auto"/>
          <w:szCs w:val="28"/>
          <w:lang w:val="en-US" w:eastAsia="zh-CN"/>
        </w:rPr>
        <w:t>边坡</w:t>
      </w:r>
      <w:r>
        <w:rPr>
          <w:rFonts w:hint="eastAsia"/>
          <w:color w:val="auto"/>
          <w:szCs w:val="28"/>
        </w:rPr>
        <w:t>处于</w:t>
      </w:r>
      <w:r>
        <w:rPr>
          <w:rFonts w:hint="eastAsia"/>
          <w:color w:val="auto"/>
          <w:szCs w:val="28"/>
          <w:lang w:val="en-US" w:eastAsia="zh-CN"/>
        </w:rPr>
        <w:t>欠</w:t>
      </w:r>
      <w:r>
        <w:rPr>
          <w:rFonts w:hint="eastAsia"/>
          <w:color w:val="auto"/>
          <w:szCs w:val="28"/>
        </w:rPr>
        <w:t>稳定状态，潜在产生表层</w:t>
      </w:r>
      <w:r>
        <w:rPr>
          <w:rFonts w:hint="eastAsia"/>
          <w:color w:val="auto"/>
          <w:szCs w:val="28"/>
          <w:lang w:val="en-US" w:eastAsia="zh-CN"/>
        </w:rPr>
        <w:t>崩塌</w:t>
      </w:r>
      <w:r>
        <w:rPr>
          <w:rFonts w:hint="eastAsia"/>
          <w:color w:val="auto"/>
          <w:szCs w:val="28"/>
        </w:rPr>
        <w:t>灾害</w:t>
      </w:r>
      <w:r>
        <w:rPr>
          <w:rFonts w:hint="eastAsia"/>
          <w:color w:val="auto"/>
          <w:szCs w:val="28"/>
          <w:lang w:eastAsia="zh-CN"/>
        </w:rPr>
        <w:t>。</w:t>
      </w:r>
      <w:r>
        <w:rPr>
          <w:rFonts w:hint="eastAsia"/>
          <w:szCs w:val="28"/>
          <w:lang w:val="en-US" w:eastAsia="zh-CN"/>
        </w:rPr>
        <w:t>28、</w:t>
      </w:r>
      <w:r>
        <w:rPr>
          <w:rFonts w:hint="eastAsia"/>
          <w:szCs w:val="28"/>
        </w:rPr>
        <w:t>31、32、33号宅前边坡潜在发生崩塌的平均</w:t>
      </w:r>
      <w:r>
        <w:rPr>
          <w:szCs w:val="28"/>
        </w:rPr>
        <w:t>厚度约</w:t>
      </w:r>
      <w:r>
        <w:rPr>
          <w:rFonts w:hint="eastAsia"/>
          <w:szCs w:val="28"/>
        </w:rPr>
        <w:t>5</w:t>
      </w:r>
      <w:r>
        <w:rPr>
          <w:szCs w:val="28"/>
        </w:rPr>
        <w:t>m，</w:t>
      </w:r>
      <w:r>
        <w:rPr>
          <w:rFonts w:hint="eastAsia"/>
          <w:szCs w:val="28"/>
        </w:rPr>
        <w:t>长约55m，宽约24m，</w:t>
      </w:r>
      <w:r>
        <w:rPr>
          <w:szCs w:val="28"/>
        </w:rPr>
        <w:t>潜在方量约</w:t>
      </w:r>
      <w:r>
        <w:rPr>
          <w:rFonts w:hint="eastAsia"/>
          <w:szCs w:val="28"/>
        </w:rPr>
        <w:t>6600</w:t>
      </w:r>
      <w:r>
        <w:rPr>
          <w:szCs w:val="28"/>
        </w:rPr>
        <w:t>m</w:t>
      </w:r>
      <w:r>
        <w:rPr>
          <w:szCs w:val="28"/>
          <w:vertAlign w:val="superscript"/>
        </w:rPr>
        <w:t>3</w:t>
      </w:r>
      <w:r>
        <w:rPr>
          <w:rFonts w:hint="eastAsia"/>
          <w:szCs w:val="28"/>
          <w:vertAlign w:val="baseline"/>
          <w:lang w:eastAsia="zh-CN"/>
        </w:rPr>
        <w:t>；</w:t>
      </w:r>
      <w:r>
        <w:rPr>
          <w:rFonts w:hint="eastAsia"/>
          <w:szCs w:val="28"/>
        </w:rPr>
        <w:t>31、32、33号宅</w:t>
      </w:r>
      <w:r>
        <w:rPr>
          <w:rFonts w:hint="eastAsia"/>
          <w:szCs w:val="28"/>
          <w:lang w:val="en-US" w:eastAsia="zh-CN"/>
        </w:rPr>
        <w:t>后边坡潜在发生崩塌的平均厚度约3m，宽约23m，高约14m，潜在方量约966</w:t>
      </w:r>
      <w:r>
        <w:rPr>
          <w:szCs w:val="28"/>
        </w:rPr>
        <w:t>m</w:t>
      </w:r>
      <w:r>
        <w:rPr>
          <w:szCs w:val="28"/>
          <w:vertAlign w:val="superscript"/>
        </w:rPr>
        <w:t>3</w:t>
      </w:r>
      <w:r>
        <w:rPr>
          <w:szCs w:val="28"/>
        </w:rPr>
        <w:t>。威胁坡</w:t>
      </w:r>
      <w:r>
        <w:rPr>
          <w:rFonts w:hint="eastAsia"/>
          <w:szCs w:val="28"/>
          <w:lang w:val="en-US" w:eastAsia="zh-CN"/>
        </w:rPr>
        <w:t>顶、坡脚</w:t>
      </w:r>
      <w:r>
        <w:rPr>
          <w:rFonts w:hint="eastAsia"/>
          <w:szCs w:val="28"/>
        </w:rPr>
        <w:t>共53</w:t>
      </w:r>
      <w:r>
        <w:rPr>
          <w:szCs w:val="28"/>
        </w:rPr>
        <w:t>人的生命财产安全，其危害性较大，应进行综合治理。</w:t>
      </w:r>
    </w:p>
    <w:p>
      <w:pPr>
        <w:pStyle w:val="35"/>
        <w:spacing w:line="240" w:lineRule="auto"/>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5.0.4</w:t>
      </w:r>
      <w:r>
        <w:rPr>
          <w:rFonts w:ascii="Times New Roman" w:hAnsi="Times New Roman" w:eastAsia="宋体" w:cs="Times New Roman"/>
          <w:color w:val="auto"/>
          <w:szCs w:val="28"/>
        </w:rPr>
        <w:t>拟建场地位于抗震设防烈度6度区，地震动峰值加速度值为0.05g，设计地震分组为第一组，设计地震作用及抗震措施均应符合6度抗震设防标准的要求。</w:t>
      </w:r>
    </w:p>
    <w:p>
      <w:pPr>
        <w:widowControl/>
        <w:ind w:firstLine="480"/>
        <w:rPr>
          <w:szCs w:val="28"/>
        </w:rPr>
      </w:pPr>
      <w:r>
        <w:rPr>
          <w:b/>
          <w:szCs w:val="28"/>
        </w:rPr>
        <w:t>5.0.5</w:t>
      </w:r>
      <w:r>
        <w:rPr>
          <w:rFonts w:hint="eastAsia"/>
          <w:szCs w:val="28"/>
        </w:rPr>
        <w:t>场地地下水对钢筋混凝土结构中的钢筋和混凝土结构均具微腐蚀性；场地地下水对钢结构具弱腐蚀性。场地土对混凝土结构及钢筋混凝土结构中的钢筋具微腐蚀性；对钢结构具微腐蚀性。设计时应按有关规定采取防腐措施。</w:t>
      </w:r>
    </w:p>
    <w:p>
      <w:pPr>
        <w:pStyle w:val="35"/>
        <w:spacing w:line="240" w:lineRule="auto"/>
        <w:ind w:firstLine="562" w:firstLineChars="200"/>
        <w:rPr>
          <w:rFonts w:ascii="Times New Roman" w:hAnsi="Times New Roman" w:eastAsia="宋体" w:cs="Times New Roman"/>
          <w:color w:val="auto"/>
          <w:szCs w:val="28"/>
          <w:highlight w:val="none"/>
        </w:rPr>
      </w:pPr>
      <w:r>
        <w:rPr>
          <w:rFonts w:ascii="Times New Roman" w:hAnsi="Times New Roman" w:eastAsia="宋体" w:cs="Times New Roman"/>
          <w:b/>
          <w:color w:val="auto"/>
          <w:szCs w:val="28"/>
          <w:highlight w:val="none"/>
        </w:rPr>
        <w:t>5.0.6</w:t>
      </w:r>
      <w:r>
        <w:rPr>
          <w:rFonts w:ascii="Times New Roman" w:hAnsi="Times New Roman" w:eastAsia="宋体" w:cs="Times New Roman"/>
          <w:color w:val="auto"/>
          <w:szCs w:val="28"/>
          <w:highlight w:val="none"/>
        </w:rPr>
        <w:t>建议对</w:t>
      </w:r>
      <w:r>
        <w:rPr>
          <w:rFonts w:hint="eastAsia" w:ascii="Times New Roman" w:hAnsi="Times New Roman" w:eastAsia="宋体" w:cs="Times New Roman"/>
          <w:color w:val="auto"/>
          <w:szCs w:val="28"/>
          <w:highlight w:val="none"/>
        </w:rPr>
        <w:t>31-33号房前边坡</w:t>
      </w:r>
      <w:r>
        <w:rPr>
          <w:rFonts w:ascii="Times New Roman" w:hAnsi="Times New Roman" w:eastAsia="宋体" w:cs="Times New Roman"/>
          <w:color w:val="auto"/>
          <w:szCs w:val="28"/>
          <w:highlight w:val="none"/>
        </w:rPr>
        <w:t>采用</w:t>
      </w:r>
      <w:r>
        <w:rPr>
          <w:rFonts w:hint="eastAsia" w:ascii="Times New Roman" w:hAnsi="Times New Roman" w:eastAsia="宋体" w:cs="Times New Roman"/>
          <w:color w:val="auto"/>
          <w:szCs w:val="28"/>
          <w:highlight w:val="none"/>
          <w:lang w:val="en-US" w:eastAsia="zh-CN"/>
        </w:rPr>
        <w:t>挡墙+抗滑桩+挂网喷锚</w:t>
      </w:r>
      <w:r>
        <w:rPr>
          <w:rFonts w:ascii="Times New Roman" w:hAnsi="Times New Roman" w:eastAsia="宋体" w:cs="Times New Roman"/>
          <w:color w:val="auto"/>
          <w:szCs w:val="28"/>
          <w:highlight w:val="none"/>
        </w:rPr>
        <w:t>+</w:t>
      </w:r>
      <w:r>
        <w:rPr>
          <w:rFonts w:hint="eastAsia" w:ascii="Times New Roman" w:hAnsi="Times New Roman" w:eastAsia="宋体" w:cs="Times New Roman"/>
          <w:color w:val="auto"/>
          <w:szCs w:val="28"/>
          <w:highlight w:val="none"/>
        </w:rPr>
        <w:t>坡面截排水</w:t>
      </w:r>
      <w:r>
        <w:rPr>
          <w:rFonts w:hint="eastAsia" w:ascii="Times New Roman" w:hAnsi="Times New Roman" w:eastAsia="宋体" w:cs="Times New Roman"/>
          <w:color w:val="auto"/>
          <w:szCs w:val="28"/>
          <w:highlight w:val="none"/>
          <w:lang w:val="en-US" w:eastAsia="zh-CN"/>
        </w:rPr>
        <w:t>+坡体深层排水</w:t>
      </w:r>
      <w:r>
        <w:rPr>
          <w:rFonts w:ascii="Times New Roman" w:hAnsi="Times New Roman" w:eastAsia="宋体" w:cs="Times New Roman"/>
          <w:color w:val="auto"/>
          <w:szCs w:val="28"/>
          <w:highlight w:val="none"/>
        </w:rPr>
        <w:t>等综合治理措施</w:t>
      </w:r>
      <w:r>
        <w:rPr>
          <w:rFonts w:hint="eastAsia" w:ascii="Times New Roman" w:hAnsi="Times New Roman" w:eastAsia="宋体" w:cs="Times New Roman"/>
          <w:color w:val="auto"/>
          <w:szCs w:val="28"/>
          <w:highlight w:val="none"/>
          <w:lang w:eastAsia="zh-CN"/>
        </w:rPr>
        <w:t>；</w:t>
      </w:r>
      <w:r>
        <w:rPr>
          <w:rFonts w:hint="eastAsia" w:ascii="Times New Roman" w:hAnsi="Times New Roman" w:eastAsia="宋体" w:cs="Times New Roman"/>
          <w:color w:val="auto"/>
          <w:szCs w:val="28"/>
          <w:highlight w:val="none"/>
          <w:lang w:val="en-US" w:eastAsia="zh-CN"/>
        </w:rPr>
        <w:t>对</w:t>
      </w:r>
      <w:r>
        <w:rPr>
          <w:rFonts w:hint="eastAsia" w:ascii="Times New Roman" w:hAnsi="Times New Roman" w:eastAsia="宋体" w:cs="Times New Roman"/>
          <w:color w:val="auto"/>
          <w:szCs w:val="28"/>
          <w:highlight w:val="none"/>
        </w:rPr>
        <w:t>31-33号房</w:t>
      </w:r>
      <w:r>
        <w:rPr>
          <w:rFonts w:hint="eastAsia" w:ascii="Times New Roman" w:hAnsi="Times New Roman" w:eastAsia="宋体" w:cs="Times New Roman"/>
          <w:color w:val="auto"/>
          <w:szCs w:val="28"/>
          <w:highlight w:val="none"/>
          <w:lang w:val="en-US" w:eastAsia="zh-CN"/>
        </w:rPr>
        <w:t>后</w:t>
      </w:r>
      <w:r>
        <w:rPr>
          <w:rFonts w:hint="eastAsia" w:ascii="Times New Roman" w:hAnsi="Times New Roman" w:eastAsia="宋体" w:cs="Times New Roman"/>
          <w:color w:val="auto"/>
          <w:szCs w:val="28"/>
          <w:highlight w:val="none"/>
        </w:rPr>
        <w:t>边坡</w:t>
      </w:r>
      <w:r>
        <w:rPr>
          <w:rFonts w:hint="eastAsia" w:ascii="Times New Roman" w:hAnsi="Times New Roman" w:eastAsia="宋体" w:cs="Times New Roman"/>
          <w:color w:val="auto"/>
          <w:szCs w:val="28"/>
          <w:highlight w:val="none"/>
          <w:lang w:val="en-US" w:eastAsia="zh-CN"/>
        </w:rPr>
        <w:t>采用锚杆框架等综合治理措施</w:t>
      </w:r>
      <w:r>
        <w:rPr>
          <w:rFonts w:ascii="Times New Roman" w:hAnsi="Times New Roman" w:eastAsia="宋体" w:cs="Times New Roman"/>
          <w:color w:val="auto"/>
          <w:szCs w:val="28"/>
          <w:highlight w:val="none"/>
        </w:rPr>
        <w:t>。</w:t>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default" w:eastAsia="宋体"/>
          <w:b w:val="0"/>
          <w:bCs w:val="0"/>
          <w:lang w:val="en-US" w:eastAsia="zh-CN"/>
        </w:rPr>
      </w:pPr>
      <w:r>
        <w:rPr>
          <w:rFonts w:hint="eastAsia"/>
          <w:b/>
          <w:bCs/>
          <w:lang w:val="en-US" w:eastAsia="zh-CN"/>
        </w:rPr>
        <w:t>5.0.7</w:t>
      </w:r>
      <w:r>
        <w:rPr>
          <w:rFonts w:hint="eastAsia"/>
          <w:b w:val="0"/>
          <w:bCs w:val="0"/>
          <w:lang w:val="en-US" w:eastAsia="zh-CN"/>
        </w:rPr>
        <w:t>勘查区为地质灾害点，潜在发生崩塌的可能性，施工过程中对岩土体产生扰动，存在一定危险性，应加强施工监理、安全管理工作，确保安全施工。</w:t>
      </w:r>
    </w:p>
    <w:p>
      <w:pPr>
        <w:ind w:firstLine="562" w:firstLineChars="200"/>
        <w:rPr>
          <w:rFonts w:hint="eastAsia" w:eastAsia="宋体"/>
          <w:b/>
          <w:szCs w:val="28"/>
          <w:lang w:eastAsia="zh-CN"/>
        </w:rPr>
      </w:pPr>
      <w:r>
        <w:rPr>
          <w:b/>
          <w:szCs w:val="28"/>
        </w:rPr>
        <w:t>5.0.</w:t>
      </w:r>
      <w:r>
        <w:rPr>
          <w:rFonts w:hint="eastAsia"/>
          <w:b/>
          <w:szCs w:val="28"/>
          <w:lang w:val="en-US" w:eastAsia="zh-CN"/>
        </w:rPr>
        <w:t>8</w:t>
      </w:r>
      <w:r>
        <w:rPr>
          <w:szCs w:val="28"/>
        </w:rPr>
        <w:t>治理工程施工应加强基槽验收工作，治理工程按信息施工法进行施工</w:t>
      </w:r>
      <w:r>
        <w:rPr>
          <w:rFonts w:hint="eastAsia"/>
          <w:szCs w:val="28"/>
          <w:lang w:eastAsia="zh-CN"/>
        </w:rPr>
        <w:t>，</w:t>
      </w:r>
      <w:r>
        <w:rPr>
          <w:rFonts w:hint="eastAsia"/>
          <w:szCs w:val="28"/>
          <w:lang w:val="en-US" w:eastAsia="zh-CN"/>
        </w:rPr>
        <w:t>当地质条件发生变化时，应及时通知勘查设计单位派技术人员到现场确认。</w:t>
      </w:r>
    </w:p>
    <w:p>
      <w:pPr>
        <w:pStyle w:val="5"/>
        <w:ind w:firstLine="0" w:firstLineChars="0"/>
      </w:pPr>
    </w:p>
    <w:sectPr>
      <w:headerReference r:id="rId8" w:type="default"/>
      <w:pgSz w:w="23811" w:h="16838" w:orient="landscape"/>
      <w:pgMar w:top="1191" w:right="1247" w:bottom="1701" w:left="1588" w:header="1134" w:footer="709" w:gutter="0"/>
      <w:pgBorders>
        <w:top w:val="none" w:sz="0" w:space="0"/>
        <w:left w:val="none" w:sz="0" w:space="0"/>
        <w:bottom w:val="none" w:sz="0" w:space="0"/>
        <w:right w:val="none" w:sz="0" w:space="0"/>
      </w:pgBorders>
      <w:cols w:equalWidth="0" w:num="2">
        <w:col w:w="10275" w:space="425"/>
        <w:col w:w="10275"/>
      </w:cols>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rap="auto" w:vAnchor="text" w:hAnchor="margin" w:xAlign="right" w:yAlign="top"/>
      <w:widowControl/>
      <w:tabs>
        <w:tab w:val="center" w:pos="4153"/>
        <w:tab w:val="right" w:pos="8306"/>
      </w:tabs>
      <w:snapToGrid w:val="0"/>
      <w:ind w:firstLine="420"/>
      <w:jc w:val="left"/>
      <w:textAlignment w:val="baseline"/>
      <w:rPr>
        <w:sz w:val="21"/>
      </w:rPr>
    </w:pPr>
    <w:r>
      <w:rPr>
        <w:rFonts w:hint="eastAsia"/>
        <w:sz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autoSpaceDE w:val="0"/>
      <w:autoSpaceDN w:val="0"/>
      <w:rPr>
        <w:rFonts w:ascii="Calibri"/>
        <w:sz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tabs>
        <w:tab w:val="center" w:pos="4153"/>
        <w:tab w:val="right" w:pos="8306"/>
      </w:tabs>
      <w:snapToGrid w:val="0"/>
      <w:spacing w:after="120" w:line="100" w:lineRule="exact"/>
      <w:ind w:firstLine="420"/>
      <w:jc w:val="left"/>
      <w:rPr>
        <w:sz w:val="21"/>
        <w:u w:val="single"/>
      </w:rPr>
    </w:pPr>
    <w:r>
      <w:rPr>
        <w:rFonts w:hint="eastAsia"/>
        <w:sz w:val="21"/>
        <w:u w:val="single"/>
      </w:rPr>
      <w:t xml:space="preserve">                                                                                                                                                                                                        </w:t>
    </w:r>
  </w:p>
  <w:p>
    <w:pPr>
      <w:widowControl/>
      <w:tabs>
        <w:tab w:val="center" w:pos="4153"/>
        <w:tab w:val="right" w:pos="8306"/>
      </w:tabs>
      <w:snapToGrid w:val="0"/>
      <w:jc w:val="left"/>
      <w:rPr>
        <w:sz w:val="21"/>
      </w:rPr>
    </w:pPr>
    <w:r>
      <w:rPr>
        <w:rFonts w:hint="eastAsia"/>
        <w:sz w:val="24"/>
      </w:rPr>
      <w:t xml:space="preserve">  中化地质矿山总局福建地质勘查院                                                                                                                              </w:t>
    </w:r>
    <w:r>
      <w:rPr>
        <w:sz w:val="24"/>
      </w:rPr>
      <w:t xml:space="preserve"> 20</w:t>
    </w:r>
    <w:r>
      <w:rPr>
        <w:rFonts w:hint="eastAsia"/>
        <w:sz w:val="24"/>
      </w:rPr>
      <w:t>2</w:t>
    </w:r>
    <w:r>
      <w:rPr>
        <w:sz w:val="24"/>
      </w:rPr>
      <w:t>3年</w:t>
    </w:r>
    <w:r>
      <w:rPr>
        <w:rFonts w:hint="eastAsia"/>
        <w:sz w:val="24"/>
        <w:lang w:val="en-US" w:eastAsia="zh-CN"/>
      </w:rPr>
      <w:t>2</w:t>
    </w:r>
    <w:r>
      <w:rPr>
        <w:sz w:val="24"/>
      </w:rPr>
      <w:t>月</w:t>
    </w:r>
    <w:r>
      <w:rPr>
        <w:sz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autoSpaceDE w:val="0"/>
      <w:autoSpaceDN w:val="0"/>
      <w:rPr>
        <w:rFonts w:ascii="Calibri"/>
        <w:sz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left"/>
    </w:pPr>
    <w:r>
      <w:rPr>
        <w:rFonts w:hint="eastAsia"/>
        <w:sz w:val="21"/>
        <w:szCs w:val="21"/>
      </w:rPr>
      <w:t>三明市尤溪县城关镇北门</w:t>
    </w:r>
    <w:r>
      <w:rPr>
        <w:rFonts w:hint="eastAsia"/>
        <w:sz w:val="21"/>
        <w:szCs w:val="21"/>
        <w:lang w:val="en-US" w:eastAsia="zh-CN"/>
      </w:rPr>
      <w:t>路</w:t>
    </w:r>
    <w:r>
      <w:rPr>
        <w:rFonts w:hint="eastAsia"/>
        <w:sz w:val="21"/>
        <w:szCs w:val="21"/>
      </w:rPr>
      <w:t xml:space="preserve">31、32、33号宅前崩塌治理工程勘查报告 </w:t>
    </w:r>
    <w:r>
      <w:rPr>
        <w:sz w:val="21"/>
        <w:szCs w:val="21"/>
      </w:rPr>
      <w:t xml:space="preserve"> </w:t>
    </w:r>
    <w:r>
      <w:rPr>
        <w:sz w:val="24"/>
        <w:szCs w:val="24"/>
      </w:rPr>
      <w:t xml:space="preserve">                                                                                                  </w:t>
    </w:r>
    <w:r>
      <w:rPr>
        <w:rFonts w:hint="eastAsia"/>
        <w:sz w:val="24"/>
        <w:szCs w:val="24"/>
      </w:rPr>
      <w:t>目录</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left" w:pos="1200"/>
        <w:tab w:val="right" w:pos="20976"/>
      </w:tabs>
      <w:jc w:val="left"/>
      <w:rPr>
        <w:sz w:val="24"/>
        <w:szCs w:val="24"/>
      </w:rPr>
    </w:pPr>
    <w:r>
      <w:rPr>
        <w:rFonts w:hint="eastAsia"/>
        <w:sz w:val="24"/>
        <w:szCs w:val="24"/>
      </w:rPr>
      <w:t>三明市尤溪县城关镇北门</w:t>
    </w:r>
    <w:r>
      <w:rPr>
        <w:rFonts w:hint="eastAsia"/>
        <w:sz w:val="24"/>
        <w:szCs w:val="24"/>
        <w:lang w:val="en-US" w:eastAsia="zh-CN"/>
      </w:rPr>
      <w:t>路</w:t>
    </w:r>
    <w:r>
      <w:rPr>
        <w:rFonts w:hint="eastAsia"/>
        <w:sz w:val="24"/>
        <w:szCs w:val="24"/>
      </w:rPr>
      <w:t>31、32、33号宅前崩塌治理工程勘查报告</w:t>
    </w:r>
    <w:r>
      <w:rPr>
        <w:sz w:val="24"/>
        <w:szCs w:val="24"/>
      </w:rPr>
      <w:t xml:space="preserve">          </w:t>
    </w:r>
    <w:r>
      <w:rPr>
        <w:rFonts w:hint="eastAsia"/>
        <w:sz w:val="24"/>
        <w:szCs w:val="24"/>
      </w:rPr>
      <w:t xml:space="preserve">                         </w:t>
    </w:r>
    <w:r>
      <w:rPr>
        <w:sz w:val="24"/>
        <w:szCs w:val="24"/>
      </w:rPr>
      <w:t xml:space="preserve">    </w:t>
    </w:r>
    <w:r>
      <w:rPr>
        <w:sz w:val="24"/>
        <w:szCs w:val="24"/>
      </w:rPr>
      <w:tab/>
    </w:r>
    <w:r>
      <w:rPr>
        <w:sz w:val="24"/>
        <w:szCs w:val="24"/>
      </w:rPr>
      <w:fldChar w:fldCharType="begin"/>
    </w:r>
    <w:r>
      <w:rPr>
        <w:sz w:val="24"/>
        <w:szCs w:val="24"/>
      </w:rPr>
      <w:instrText xml:space="preserve">PAGE   \* MERGEFORMAT</w:instrText>
    </w:r>
    <w:r>
      <w:rPr>
        <w:sz w:val="24"/>
        <w:szCs w:val="24"/>
      </w:rPr>
      <w:fldChar w:fldCharType="separate"/>
    </w:r>
    <w:r>
      <w:rPr>
        <w:sz w:val="24"/>
        <w:szCs w:val="24"/>
        <w:lang w:val="zh-CN"/>
      </w:rPr>
      <w:t>2</w:t>
    </w:r>
    <w:r>
      <w:rPr>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F459A2"/>
    <w:multiLevelType w:val="singleLevel"/>
    <w:tmpl w:val="BDF459A2"/>
    <w:lvl w:ilvl="0" w:tentative="0">
      <w:start w:val="1"/>
      <w:numFmt w:val="decimal"/>
      <w:suff w:val="nothing"/>
      <w:lvlText w:val="%1）"/>
      <w:lvlJc w:val="left"/>
    </w:lvl>
  </w:abstractNum>
  <w:abstractNum w:abstractNumId="1">
    <w:nsid w:val="37F59694"/>
    <w:multiLevelType w:val="multilevel"/>
    <w:tmpl w:val="37F59694"/>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
    <w:nsid w:val="5ABC6F9C"/>
    <w:multiLevelType w:val="multilevel"/>
    <w:tmpl w:val="5ABC6F9C"/>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1"/>
  <w:bordersDoNotSurroundFooter w:val="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nforcement="0"/>
  <w:defaultTabStop w:val="425"/>
  <w:drawingGridHorizontalSpacing w:val="140"/>
  <w:drawingGridVerticalSpacing w:val="381"/>
  <w:noPunctuationKerning w:val="1"/>
  <w:characterSpacingControl w:val="compressPunctuation"/>
  <w:doNotValidateAgainstSchema/>
  <w:doNotDemarcateInvalidXml/>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M3NTE2MzFkZGE0ZmJmMTc2OWUxMjg5ZTExNzg2NTQifQ=="/>
  </w:docVars>
  <w:rsids>
    <w:rsidRoot w:val="00172A27"/>
    <w:rsid w:val="00000D2B"/>
    <w:rsid w:val="00000FC3"/>
    <w:rsid w:val="0000243F"/>
    <w:rsid w:val="00002C6A"/>
    <w:rsid w:val="00004191"/>
    <w:rsid w:val="0000523D"/>
    <w:rsid w:val="000071A3"/>
    <w:rsid w:val="00016AEF"/>
    <w:rsid w:val="00017283"/>
    <w:rsid w:val="000175E2"/>
    <w:rsid w:val="000248B1"/>
    <w:rsid w:val="00024EDF"/>
    <w:rsid w:val="0002587C"/>
    <w:rsid w:val="00026CC5"/>
    <w:rsid w:val="000274D3"/>
    <w:rsid w:val="000305C7"/>
    <w:rsid w:val="00030E69"/>
    <w:rsid w:val="00033A26"/>
    <w:rsid w:val="00033AFB"/>
    <w:rsid w:val="000348A5"/>
    <w:rsid w:val="00035F36"/>
    <w:rsid w:val="00042AC0"/>
    <w:rsid w:val="000431C6"/>
    <w:rsid w:val="0004494A"/>
    <w:rsid w:val="0004630B"/>
    <w:rsid w:val="00052078"/>
    <w:rsid w:val="00052197"/>
    <w:rsid w:val="0005271D"/>
    <w:rsid w:val="00052C43"/>
    <w:rsid w:val="00056D19"/>
    <w:rsid w:val="0006010B"/>
    <w:rsid w:val="000606C0"/>
    <w:rsid w:val="00060890"/>
    <w:rsid w:val="00060BC8"/>
    <w:rsid w:val="000614B6"/>
    <w:rsid w:val="0006377D"/>
    <w:rsid w:val="00063C71"/>
    <w:rsid w:val="000667ED"/>
    <w:rsid w:val="00066E6A"/>
    <w:rsid w:val="00071AF4"/>
    <w:rsid w:val="0007291D"/>
    <w:rsid w:val="00072B24"/>
    <w:rsid w:val="0007461E"/>
    <w:rsid w:val="000754E5"/>
    <w:rsid w:val="00075615"/>
    <w:rsid w:val="00077B4E"/>
    <w:rsid w:val="00077F5F"/>
    <w:rsid w:val="000803AE"/>
    <w:rsid w:val="00082365"/>
    <w:rsid w:val="00084300"/>
    <w:rsid w:val="00084E85"/>
    <w:rsid w:val="00086E88"/>
    <w:rsid w:val="0008726F"/>
    <w:rsid w:val="00087B4B"/>
    <w:rsid w:val="000912ED"/>
    <w:rsid w:val="00091DCA"/>
    <w:rsid w:val="000975CF"/>
    <w:rsid w:val="000A2BF6"/>
    <w:rsid w:val="000A3099"/>
    <w:rsid w:val="000A3579"/>
    <w:rsid w:val="000B1267"/>
    <w:rsid w:val="000B1499"/>
    <w:rsid w:val="000B16E5"/>
    <w:rsid w:val="000B30E4"/>
    <w:rsid w:val="000B533C"/>
    <w:rsid w:val="000B590A"/>
    <w:rsid w:val="000B5A68"/>
    <w:rsid w:val="000B7D7A"/>
    <w:rsid w:val="000C204C"/>
    <w:rsid w:val="000C4A36"/>
    <w:rsid w:val="000C5F42"/>
    <w:rsid w:val="000D08E0"/>
    <w:rsid w:val="000D1732"/>
    <w:rsid w:val="000D4DD5"/>
    <w:rsid w:val="000D5CFB"/>
    <w:rsid w:val="000E08AC"/>
    <w:rsid w:val="000E0D79"/>
    <w:rsid w:val="000E1759"/>
    <w:rsid w:val="000E22B7"/>
    <w:rsid w:val="000E3620"/>
    <w:rsid w:val="000E3839"/>
    <w:rsid w:val="000E4553"/>
    <w:rsid w:val="000E6035"/>
    <w:rsid w:val="000F0456"/>
    <w:rsid w:val="000F4C82"/>
    <w:rsid w:val="000F5550"/>
    <w:rsid w:val="001043B1"/>
    <w:rsid w:val="0010481A"/>
    <w:rsid w:val="0010502E"/>
    <w:rsid w:val="001056C1"/>
    <w:rsid w:val="00110421"/>
    <w:rsid w:val="00111F83"/>
    <w:rsid w:val="00115EA4"/>
    <w:rsid w:val="0012064C"/>
    <w:rsid w:val="00120AD7"/>
    <w:rsid w:val="00121DCF"/>
    <w:rsid w:val="00124D8F"/>
    <w:rsid w:val="00126103"/>
    <w:rsid w:val="001332EB"/>
    <w:rsid w:val="001336F2"/>
    <w:rsid w:val="001357E1"/>
    <w:rsid w:val="0013786F"/>
    <w:rsid w:val="001412AA"/>
    <w:rsid w:val="00142833"/>
    <w:rsid w:val="0014287E"/>
    <w:rsid w:val="0014302C"/>
    <w:rsid w:val="00144AD4"/>
    <w:rsid w:val="001455CF"/>
    <w:rsid w:val="001461B1"/>
    <w:rsid w:val="00147975"/>
    <w:rsid w:val="001479F7"/>
    <w:rsid w:val="00152760"/>
    <w:rsid w:val="00152EA9"/>
    <w:rsid w:val="00154AEF"/>
    <w:rsid w:val="00154C13"/>
    <w:rsid w:val="00155886"/>
    <w:rsid w:val="001563DE"/>
    <w:rsid w:val="0015678D"/>
    <w:rsid w:val="00166C8D"/>
    <w:rsid w:val="00170EFF"/>
    <w:rsid w:val="0017102B"/>
    <w:rsid w:val="00172A27"/>
    <w:rsid w:val="00173245"/>
    <w:rsid w:val="001753E8"/>
    <w:rsid w:val="00175EAD"/>
    <w:rsid w:val="001763A2"/>
    <w:rsid w:val="00180FAD"/>
    <w:rsid w:val="00182425"/>
    <w:rsid w:val="001868E5"/>
    <w:rsid w:val="001879BF"/>
    <w:rsid w:val="0019028C"/>
    <w:rsid w:val="00193C84"/>
    <w:rsid w:val="00196DCE"/>
    <w:rsid w:val="00196FE5"/>
    <w:rsid w:val="001A03FA"/>
    <w:rsid w:val="001A1842"/>
    <w:rsid w:val="001A1F9A"/>
    <w:rsid w:val="001A3190"/>
    <w:rsid w:val="001A54D6"/>
    <w:rsid w:val="001A60E8"/>
    <w:rsid w:val="001A68D7"/>
    <w:rsid w:val="001B0155"/>
    <w:rsid w:val="001B1965"/>
    <w:rsid w:val="001B330D"/>
    <w:rsid w:val="001C44C4"/>
    <w:rsid w:val="001C44D6"/>
    <w:rsid w:val="001C4AA9"/>
    <w:rsid w:val="001C5C0D"/>
    <w:rsid w:val="001D1D7E"/>
    <w:rsid w:val="001D3656"/>
    <w:rsid w:val="001D4125"/>
    <w:rsid w:val="001E052A"/>
    <w:rsid w:val="001E0F1F"/>
    <w:rsid w:val="001E4A7E"/>
    <w:rsid w:val="001E6B96"/>
    <w:rsid w:val="001E7671"/>
    <w:rsid w:val="001F3E43"/>
    <w:rsid w:val="001F5773"/>
    <w:rsid w:val="001F5FB2"/>
    <w:rsid w:val="001F6F34"/>
    <w:rsid w:val="00200569"/>
    <w:rsid w:val="00200C55"/>
    <w:rsid w:val="002011DE"/>
    <w:rsid w:val="00202D8B"/>
    <w:rsid w:val="00203731"/>
    <w:rsid w:val="002038C6"/>
    <w:rsid w:val="00204490"/>
    <w:rsid w:val="00206809"/>
    <w:rsid w:val="00207112"/>
    <w:rsid w:val="00211C35"/>
    <w:rsid w:val="00212665"/>
    <w:rsid w:val="00212981"/>
    <w:rsid w:val="0021344D"/>
    <w:rsid w:val="00214A0C"/>
    <w:rsid w:val="00217189"/>
    <w:rsid w:val="002201C1"/>
    <w:rsid w:val="0022073E"/>
    <w:rsid w:val="00224A60"/>
    <w:rsid w:val="00227F1E"/>
    <w:rsid w:val="00233AE4"/>
    <w:rsid w:val="00235FF8"/>
    <w:rsid w:val="00236254"/>
    <w:rsid w:val="00237472"/>
    <w:rsid w:val="00241FB0"/>
    <w:rsid w:val="002426F9"/>
    <w:rsid w:val="002426FE"/>
    <w:rsid w:val="002427A1"/>
    <w:rsid w:val="0024348A"/>
    <w:rsid w:val="0024442A"/>
    <w:rsid w:val="00245E83"/>
    <w:rsid w:val="00250BFD"/>
    <w:rsid w:val="00255FEB"/>
    <w:rsid w:val="00256418"/>
    <w:rsid w:val="0026035A"/>
    <w:rsid w:val="00260F7E"/>
    <w:rsid w:val="00261378"/>
    <w:rsid w:val="00266DD4"/>
    <w:rsid w:val="0026719B"/>
    <w:rsid w:val="002678AB"/>
    <w:rsid w:val="00270F95"/>
    <w:rsid w:val="00271DF6"/>
    <w:rsid w:val="00273497"/>
    <w:rsid w:val="00273F6B"/>
    <w:rsid w:val="00275745"/>
    <w:rsid w:val="002764F6"/>
    <w:rsid w:val="00280CA4"/>
    <w:rsid w:val="00281474"/>
    <w:rsid w:val="00282A03"/>
    <w:rsid w:val="002862DE"/>
    <w:rsid w:val="00286767"/>
    <w:rsid w:val="00287A2D"/>
    <w:rsid w:val="00287DED"/>
    <w:rsid w:val="00287EBC"/>
    <w:rsid w:val="0029037C"/>
    <w:rsid w:val="00293703"/>
    <w:rsid w:val="00293EA9"/>
    <w:rsid w:val="002963DD"/>
    <w:rsid w:val="00296637"/>
    <w:rsid w:val="002A6A09"/>
    <w:rsid w:val="002A6D8C"/>
    <w:rsid w:val="002B12CB"/>
    <w:rsid w:val="002B12D4"/>
    <w:rsid w:val="002B4BBA"/>
    <w:rsid w:val="002B6636"/>
    <w:rsid w:val="002B6916"/>
    <w:rsid w:val="002B7DB1"/>
    <w:rsid w:val="002C1EFE"/>
    <w:rsid w:val="002C2FC4"/>
    <w:rsid w:val="002C3125"/>
    <w:rsid w:val="002C312F"/>
    <w:rsid w:val="002C3C32"/>
    <w:rsid w:val="002C57A0"/>
    <w:rsid w:val="002C5AB3"/>
    <w:rsid w:val="002C5E2D"/>
    <w:rsid w:val="002C772A"/>
    <w:rsid w:val="002D3CE1"/>
    <w:rsid w:val="002D4794"/>
    <w:rsid w:val="002D5ECF"/>
    <w:rsid w:val="002D7CDC"/>
    <w:rsid w:val="002E0C49"/>
    <w:rsid w:val="002E26CD"/>
    <w:rsid w:val="002E3690"/>
    <w:rsid w:val="002E3EF1"/>
    <w:rsid w:val="002F3478"/>
    <w:rsid w:val="002F4C04"/>
    <w:rsid w:val="002F65A2"/>
    <w:rsid w:val="00302A75"/>
    <w:rsid w:val="003032EC"/>
    <w:rsid w:val="00306370"/>
    <w:rsid w:val="00306A6F"/>
    <w:rsid w:val="003102E4"/>
    <w:rsid w:val="00310839"/>
    <w:rsid w:val="00313956"/>
    <w:rsid w:val="00315C14"/>
    <w:rsid w:val="003164F7"/>
    <w:rsid w:val="0031730F"/>
    <w:rsid w:val="0032352A"/>
    <w:rsid w:val="0032407D"/>
    <w:rsid w:val="00330303"/>
    <w:rsid w:val="00330A65"/>
    <w:rsid w:val="00330F43"/>
    <w:rsid w:val="00332C90"/>
    <w:rsid w:val="003330CF"/>
    <w:rsid w:val="00334C7D"/>
    <w:rsid w:val="0033648A"/>
    <w:rsid w:val="00340BAE"/>
    <w:rsid w:val="00351950"/>
    <w:rsid w:val="00356367"/>
    <w:rsid w:val="00360250"/>
    <w:rsid w:val="003608AA"/>
    <w:rsid w:val="00360FD6"/>
    <w:rsid w:val="0036163E"/>
    <w:rsid w:val="00365A01"/>
    <w:rsid w:val="00365F9F"/>
    <w:rsid w:val="00366D51"/>
    <w:rsid w:val="00367D9D"/>
    <w:rsid w:val="00367F5C"/>
    <w:rsid w:val="00370DF7"/>
    <w:rsid w:val="003756EC"/>
    <w:rsid w:val="003765BE"/>
    <w:rsid w:val="00376C89"/>
    <w:rsid w:val="00381F70"/>
    <w:rsid w:val="0038476B"/>
    <w:rsid w:val="00387E64"/>
    <w:rsid w:val="0039379B"/>
    <w:rsid w:val="003939AE"/>
    <w:rsid w:val="00393A6B"/>
    <w:rsid w:val="00394928"/>
    <w:rsid w:val="003A3C2F"/>
    <w:rsid w:val="003A47BF"/>
    <w:rsid w:val="003A595C"/>
    <w:rsid w:val="003A5A1D"/>
    <w:rsid w:val="003A7616"/>
    <w:rsid w:val="003B0525"/>
    <w:rsid w:val="003B63D8"/>
    <w:rsid w:val="003C3224"/>
    <w:rsid w:val="003C3DC5"/>
    <w:rsid w:val="003C4613"/>
    <w:rsid w:val="003D29B5"/>
    <w:rsid w:val="003D451E"/>
    <w:rsid w:val="003D52A0"/>
    <w:rsid w:val="003D53BE"/>
    <w:rsid w:val="003E00CE"/>
    <w:rsid w:val="003E6446"/>
    <w:rsid w:val="003E6894"/>
    <w:rsid w:val="003F23B0"/>
    <w:rsid w:val="003F2FED"/>
    <w:rsid w:val="003F3A8D"/>
    <w:rsid w:val="003F4DF1"/>
    <w:rsid w:val="003F5A6F"/>
    <w:rsid w:val="003F7403"/>
    <w:rsid w:val="00400BF7"/>
    <w:rsid w:val="004016B2"/>
    <w:rsid w:val="00402818"/>
    <w:rsid w:val="004041DC"/>
    <w:rsid w:val="00404C21"/>
    <w:rsid w:val="004069C4"/>
    <w:rsid w:val="00406F1D"/>
    <w:rsid w:val="00413356"/>
    <w:rsid w:val="004152B2"/>
    <w:rsid w:val="00416142"/>
    <w:rsid w:val="004161F9"/>
    <w:rsid w:val="004177FE"/>
    <w:rsid w:val="00417ACE"/>
    <w:rsid w:val="004219DC"/>
    <w:rsid w:val="00422CDB"/>
    <w:rsid w:val="00423A9D"/>
    <w:rsid w:val="004278F1"/>
    <w:rsid w:val="00427CE4"/>
    <w:rsid w:val="00434D54"/>
    <w:rsid w:val="00435793"/>
    <w:rsid w:val="004374C7"/>
    <w:rsid w:val="00441939"/>
    <w:rsid w:val="00447004"/>
    <w:rsid w:val="00447B28"/>
    <w:rsid w:val="004511E4"/>
    <w:rsid w:val="00451917"/>
    <w:rsid w:val="0045234D"/>
    <w:rsid w:val="004526FD"/>
    <w:rsid w:val="0045368E"/>
    <w:rsid w:val="00455FC5"/>
    <w:rsid w:val="0046004C"/>
    <w:rsid w:val="004620C7"/>
    <w:rsid w:val="00462D76"/>
    <w:rsid w:val="004641A8"/>
    <w:rsid w:val="004658DF"/>
    <w:rsid w:val="00465ACB"/>
    <w:rsid w:val="004678EA"/>
    <w:rsid w:val="00467D4F"/>
    <w:rsid w:val="004711BE"/>
    <w:rsid w:val="0047216A"/>
    <w:rsid w:val="00473D9C"/>
    <w:rsid w:val="00477011"/>
    <w:rsid w:val="004773BB"/>
    <w:rsid w:val="0047754E"/>
    <w:rsid w:val="00477CC1"/>
    <w:rsid w:val="004843E2"/>
    <w:rsid w:val="0048505B"/>
    <w:rsid w:val="00485372"/>
    <w:rsid w:val="00485731"/>
    <w:rsid w:val="00485C50"/>
    <w:rsid w:val="004907A2"/>
    <w:rsid w:val="004912BA"/>
    <w:rsid w:val="00492B4D"/>
    <w:rsid w:val="004943AD"/>
    <w:rsid w:val="004950B0"/>
    <w:rsid w:val="00495166"/>
    <w:rsid w:val="004A10AB"/>
    <w:rsid w:val="004A1892"/>
    <w:rsid w:val="004A21A0"/>
    <w:rsid w:val="004A4D3B"/>
    <w:rsid w:val="004A6032"/>
    <w:rsid w:val="004A646F"/>
    <w:rsid w:val="004B04D6"/>
    <w:rsid w:val="004B24BC"/>
    <w:rsid w:val="004B43AD"/>
    <w:rsid w:val="004B47DF"/>
    <w:rsid w:val="004B585D"/>
    <w:rsid w:val="004B699B"/>
    <w:rsid w:val="004B6F1E"/>
    <w:rsid w:val="004B7BF2"/>
    <w:rsid w:val="004C0355"/>
    <w:rsid w:val="004C1113"/>
    <w:rsid w:val="004C550A"/>
    <w:rsid w:val="004C5B3E"/>
    <w:rsid w:val="004C6DEB"/>
    <w:rsid w:val="004C6FB3"/>
    <w:rsid w:val="004D4461"/>
    <w:rsid w:val="004D551E"/>
    <w:rsid w:val="004D61F5"/>
    <w:rsid w:val="004D6493"/>
    <w:rsid w:val="004D6B21"/>
    <w:rsid w:val="004D7741"/>
    <w:rsid w:val="004D7A29"/>
    <w:rsid w:val="004E01B9"/>
    <w:rsid w:val="004E1693"/>
    <w:rsid w:val="004E2CAF"/>
    <w:rsid w:val="004E3489"/>
    <w:rsid w:val="004E3B36"/>
    <w:rsid w:val="004E65BC"/>
    <w:rsid w:val="004E6B34"/>
    <w:rsid w:val="004F1CB6"/>
    <w:rsid w:val="004F301A"/>
    <w:rsid w:val="004F3CDA"/>
    <w:rsid w:val="004F43D8"/>
    <w:rsid w:val="004F52FF"/>
    <w:rsid w:val="004F57E8"/>
    <w:rsid w:val="004F6B5C"/>
    <w:rsid w:val="005001F2"/>
    <w:rsid w:val="00502F33"/>
    <w:rsid w:val="0050344E"/>
    <w:rsid w:val="00503695"/>
    <w:rsid w:val="005036EF"/>
    <w:rsid w:val="005037F5"/>
    <w:rsid w:val="005063DD"/>
    <w:rsid w:val="00506436"/>
    <w:rsid w:val="00506D40"/>
    <w:rsid w:val="005079DD"/>
    <w:rsid w:val="0051211F"/>
    <w:rsid w:val="0051239D"/>
    <w:rsid w:val="00513687"/>
    <w:rsid w:val="00514B0B"/>
    <w:rsid w:val="005167E5"/>
    <w:rsid w:val="0051708B"/>
    <w:rsid w:val="00521AA4"/>
    <w:rsid w:val="00525F80"/>
    <w:rsid w:val="0052707B"/>
    <w:rsid w:val="0053711C"/>
    <w:rsid w:val="00537A65"/>
    <w:rsid w:val="00540191"/>
    <w:rsid w:val="0054176F"/>
    <w:rsid w:val="005436DB"/>
    <w:rsid w:val="00543F75"/>
    <w:rsid w:val="00543FB9"/>
    <w:rsid w:val="00544DC3"/>
    <w:rsid w:val="0054537D"/>
    <w:rsid w:val="00550A41"/>
    <w:rsid w:val="0055398F"/>
    <w:rsid w:val="00553A15"/>
    <w:rsid w:val="00554853"/>
    <w:rsid w:val="00554F32"/>
    <w:rsid w:val="00556279"/>
    <w:rsid w:val="0055673C"/>
    <w:rsid w:val="00560A3B"/>
    <w:rsid w:val="00560B00"/>
    <w:rsid w:val="0056338D"/>
    <w:rsid w:val="00563DC9"/>
    <w:rsid w:val="00564CAA"/>
    <w:rsid w:val="005658A7"/>
    <w:rsid w:val="00566EA0"/>
    <w:rsid w:val="005671F5"/>
    <w:rsid w:val="00570DF4"/>
    <w:rsid w:val="00571061"/>
    <w:rsid w:val="00573E36"/>
    <w:rsid w:val="00574726"/>
    <w:rsid w:val="005756CB"/>
    <w:rsid w:val="005804A1"/>
    <w:rsid w:val="00580924"/>
    <w:rsid w:val="00581B2C"/>
    <w:rsid w:val="005843BB"/>
    <w:rsid w:val="00587C7E"/>
    <w:rsid w:val="00590860"/>
    <w:rsid w:val="005910C0"/>
    <w:rsid w:val="0059170B"/>
    <w:rsid w:val="00592435"/>
    <w:rsid w:val="005933BD"/>
    <w:rsid w:val="005936FC"/>
    <w:rsid w:val="0059372F"/>
    <w:rsid w:val="00593C4D"/>
    <w:rsid w:val="005943BB"/>
    <w:rsid w:val="00594CD5"/>
    <w:rsid w:val="00595156"/>
    <w:rsid w:val="00595C3D"/>
    <w:rsid w:val="005A1FD3"/>
    <w:rsid w:val="005A22CC"/>
    <w:rsid w:val="005A24A6"/>
    <w:rsid w:val="005A3C99"/>
    <w:rsid w:val="005A504A"/>
    <w:rsid w:val="005A5730"/>
    <w:rsid w:val="005A68AD"/>
    <w:rsid w:val="005B0B22"/>
    <w:rsid w:val="005B5B56"/>
    <w:rsid w:val="005B7AC3"/>
    <w:rsid w:val="005C42B5"/>
    <w:rsid w:val="005C5F96"/>
    <w:rsid w:val="005C7354"/>
    <w:rsid w:val="005D1317"/>
    <w:rsid w:val="005D1BFC"/>
    <w:rsid w:val="005D2FAF"/>
    <w:rsid w:val="005D3468"/>
    <w:rsid w:val="005D5B76"/>
    <w:rsid w:val="005D66A1"/>
    <w:rsid w:val="005D77B9"/>
    <w:rsid w:val="005E06AD"/>
    <w:rsid w:val="005E151B"/>
    <w:rsid w:val="005E17C0"/>
    <w:rsid w:val="005E1D63"/>
    <w:rsid w:val="005E48ED"/>
    <w:rsid w:val="005E4BAD"/>
    <w:rsid w:val="005E7D62"/>
    <w:rsid w:val="005E7DD9"/>
    <w:rsid w:val="005F2321"/>
    <w:rsid w:val="005F30FF"/>
    <w:rsid w:val="005F47D5"/>
    <w:rsid w:val="005F49B7"/>
    <w:rsid w:val="005F55AD"/>
    <w:rsid w:val="005F6CE0"/>
    <w:rsid w:val="00606960"/>
    <w:rsid w:val="0060760C"/>
    <w:rsid w:val="00607C40"/>
    <w:rsid w:val="00610D29"/>
    <w:rsid w:val="006127A1"/>
    <w:rsid w:val="00615829"/>
    <w:rsid w:val="00616C56"/>
    <w:rsid w:val="00617B4D"/>
    <w:rsid w:val="00621207"/>
    <w:rsid w:val="006218DF"/>
    <w:rsid w:val="00622AE9"/>
    <w:rsid w:val="006239A0"/>
    <w:rsid w:val="00625573"/>
    <w:rsid w:val="00626770"/>
    <w:rsid w:val="00627F52"/>
    <w:rsid w:val="0063020E"/>
    <w:rsid w:val="006316E1"/>
    <w:rsid w:val="0063297C"/>
    <w:rsid w:val="00634234"/>
    <w:rsid w:val="00636CF6"/>
    <w:rsid w:val="0063770E"/>
    <w:rsid w:val="006409A5"/>
    <w:rsid w:val="006433AA"/>
    <w:rsid w:val="00647525"/>
    <w:rsid w:val="0065049B"/>
    <w:rsid w:val="00651B0A"/>
    <w:rsid w:val="006554B7"/>
    <w:rsid w:val="00657AA6"/>
    <w:rsid w:val="006607C6"/>
    <w:rsid w:val="00662F67"/>
    <w:rsid w:val="006632E0"/>
    <w:rsid w:val="006676E4"/>
    <w:rsid w:val="00667BC4"/>
    <w:rsid w:val="00667E53"/>
    <w:rsid w:val="00670743"/>
    <w:rsid w:val="00671993"/>
    <w:rsid w:val="006737FB"/>
    <w:rsid w:val="006739C5"/>
    <w:rsid w:val="00675730"/>
    <w:rsid w:val="00677F3C"/>
    <w:rsid w:val="006853D8"/>
    <w:rsid w:val="00685B81"/>
    <w:rsid w:val="00691682"/>
    <w:rsid w:val="006A64FA"/>
    <w:rsid w:val="006B1C68"/>
    <w:rsid w:val="006B2318"/>
    <w:rsid w:val="006B2C53"/>
    <w:rsid w:val="006B3910"/>
    <w:rsid w:val="006B60E9"/>
    <w:rsid w:val="006C0493"/>
    <w:rsid w:val="006C04EF"/>
    <w:rsid w:val="006C2270"/>
    <w:rsid w:val="006C3700"/>
    <w:rsid w:val="006C42B1"/>
    <w:rsid w:val="006C4866"/>
    <w:rsid w:val="006C4E7B"/>
    <w:rsid w:val="006C7877"/>
    <w:rsid w:val="006D1F76"/>
    <w:rsid w:val="006D2C60"/>
    <w:rsid w:val="006D3227"/>
    <w:rsid w:val="006E049F"/>
    <w:rsid w:val="006E0698"/>
    <w:rsid w:val="006E10C1"/>
    <w:rsid w:val="006E3DE5"/>
    <w:rsid w:val="006E479C"/>
    <w:rsid w:val="006E7BFA"/>
    <w:rsid w:val="006F0370"/>
    <w:rsid w:val="006F0F68"/>
    <w:rsid w:val="006F26D9"/>
    <w:rsid w:val="006F48E9"/>
    <w:rsid w:val="006F7730"/>
    <w:rsid w:val="007010A9"/>
    <w:rsid w:val="00701284"/>
    <w:rsid w:val="00703DE4"/>
    <w:rsid w:val="007042A0"/>
    <w:rsid w:val="00704D06"/>
    <w:rsid w:val="0070582E"/>
    <w:rsid w:val="007073D4"/>
    <w:rsid w:val="007133CA"/>
    <w:rsid w:val="00714A96"/>
    <w:rsid w:val="00717AFB"/>
    <w:rsid w:val="00717C10"/>
    <w:rsid w:val="007206AC"/>
    <w:rsid w:val="0072200A"/>
    <w:rsid w:val="007226F9"/>
    <w:rsid w:val="007245AB"/>
    <w:rsid w:val="00725290"/>
    <w:rsid w:val="00727B83"/>
    <w:rsid w:val="00733CC6"/>
    <w:rsid w:val="007345D4"/>
    <w:rsid w:val="0073523E"/>
    <w:rsid w:val="007352CE"/>
    <w:rsid w:val="007365BF"/>
    <w:rsid w:val="00740106"/>
    <w:rsid w:val="00742260"/>
    <w:rsid w:val="00744072"/>
    <w:rsid w:val="007446B3"/>
    <w:rsid w:val="007450F7"/>
    <w:rsid w:val="00755280"/>
    <w:rsid w:val="007559DB"/>
    <w:rsid w:val="007564F1"/>
    <w:rsid w:val="007573BA"/>
    <w:rsid w:val="00762859"/>
    <w:rsid w:val="007639BD"/>
    <w:rsid w:val="007649D6"/>
    <w:rsid w:val="0077337E"/>
    <w:rsid w:val="00774A2F"/>
    <w:rsid w:val="0077512D"/>
    <w:rsid w:val="00777E8C"/>
    <w:rsid w:val="00777EA4"/>
    <w:rsid w:val="00780163"/>
    <w:rsid w:val="0078566F"/>
    <w:rsid w:val="00787AD3"/>
    <w:rsid w:val="007902B0"/>
    <w:rsid w:val="00793DB0"/>
    <w:rsid w:val="00794D82"/>
    <w:rsid w:val="00794F0A"/>
    <w:rsid w:val="007A1F28"/>
    <w:rsid w:val="007A364F"/>
    <w:rsid w:val="007A64AA"/>
    <w:rsid w:val="007A65DD"/>
    <w:rsid w:val="007A74D3"/>
    <w:rsid w:val="007B17B3"/>
    <w:rsid w:val="007B22AA"/>
    <w:rsid w:val="007B2AA7"/>
    <w:rsid w:val="007B620B"/>
    <w:rsid w:val="007B67C9"/>
    <w:rsid w:val="007B7CC6"/>
    <w:rsid w:val="007C2CE8"/>
    <w:rsid w:val="007C3D3B"/>
    <w:rsid w:val="007C6251"/>
    <w:rsid w:val="007C62C9"/>
    <w:rsid w:val="007C6F92"/>
    <w:rsid w:val="007D2D12"/>
    <w:rsid w:val="007D5359"/>
    <w:rsid w:val="007D610D"/>
    <w:rsid w:val="007E04D6"/>
    <w:rsid w:val="007E0C92"/>
    <w:rsid w:val="007E34A1"/>
    <w:rsid w:val="007E3E7F"/>
    <w:rsid w:val="007E477C"/>
    <w:rsid w:val="007E4F9E"/>
    <w:rsid w:val="007E5D36"/>
    <w:rsid w:val="007F27E4"/>
    <w:rsid w:val="007F6483"/>
    <w:rsid w:val="007F69C5"/>
    <w:rsid w:val="007F6D06"/>
    <w:rsid w:val="00800D39"/>
    <w:rsid w:val="0080102F"/>
    <w:rsid w:val="00801889"/>
    <w:rsid w:val="00802735"/>
    <w:rsid w:val="0080284C"/>
    <w:rsid w:val="00803129"/>
    <w:rsid w:val="008031DA"/>
    <w:rsid w:val="00803C25"/>
    <w:rsid w:val="00803C72"/>
    <w:rsid w:val="00803CBF"/>
    <w:rsid w:val="008055C8"/>
    <w:rsid w:val="00807843"/>
    <w:rsid w:val="00807E7A"/>
    <w:rsid w:val="008113E8"/>
    <w:rsid w:val="008136F9"/>
    <w:rsid w:val="00815248"/>
    <w:rsid w:val="008154EB"/>
    <w:rsid w:val="00817C23"/>
    <w:rsid w:val="008213AE"/>
    <w:rsid w:val="00825760"/>
    <w:rsid w:val="0082743B"/>
    <w:rsid w:val="0083178E"/>
    <w:rsid w:val="00833CF2"/>
    <w:rsid w:val="008356B2"/>
    <w:rsid w:val="008378CA"/>
    <w:rsid w:val="00841A11"/>
    <w:rsid w:val="00847E55"/>
    <w:rsid w:val="00850979"/>
    <w:rsid w:val="00851CE3"/>
    <w:rsid w:val="008520CE"/>
    <w:rsid w:val="00854C5F"/>
    <w:rsid w:val="0085779C"/>
    <w:rsid w:val="00862D88"/>
    <w:rsid w:val="00870303"/>
    <w:rsid w:val="0087173A"/>
    <w:rsid w:val="00872A92"/>
    <w:rsid w:val="00873785"/>
    <w:rsid w:val="00874721"/>
    <w:rsid w:val="00874A1F"/>
    <w:rsid w:val="00874B35"/>
    <w:rsid w:val="0087654C"/>
    <w:rsid w:val="00876770"/>
    <w:rsid w:val="0088068A"/>
    <w:rsid w:val="0088623E"/>
    <w:rsid w:val="00886F71"/>
    <w:rsid w:val="00887731"/>
    <w:rsid w:val="008913BC"/>
    <w:rsid w:val="00892B65"/>
    <w:rsid w:val="00892BAC"/>
    <w:rsid w:val="0089547C"/>
    <w:rsid w:val="00895EBF"/>
    <w:rsid w:val="00895F75"/>
    <w:rsid w:val="0089638E"/>
    <w:rsid w:val="008970AA"/>
    <w:rsid w:val="008A09B8"/>
    <w:rsid w:val="008A1059"/>
    <w:rsid w:val="008A40A0"/>
    <w:rsid w:val="008A4605"/>
    <w:rsid w:val="008A5CE6"/>
    <w:rsid w:val="008A6D78"/>
    <w:rsid w:val="008A72E5"/>
    <w:rsid w:val="008B3922"/>
    <w:rsid w:val="008B3993"/>
    <w:rsid w:val="008B3AFD"/>
    <w:rsid w:val="008B4392"/>
    <w:rsid w:val="008B5105"/>
    <w:rsid w:val="008B731E"/>
    <w:rsid w:val="008B7334"/>
    <w:rsid w:val="008C0179"/>
    <w:rsid w:val="008C1008"/>
    <w:rsid w:val="008C2462"/>
    <w:rsid w:val="008C2C73"/>
    <w:rsid w:val="008C3399"/>
    <w:rsid w:val="008C447D"/>
    <w:rsid w:val="008D156B"/>
    <w:rsid w:val="008D4AA6"/>
    <w:rsid w:val="008D4FA0"/>
    <w:rsid w:val="008D5396"/>
    <w:rsid w:val="008D57B1"/>
    <w:rsid w:val="008E55CD"/>
    <w:rsid w:val="008E63CD"/>
    <w:rsid w:val="008E67F0"/>
    <w:rsid w:val="008E7743"/>
    <w:rsid w:val="008F02D2"/>
    <w:rsid w:val="008F0FDA"/>
    <w:rsid w:val="008F1061"/>
    <w:rsid w:val="008F1EE3"/>
    <w:rsid w:val="008F3DC7"/>
    <w:rsid w:val="008F5D65"/>
    <w:rsid w:val="008F6684"/>
    <w:rsid w:val="008F70EF"/>
    <w:rsid w:val="00901C9F"/>
    <w:rsid w:val="00901D5B"/>
    <w:rsid w:val="00905606"/>
    <w:rsid w:val="0091069D"/>
    <w:rsid w:val="00910711"/>
    <w:rsid w:val="00912D10"/>
    <w:rsid w:val="009130A0"/>
    <w:rsid w:val="00914DB7"/>
    <w:rsid w:val="0092465F"/>
    <w:rsid w:val="0092584C"/>
    <w:rsid w:val="00925E5A"/>
    <w:rsid w:val="0093024F"/>
    <w:rsid w:val="009305B7"/>
    <w:rsid w:val="00932062"/>
    <w:rsid w:val="00934151"/>
    <w:rsid w:val="00936F4B"/>
    <w:rsid w:val="00941B8C"/>
    <w:rsid w:val="009439F4"/>
    <w:rsid w:val="009440B1"/>
    <w:rsid w:val="00945A75"/>
    <w:rsid w:val="00945DB0"/>
    <w:rsid w:val="009476CE"/>
    <w:rsid w:val="009502F6"/>
    <w:rsid w:val="009519FF"/>
    <w:rsid w:val="00952B56"/>
    <w:rsid w:val="009531AA"/>
    <w:rsid w:val="009540D1"/>
    <w:rsid w:val="00954527"/>
    <w:rsid w:val="00954D49"/>
    <w:rsid w:val="00955921"/>
    <w:rsid w:val="00956225"/>
    <w:rsid w:val="00962A03"/>
    <w:rsid w:val="00964E4F"/>
    <w:rsid w:val="00967805"/>
    <w:rsid w:val="00967A6C"/>
    <w:rsid w:val="009708D0"/>
    <w:rsid w:val="009740D2"/>
    <w:rsid w:val="009766C0"/>
    <w:rsid w:val="00977A04"/>
    <w:rsid w:val="009826B8"/>
    <w:rsid w:val="0098681B"/>
    <w:rsid w:val="00992615"/>
    <w:rsid w:val="009937B3"/>
    <w:rsid w:val="009947C8"/>
    <w:rsid w:val="009975B1"/>
    <w:rsid w:val="009A003F"/>
    <w:rsid w:val="009A0414"/>
    <w:rsid w:val="009A3210"/>
    <w:rsid w:val="009A385E"/>
    <w:rsid w:val="009A3DDA"/>
    <w:rsid w:val="009A41F0"/>
    <w:rsid w:val="009A5209"/>
    <w:rsid w:val="009A633E"/>
    <w:rsid w:val="009A66B1"/>
    <w:rsid w:val="009B1377"/>
    <w:rsid w:val="009B2D0E"/>
    <w:rsid w:val="009B49EE"/>
    <w:rsid w:val="009B63A2"/>
    <w:rsid w:val="009B6C5E"/>
    <w:rsid w:val="009C5DB1"/>
    <w:rsid w:val="009D2D62"/>
    <w:rsid w:val="009D443D"/>
    <w:rsid w:val="009D5B17"/>
    <w:rsid w:val="009D6211"/>
    <w:rsid w:val="009D63B2"/>
    <w:rsid w:val="009E7287"/>
    <w:rsid w:val="009F00B4"/>
    <w:rsid w:val="009F1D6B"/>
    <w:rsid w:val="009F3030"/>
    <w:rsid w:val="009F3527"/>
    <w:rsid w:val="009F3B04"/>
    <w:rsid w:val="009F5861"/>
    <w:rsid w:val="00A02649"/>
    <w:rsid w:val="00A02960"/>
    <w:rsid w:val="00A04ED9"/>
    <w:rsid w:val="00A05370"/>
    <w:rsid w:val="00A05FFE"/>
    <w:rsid w:val="00A060FE"/>
    <w:rsid w:val="00A12517"/>
    <w:rsid w:val="00A12DB6"/>
    <w:rsid w:val="00A14CCC"/>
    <w:rsid w:val="00A15D9F"/>
    <w:rsid w:val="00A207BB"/>
    <w:rsid w:val="00A240C8"/>
    <w:rsid w:val="00A2534A"/>
    <w:rsid w:val="00A3044B"/>
    <w:rsid w:val="00A3047B"/>
    <w:rsid w:val="00A3149D"/>
    <w:rsid w:val="00A33334"/>
    <w:rsid w:val="00A34CF3"/>
    <w:rsid w:val="00A35856"/>
    <w:rsid w:val="00A36798"/>
    <w:rsid w:val="00A36E3D"/>
    <w:rsid w:val="00A36E42"/>
    <w:rsid w:val="00A37457"/>
    <w:rsid w:val="00A37B0D"/>
    <w:rsid w:val="00A41450"/>
    <w:rsid w:val="00A46054"/>
    <w:rsid w:val="00A46304"/>
    <w:rsid w:val="00A46CCA"/>
    <w:rsid w:val="00A47608"/>
    <w:rsid w:val="00A47CE8"/>
    <w:rsid w:val="00A52D57"/>
    <w:rsid w:val="00A54F04"/>
    <w:rsid w:val="00A61315"/>
    <w:rsid w:val="00A6363B"/>
    <w:rsid w:val="00A639C8"/>
    <w:rsid w:val="00A63D0C"/>
    <w:rsid w:val="00A65819"/>
    <w:rsid w:val="00A666FF"/>
    <w:rsid w:val="00A717A5"/>
    <w:rsid w:val="00A71B33"/>
    <w:rsid w:val="00A73D26"/>
    <w:rsid w:val="00A77323"/>
    <w:rsid w:val="00A7782B"/>
    <w:rsid w:val="00A81735"/>
    <w:rsid w:val="00A81D76"/>
    <w:rsid w:val="00A82222"/>
    <w:rsid w:val="00A82C01"/>
    <w:rsid w:val="00A90325"/>
    <w:rsid w:val="00A9054A"/>
    <w:rsid w:val="00A956D7"/>
    <w:rsid w:val="00A966A8"/>
    <w:rsid w:val="00A972D7"/>
    <w:rsid w:val="00AA1455"/>
    <w:rsid w:val="00AA1C31"/>
    <w:rsid w:val="00AA31B1"/>
    <w:rsid w:val="00AA400F"/>
    <w:rsid w:val="00AA6EE9"/>
    <w:rsid w:val="00AA7DF1"/>
    <w:rsid w:val="00AB11FB"/>
    <w:rsid w:val="00AB7CE0"/>
    <w:rsid w:val="00AC0F41"/>
    <w:rsid w:val="00AC3030"/>
    <w:rsid w:val="00AC43AB"/>
    <w:rsid w:val="00AC50DC"/>
    <w:rsid w:val="00AC7D3C"/>
    <w:rsid w:val="00AD16B4"/>
    <w:rsid w:val="00AD1BC4"/>
    <w:rsid w:val="00AD2506"/>
    <w:rsid w:val="00AD4E94"/>
    <w:rsid w:val="00AD55B0"/>
    <w:rsid w:val="00AD7751"/>
    <w:rsid w:val="00AE3D09"/>
    <w:rsid w:val="00AF26D7"/>
    <w:rsid w:val="00AF3A1A"/>
    <w:rsid w:val="00AF68B7"/>
    <w:rsid w:val="00AF7AB0"/>
    <w:rsid w:val="00B00464"/>
    <w:rsid w:val="00B01787"/>
    <w:rsid w:val="00B1049E"/>
    <w:rsid w:val="00B10A23"/>
    <w:rsid w:val="00B1364A"/>
    <w:rsid w:val="00B13D49"/>
    <w:rsid w:val="00B1431B"/>
    <w:rsid w:val="00B15CD4"/>
    <w:rsid w:val="00B16BF5"/>
    <w:rsid w:val="00B17FED"/>
    <w:rsid w:val="00B2006F"/>
    <w:rsid w:val="00B2570F"/>
    <w:rsid w:val="00B25A81"/>
    <w:rsid w:val="00B2639A"/>
    <w:rsid w:val="00B263A9"/>
    <w:rsid w:val="00B26646"/>
    <w:rsid w:val="00B27F4D"/>
    <w:rsid w:val="00B3127B"/>
    <w:rsid w:val="00B31560"/>
    <w:rsid w:val="00B34143"/>
    <w:rsid w:val="00B35F22"/>
    <w:rsid w:val="00B42C36"/>
    <w:rsid w:val="00B437CD"/>
    <w:rsid w:val="00B44737"/>
    <w:rsid w:val="00B456AA"/>
    <w:rsid w:val="00B45816"/>
    <w:rsid w:val="00B45E2D"/>
    <w:rsid w:val="00B505D5"/>
    <w:rsid w:val="00B520D4"/>
    <w:rsid w:val="00B533B2"/>
    <w:rsid w:val="00B53416"/>
    <w:rsid w:val="00B5459A"/>
    <w:rsid w:val="00B54CFB"/>
    <w:rsid w:val="00B55B18"/>
    <w:rsid w:val="00B5790E"/>
    <w:rsid w:val="00B60BC5"/>
    <w:rsid w:val="00B61578"/>
    <w:rsid w:val="00B61B3C"/>
    <w:rsid w:val="00B629A1"/>
    <w:rsid w:val="00B6320D"/>
    <w:rsid w:val="00B636E2"/>
    <w:rsid w:val="00B64785"/>
    <w:rsid w:val="00B7378F"/>
    <w:rsid w:val="00B74AC1"/>
    <w:rsid w:val="00B75F23"/>
    <w:rsid w:val="00B760F8"/>
    <w:rsid w:val="00B76785"/>
    <w:rsid w:val="00B77556"/>
    <w:rsid w:val="00B77FF1"/>
    <w:rsid w:val="00B82CCE"/>
    <w:rsid w:val="00B8369F"/>
    <w:rsid w:val="00B84B49"/>
    <w:rsid w:val="00B9059A"/>
    <w:rsid w:val="00B91227"/>
    <w:rsid w:val="00B91C1F"/>
    <w:rsid w:val="00B936D5"/>
    <w:rsid w:val="00B93C70"/>
    <w:rsid w:val="00BA4637"/>
    <w:rsid w:val="00BA53BF"/>
    <w:rsid w:val="00BA53EE"/>
    <w:rsid w:val="00BA7359"/>
    <w:rsid w:val="00BB4D3E"/>
    <w:rsid w:val="00BB520B"/>
    <w:rsid w:val="00BB5324"/>
    <w:rsid w:val="00BB5A10"/>
    <w:rsid w:val="00BB7622"/>
    <w:rsid w:val="00BC07F7"/>
    <w:rsid w:val="00BC23A6"/>
    <w:rsid w:val="00BC662E"/>
    <w:rsid w:val="00BC7415"/>
    <w:rsid w:val="00BD2B9A"/>
    <w:rsid w:val="00BD2C07"/>
    <w:rsid w:val="00BD580C"/>
    <w:rsid w:val="00BD5BE3"/>
    <w:rsid w:val="00BD6AE3"/>
    <w:rsid w:val="00BD7620"/>
    <w:rsid w:val="00BE4469"/>
    <w:rsid w:val="00BE6900"/>
    <w:rsid w:val="00BE729D"/>
    <w:rsid w:val="00BF47E8"/>
    <w:rsid w:val="00BF4CED"/>
    <w:rsid w:val="00BF5AF1"/>
    <w:rsid w:val="00BF6D95"/>
    <w:rsid w:val="00BF739B"/>
    <w:rsid w:val="00C0033D"/>
    <w:rsid w:val="00C01097"/>
    <w:rsid w:val="00C020DA"/>
    <w:rsid w:val="00C03644"/>
    <w:rsid w:val="00C03A9C"/>
    <w:rsid w:val="00C044D2"/>
    <w:rsid w:val="00C0681D"/>
    <w:rsid w:val="00C073E8"/>
    <w:rsid w:val="00C10C3A"/>
    <w:rsid w:val="00C110AF"/>
    <w:rsid w:val="00C12F59"/>
    <w:rsid w:val="00C1324A"/>
    <w:rsid w:val="00C13C52"/>
    <w:rsid w:val="00C1528C"/>
    <w:rsid w:val="00C16869"/>
    <w:rsid w:val="00C20EC4"/>
    <w:rsid w:val="00C2508A"/>
    <w:rsid w:val="00C25144"/>
    <w:rsid w:val="00C253C7"/>
    <w:rsid w:val="00C32957"/>
    <w:rsid w:val="00C32A2C"/>
    <w:rsid w:val="00C34F09"/>
    <w:rsid w:val="00C377E2"/>
    <w:rsid w:val="00C4144C"/>
    <w:rsid w:val="00C41C12"/>
    <w:rsid w:val="00C4278A"/>
    <w:rsid w:val="00C440E5"/>
    <w:rsid w:val="00C44207"/>
    <w:rsid w:val="00C46F3A"/>
    <w:rsid w:val="00C47531"/>
    <w:rsid w:val="00C47FBE"/>
    <w:rsid w:val="00C502F7"/>
    <w:rsid w:val="00C5310E"/>
    <w:rsid w:val="00C57E07"/>
    <w:rsid w:val="00C6057B"/>
    <w:rsid w:val="00C61D17"/>
    <w:rsid w:val="00C6294D"/>
    <w:rsid w:val="00C63160"/>
    <w:rsid w:val="00C66AA1"/>
    <w:rsid w:val="00C712E4"/>
    <w:rsid w:val="00C71632"/>
    <w:rsid w:val="00C71A74"/>
    <w:rsid w:val="00C744A8"/>
    <w:rsid w:val="00C752A8"/>
    <w:rsid w:val="00C76F71"/>
    <w:rsid w:val="00C7782E"/>
    <w:rsid w:val="00C81E56"/>
    <w:rsid w:val="00C83FA6"/>
    <w:rsid w:val="00C86403"/>
    <w:rsid w:val="00C8691A"/>
    <w:rsid w:val="00C87A79"/>
    <w:rsid w:val="00C90B7B"/>
    <w:rsid w:val="00C90C0B"/>
    <w:rsid w:val="00C92384"/>
    <w:rsid w:val="00C94564"/>
    <w:rsid w:val="00C94A43"/>
    <w:rsid w:val="00CA4A0B"/>
    <w:rsid w:val="00CA5BA8"/>
    <w:rsid w:val="00CA6378"/>
    <w:rsid w:val="00CA6939"/>
    <w:rsid w:val="00CB13FE"/>
    <w:rsid w:val="00CB36B9"/>
    <w:rsid w:val="00CB3E40"/>
    <w:rsid w:val="00CB6879"/>
    <w:rsid w:val="00CC1550"/>
    <w:rsid w:val="00CC3F50"/>
    <w:rsid w:val="00CC7FAD"/>
    <w:rsid w:val="00CD025E"/>
    <w:rsid w:val="00CD081C"/>
    <w:rsid w:val="00CD1E44"/>
    <w:rsid w:val="00CD1E9C"/>
    <w:rsid w:val="00CD304A"/>
    <w:rsid w:val="00CD30D9"/>
    <w:rsid w:val="00CD3FEF"/>
    <w:rsid w:val="00CD4686"/>
    <w:rsid w:val="00CD5772"/>
    <w:rsid w:val="00CD592D"/>
    <w:rsid w:val="00CD6752"/>
    <w:rsid w:val="00CD7EFD"/>
    <w:rsid w:val="00CE081B"/>
    <w:rsid w:val="00CE3E79"/>
    <w:rsid w:val="00CE738F"/>
    <w:rsid w:val="00CE77A1"/>
    <w:rsid w:val="00CE7DEE"/>
    <w:rsid w:val="00CF08EF"/>
    <w:rsid w:val="00CF10C8"/>
    <w:rsid w:val="00CF416D"/>
    <w:rsid w:val="00CF477F"/>
    <w:rsid w:val="00D00497"/>
    <w:rsid w:val="00D018E4"/>
    <w:rsid w:val="00D04454"/>
    <w:rsid w:val="00D04650"/>
    <w:rsid w:val="00D100F2"/>
    <w:rsid w:val="00D105D9"/>
    <w:rsid w:val="00D10B00"/>
    <w:rsid w:val="00D136B8"/>
    <w:rsid w:val="00D14216"/>
    <w:rsid w:val="00D1475E"/>
    <w:rsid w:val="00D15138"/>
    <w:rsid w:val="00D17487"/>
    <w:rsid w:val="00D22131"/>
    <w:rsid w:val="00D247AA"/>
    <w:rsid w:val="00D262C4"/>
    <w:rsid w:val="00D26AEB"/>
    <w:rsid w:val="00D32B2F"/>
    <w:rsid w:val="00D33346"/>
    <w:rsid w:val="00D37898"/>
    <w:rsid w:val="00D37E12"/>
    <w:rsid w:val="00D43363"/>
    <w:rsid w:val="00D44A45"/>
    <w:rsid w:val="00D47140"/>
    <w:rsid w:val="00D47D13"/>
    <w:rsid w:val="00D57325"/>
    <w:rsid w:val="00D57EED"/>
    <w:rsid w:val="00D63AD7"/>
    <w:rsid w:val="00D6579D"/>
    <w:rsid w:val="00D71E4D"/>
    <w:rsid w:val="00D71EAB"/>
    <w:rsid w:val="00D73CB1"/>
    <w:rsid w:val="00D74018"/>
    <w:rsid w:val="00D741C6"/>
    <w:rsid w:val="00D74ACF"/>
    <w:rsid w:val="00D74DBB"/>
    <w:rsid w:val="00D7595F"/>
    <w:rsid w:val="00D76A2A"/>
    <w:rsid w:val="00D8169A"/>
    <w:rsid w:val="00D827F0"/>
    <w:rsid w:val="00D82CC2"/>
    <w:rsid w:val="00D8474D"/>
    <w:rsid w:val="00D86488"/>
    <w:rsid w:val="00D90508"/>
    <w:rsid w:val="00D90E1B"/>
    <w:rsid w:val="00D95EA9"/>
    <w:rsid w:val="00D95F0D"/>
    <w:rsid w:val="00D974BE"/>
    <w:rsid w:val="00DA16D1"/>
    <w:rsid w:val="00DA3AF4"/>
    <w:rsid w:val="00DA78EA"/>
    <w:rsid w:val="00DB1C64"/>
    <w:rsid w:val="00DB41FC"/>
    <w:rsid w:val="00DB42EA"/>
    <w:rsid w:val="00DB4814"/>
    <w:rsid w:val="00DB6581"/>
    <w:rsid w:val="00DB697B"/>
    <w:rsid w:val="00DC16D3"/>
    <w:rsid w:val="00DC3E48"/>
    <w:rsid w:val="00DD0634"/>
    <w:rsid w:val="00DD26BF"/>
    <w:rsid w:val="00DD3AF8"/>
    <w:rsid w:val="00DD4625"/>
    <w:rsid w:val="00DD4830"/>
    <w:rsid w:val="00DD60B8"/>
    <w:rsid w:val="00DD7164"/>
    <w:rsid w:val="00DF2848"/>
    <w:rsid w:val="00DF2CAA"/>
    <w:rsid w:val="00DF3BFC"/>
    <w:rsid w:val="00DF5B9F"/>
    <w:rsid w:val="00DF69A1"/>
    <w:rsid w:val="00E01228"/>
    <w:rsid w:val="00E02618"/>
    <w:rsid w:val="00E030B2"/>
    <w:rsid w:val="00E055DA"/>
    <w:rsid w:val="00E06495"/>
    <w:rsid w:val="00E06BC1"/>
    <w:rsid w:val="00E102E7"/>
    <w:rsid w:val="00E14344"/>
    <w:rsid w:val="00E147A1"/>
    <w:rsid w:val="00E201A3"/>
    <w:rsid w:val="00E238F1"/>
    <w:rsid w:val="00E2459B"/>
    <w:rsid w:val="00E248F0"/>
    <w:rsid w:val="00E24CC8"/>
    <w:rsid w:val="00E26F8F"/>
    <w:rsid w:val="00E276E6"/>
    <w:rsid w:val="00E35F34"/>
    <w:rsid w:val="00E377AD"/>
    <w:rsid w:val="00E42608"/>
    <w:rsid w:val="00E43C5C"/>
    <w:rsid w:val="00E43D94"/>
    <w:rsid w:val="00E46E6A"/>
    <w:rsid w:val="00E4702A"/>
    <w:rsid w:val="00E51AAA"/>
    <w:rsid w:val="00E52C3E"/>
    <w:rsid w:val="00E545FA"/>
    <w:rsid w:val="00E54938"/>
    <w:rsid w:val="00E54F4A"/>
    <w:rsid w:val="00E551F4"/>
    <w:rsid w:val="00E55780"/>
    <w:rsid w:val="00E56F63"/>
    <w:rsid w:val="00E56FE8"/>
    <w:rsid w:val="00E60FD5"/>
    <w:rsid w:val="00E63BD4"/>
    <w:rsid w:val="00E6695E"/>
    <w:rsid w:val="00E723B5"/>
    <w:rsid w:val="00E72632"/>
    <w:rsid w:val="00E730BC"/>
    <w:rsid w:val="00E73BEC"/>
    <w:rsid w:val="00E73D2F"/>
    <w:rsid w:val="00E74B58"/>
    <w:rsid w:val="00E75796"/>
    <w:rsid w:val="00E800BA"/>
    <w:rsid w:val="00E8041C"/>
    <w:rsid w:val="00E82331"/>
    <w:rsid w:val="00E93E51"/>
    <w:rsid w:val="00E96F5E"/>
    <w:rsid w:val="00E974E1"/>
    <w:rsid w:val="00EA0CCE"/>
    <w:rsid w:val="00EA10DF"/>
    <w:rsid w:val="00EA3677"/>
    <w:rsid w:val="00EA439F"/>
    <w:rsid w:val="00EA6AD7"/>
    <w:rsid w:val="00EA6C22"/>
    <w:rsid w:val="00EA72D5"/>
    <w:rsid w:val="00EB0125"/>
    <w:rsid w:val="00EB1727"/>
    <w:rsid w:val="00EB20DB"/>
    <w:rsid w:val="00EB2ABE"/>
    <w:rsid w:val="00EB66BE"/>
    <w:rsid w:val="00EB6A91"/>
    <w:rsid w:val="00EB715D"/>
    <w:rsid w:val="00EC334B"/>
    <w:rsid w:val="00EC3A0A"/>
    <w:rsid w:val="00EC58BB"/>
    <w:rsid w:val="00EC7660"/>
    <w:rsid w:val="00ED1572"/>
    <w:rsid w:val="00ED1E95"/>
    <w:rsid w:val="00ED2C67"/>
    <w:rsid w:val="00ED409C"/>
    <w:rsid w:val="00ED5A62"/>
    <w:rsid w:val="00ED7F9D"/>
    <w:rsid w:val="00EE1CD1"/>
    <w:rsid w:val="00EE2450"/>
    <w:rsid w:val="00EE2869"/>
    <w:rsid w:val="00EE439D"/>
    <w:rsid w:val="00EE4A98"/>
    <w:rsid w:val="00F01284"/>
    <w:rsid w:val="00F07282"/>
    <w:rsid w:val="00F10991"/>
    <w:rsid w:val="00F10BCA"/>
    <w:rsid w:val="00F11394"/>
    <w:rsid w:val="00F142D0"/>
    <w:rsid w:val="00F1656F"/>
    <w:rsid w:val="00F20756"/>
    <w:rsid w:val="00F20832"/>
    <w:rsid w:val="00F21D9C"/>
    <w:rsid w:val="00F228E9"/>
    <w:rsid w:val="00F31537"/>
    <w:rsid w:val="00F32235"/>
    <w:rsid w:val="00F338CF"/>
    <w:rsid w:val="00F33C49"/>
    <w:rsid w:val="00F40113"/>
    <w:rsid w:val="00F4043E"/>
    <w:rsid w:val="00F43CF8"/>
    <w:rsid w:val="00F44C88"/>
    <w:rsid w:val="00F4739E"/>
    <w:rsid w:val="00F523CA"/>
    <w:rsid w:val="00F530C5"/>
    <w:rsid w:val="00F56DA0"/>
    <w:rsid w:val="00F57067"/>
    <w:rsid w:val="00F57684"/>
    <w:rsid w:val="00F60855"/>
    <w:rsid w:val="00F63CCF"/>
    <w:rsid w:val="00F6550D"/>
    <w:rsid w:val="00F65B57"/>
    <w:rsid w:val="00F67105"/>
    <w:rsid w:val="00F675DA"/>
    <w:rsid w:val="00F707CB"/>
    <w:rsid w:val="00F7146F"/>
    <w:rsid w:val="00F72E1C"/>
    <w:rsid w:val="00F74004"/>
    <w:rsid w:val="00F744F8"/>
    <w:rsid w:val="00F80478"/>
    <w:rsid w:val="00F80FD0"/>
    <w:rsid w:val="00F811BE"/>
    <w:rsid w:val="00F81ACC"/>
    <w:rsid w:val="00F82856"/>
    <w:rsid w:val="00F84554"/>
    <w:rsid w:val="00F8717B"/>
    <w:rsid w:val="00F90027"/>
    <w:rsid w:val="00F90663"/>
    <w:rsid w:val="00F90E86"/>
    <w:rsid w:val="00F91145"/>
    <w:rsid w:val="00F91ABD"/>
    <w:rsid w:val="00F95A6A"/>
    <w:rsid w:val="00F95EAE"/>
    <w:rsid w:val="00F96AEA"/>
    <w:rsid w:val="00F97304"/>
    <w:rsid w:val="00F97BE3"/>
    <w:rsid w:val="00FA1AC3"/>
    <w:rsid w:val="00FA20E6"/>
    <w:rsid w:val="00FA2459"/>
    <w:rsid w:val="00FA27A7"/>
    <w:rsid w:val="00FA3DF2"/>
    <w:rsid w:val="00FB108F"/>
    <w:rsid w:val="00FB12D0"/>
    <w:rsid w:val="00FB1D84"/>
    <w:rsid w:val="00FB241F"/>
    <w:rsid w:val="00FB3073"/>
    <w:rsid w:val="00FB4183"/>
    <w:rsid w:val="00FB52E6"/>
    <w:rsid w:val="00FB5614"/>
    <w:rsid w:val="00FB5A75"/>
    <w:rsid w:val="00FB6DAE"/>
    <w:rsid w:val="00FB7B0B"/>
    <w:rsid w:val="00FC207E"/>
    <w:rsid w:val="00FC246F"/>
    <w:rsid w:val="00FC5BA3"/>
    <w:rsid w:val="00FD0390"/>
    <w:rsid w:val="00FD0CB6"/>
    <w:rsid w:val="00FD3361"/>
    <w:rsid w:val="00FE0925"/>
    <w:rsid w:val="00FE2653"/>
    <w:rsid w:val="00FE2D42"/>
    <w:rsid w:val="00FE6DF9"/>
    <w:rsid w:val="00FE7CCF"/>
    <w:rsid w:val="00FF08A6"/>
    <w:rsid w:val="00FF1102"/>
    <w:rsid w:val="00FF2251"/>
    <w:rsid w:val="00FF2B49"/>
    <w:rsid w:val="00FF2C8F"/>
    <w:rsid w:val="00FF2DD3"/>
    <w:rsid w:val="00FF2F7C"/>
    <w:rsid w:val="00FF6F52"/>
    <w:rsid w:val="019C4D6B"/>
    <w:rsid w:val="0210341F"/>
    <w:rsid w:val="022F137D"/>
    <w:rsid w:val="02763227"/>
    <w:rsid w:val="03B15391"/>
    <w:rsid w:val="0497268F"/>
    <w:rsid w:val="063D4CBA"/>
    <w:rsid w:val="063F4ED6"/>
    <w:rsid w:val="06E52D24"/>
    <w:rsid w:val="07A906E1"/>
    <w:rsid w:val="07EB5DE9"/>
    <w:rsid w:val="08C05498"/>
    <w:rsid w:val="08DB0E4A"/>
    <w:rsid w:val="099442C4"/>
    <w:rsid w:val="099D4CB9"/>
    <w:rsid w:val="0A493C0B"/>
    <w:rsid w:val="0C111FFE"/>
    <w:rsid w:val="0C670CE3"/>
    <w:rsid w:val="0CCE45D7"/>
    <w:rsid w:val="0DA80FAA"/>
    <w:rsid w:val="0DB53CD0"/>
    <w:rsid w:val="0E1A3BAA"/>
    <w:rsid w:val="100D21DC"/>
    <w:rsid w:val="118A7DE2"/>
    <w:rsid w:val="11EE0D07"/>
    <w:rsid w:val="121F5BBC"/>
    <w:rsid w:val="12A61AA0"/>
    <w:rsid w:val="14142588"/>
    <w:rsid w:val="142A1D61"/>
    <w:rsid w:val="15EB26C9"/>
    <w:rsid w:val="16341346"/>
    <w:rsid w:val="18B502E6"/>
    <w:rsid w:val="1B1C47CB"/>
    <w:rsid w:val="1B8B2CD7"/>
    <w:rsid w:val="1BB10806"/>
    <w:rsid w:val="1BB85DD4"/>
    <w:rsid w:val="1DED55CE"/>
    <w:rsid w:val="1F424A0A"/>
    <w:rsid w:val="1FB65DB1"/>
    <w:rsid w:val="20B31CE9"/>
    <w:rsid w:val="229D340C"/>
    <w:rsid w:val="262B528A"/>
    <w:rsid w:val="26866DF2"/>
    <w:rsid w:val="29F326BD"/>
    <w:rsid w:val="2A9E104F"/>
    <w:rsid w:val="2CC07066"/>
    <w:rsid w:val="2E054387"/>
    <w:rsid w:val="2E302050"/>
    <w:rsid w:val="2E744967"/>
    <w:rsid w:val="2E9F64C1"/>
    <w:rsid w:val="2F2B1A7F"/>
    <w:rsid w:val="32923866"/>
    <w:rsid w:val="33302BF9"/>
    <w:rsid w:val="33BC0AD7"/>
    <w:rsid w:val="3478301B"/>
    <w:rsid w:val="36625C2A"/>
    <w:rsid w:val="36750989"/>
    <w:rsid w:val="368C4281"/>
    <w:rsid w:val="369B22FA"/>
    <w:rsid w:val="36A06033"/>
    <w:rsid w:val="3702108A"/>
    <w:rsid w:val="373D7445"/>
    <w:rsid w:val="38613FFD"/>
    <w:rsid w:val="39582031"/>
    <w:rsid w:val="3A0712D1"/>
    <w:rsid w:val="3A0B68A2"/>
    <w:rsid w:val="3A3C1882"/>
    <w:rsid w:val="3B825453"/>
    <w:rsid w:val="3C2A2ADB"/>
    <w:rsid w:val="3CEE2109"/>
    <w:rsid w:val="3CFB7A3E"/>
    <w:rsid w:val="3E1650B4"/>
    <w:rsid w:val="3F3A5CA1"/>
    <w:rsid w:val="3F9B5FD2"/>
    <w:rsid w:val="42216C5A"/>
    <w:rsid w:val="425D04E2"/>
    <w:rsid w:val="43234BFF"/>
    <w:rsid w:val="433525C0"/>
    <w:rsid w:val="434368CA"/>
    <w:rsid w:val="43941A88"/>
    <w:rsid w:val="442B201A"/>
    <w:rsid w:val="45515901"/>
    <w:rsid w:val="48785699"/>
    <w:rsid w:val="48F673F8"/>
    <w:rsid w:val="4965263D"/>
    <w:rsid w:val="4C9649C8"/>
    <w:rsid w:val="4D197F7E"/>
    <w:rsid w:val="4FBF3F5F"/>
    <w:rsid w:val="502C5162"/>
    <w:rsid w:val="50D91543"/>
    <w:rsid w:val="51037B51"/>
    <w:rsid w:val="513F1932"/>
    <w:rsid w:val="517B545C"/>
    <w:rsid w:val="51D13A50"/>
    <w:rsid w:val="52583273"/>
    <w:rsid w:val="525975F1"/>
    <w:rsid w:val="52EF2404"/>
    <w:rsid w:val="54015618"/>
    <w:rsid w:val="54D97871"/>
    <w:rsid w:val="56C02A96"/>
    <w:rsid w:val="58A6063C"/>
    <w:rsid w:val="597B0FCB"/>
    <w:rsid w:val="5A0569F0"/>
    <w:rsid w:val="5B2F5721"/>
    <w:rsid w:val="5B6011F6"/>
    <w:rsid w:val="5B720065"/>
    <w:rsid w:val="5CF517BD"/>
    <w:rsid w:val="5CFE5C57"/>
    <w:rsid w:val="5D0928E2"/>
    <w:rsid w:val="5DD73CA3"/>
    <w:rsid w:val="5E420235"/>
    <w:rsid w:val="5EEF5E9F"/>
    <w:rsid w:val="60231EAE"/>
    <w:rsid w:val="60DB671F"/>
    <w:rsid w:val="61C82AA7"/>
    <w:rsid w:val="62AF66EF"/>
    <w:rsid w:val="64793E74"/>
    <w:rsid w:val="668B7E82"/>
    <w:rsid w:val="66905554"/>
    <w:rsid w:val="67C32D88"/>
    <w:rsid w:val="685079F2"/>
    <w:rsid w:val="68874924"/>
    <w:rsid w:val="688B7DBF"/>
    <w:rsid w:val="69952A90"/>
    <w:rsid w:val="6ACE58A4"/>
    <w:rsid w:val="6B276D7A"/>
    <w:rsid w:val="6CBF5146"/>
    <w:rsid w:val="6E4440FE"/>
    <w:rsid w:val="6EA72607"/>
    <w:rsid w:val="6EA96EB3"/>
    <w:rsid w:val="7029169E"/>
    <w:rsid w:val="711A6DEF"/>
    <w:rsid w:val="746C1710"/>
    <w:rsid w:val="77BA62B5"/>
    <w:rsid w:val="78857BFE"/>
    <w:rsid w:val="78A07EF6"/>
    <w:rsid w:val="78D62F35"/>
    <w:rsid w:val="78E2520F"/>
    <w:rsid w:val="7A003DA4"/>
    <w:rsid w:val="7AF92286"/>
    <w:rsid w:val="7C253EB5"/>
    <w:rsid w:val="7C653C26"/>
    <w:rsid w:val="7C99799A"/>
    <w:rsid w:val="7E002C61"/>
    <w:rsid w:val="7F26585A"/>
    <w:rsid w:val="7F650D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sz w:val="28"/>
      <w:lang w:val="en-US" w:eastAsia="zh-CN" w:bidi="ar-SA"/>
    </w:rPr>
  </w:style>
  <w:style w:type="paragraph" w:styleId="3">
    <w:name w:val="heading 1"/>
    <w:basedOn w:val="1"/>
    <w:next w:val="1"/>
    <w:link w:val="22"/>
    <w:qFormat/>
    <w:uiPriority w:val="9"/>
    <w:pPr>
      <w:keepNext/>
      <w:keepLines/>
      <w:spacing w:before="100" w:beforeAutospacing="1" w:after="100" w:afterAutospacing="1" w:line="560" w:lineRule="exact"/>
      <w:outlineLvl w:val="0"/>
    </w:pPr>
    <w:rPr>
      <w:b/>
      <w:bCs/>
      <w:kern w:val="44"/>
      <w:sz w:val="36"/>
      <w:szCs w:val="44"/>
    </w:rPr>
  </w:style>
  <w:style w:type="paragraph" w:styleId="2">
    <w:name w:val="heading 2"/>
    <w:basedOn w:val="1"/>
    <w:next w:val="1"/>
    <w:link w:val="38"/>
    <w:qFormat/>
    <w:uiPriority w:val="9"/>
    <w:pPr>
      <w:keepNext/>
      <w:keepLines/>
      <w:spacing w:before="260" w:after="260" w:line="416" w:lineRule="auto"/>
      <w:outlineLvl w:val="1"/>
    </w:pPr>
    <w:rPr>
      <w:b/>
      <w:bCs/>
      <w:sz w:val="30"/>
      <w:szCs w:val="32"/>
    </w:rPr>
  </w:style>
  <w:style w:type="paragraph" w:styleId="4">
    <w:name w:val="heading 3"/>
    <w:basedOn w:val="1"/>
    <w:next w:val="1"/>
    <w:qFormat/>
    <w:uiPriority w:val="0"/>
    <w:pPr>
      <w:keepNext/>
      <w:keepLines/>
      <w:spacing w:line="520" w:lineRule="exact"/>
      <w:ind w:left="288"/>
      <w:outlineLvl w:val="2"/>
    </w:pPr>
    <w:rPr>
      <w:rFonts w:ascii="宋体" w:hAnsi="宋体"/>
      <w:b/>
      <w:bCs/>
      <w:sz w:val="30"/>
      <w:szCs w:val="28"/>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Normal Indent"/>
    <w:basedOn w:val="1"/>
    <w:qFormat/>
    <w:uiPriority w:val="0"/>
    <w:pPr>
      <w:ind w:firstLine="420" w:firstLineChars="200"/>
    </w:pPr>
    <w:rPr>
      <w:kern w:val="2"/>
      <w:sz w:val="21"/>
    </w:rPr>
  </w:style>
  <w:style w:type="paragraph" w:styleId="6">
    <w:name w:val="caption"/>
    <w:basedOn w:val="1"/>
    <w:next w:val="1"/>
    <w:semiHidden/>
    <w:unhideWhenUsed/>
    <w:qFormat/>
    <w:uiPriority w:val="35"/>
    <w:rPr>
      <w:rFonts w:ascii="Arial" w:hAnsi="Arial" w:eastAsia="黑体"/>
      <w:sz w:val="20"/>
    </w:rPr>
  </w:style>
  <w:style w:type="paragraph" w:styleId="7">
    <w:name w:val="Body Text"/>
    <w:basedOn w:val="1"/>
    <w:link w:val="23"/>
    <w:qFormat/>
    <w:uiPriority w:val="0"/>
    <w:pPr>
      <w:spacing w:line="560" w:lineRule="exact"/>
    </w:pPr>
    <w:rPr>
      <w:rFonts w:eastAsia="楷体_GB2312"/>
      <w:kern w:val="2"/>
      <w:sz w:val="30"/>
      <w:szCs w:val="30"/>
    </w:rPr>
  </w:style>
  <w:style w:type="paragraph" w:styleId="8">
    <w:name w:val="toc 3"/>
    <w:basedOn w:val="1"/>
    <w:next w:val="1"/>
    <w:unhideWhenUsed/>
    <w:qFormat/>
    <w:uiPriority w:val="39"/>
    <w:pPr>
      <w:ind w:left="840" w:leftChars="400"/>
    </w:pPr>
  </w:style>
  <w:style w:type="paragraph" w:styleId="9">
    <w:name w:val="footer"/>
    <w:basedOn w:val="1"/>
    <w:link w:val="24"/>
    <w:unhideWhenUsed/>
    <w:qFormat/>
    <w:uiPriority w:val="99"/>
    <w:pPr>
      <w:tabs>
        <w:tab w:val="center" w:pos="4153"/>
        <w:tab w:val="right" w:pos="8306"/>
      </w:tabs>
      <w:snapToGrid w:val="0"/>
      <w:jc w:val="left"/>
    </w:pPr>
    <w:rPr>
      <w:sz w:val="18"/>
      <w:szCs w:val="18"/>
    </w:rPr>
  </w:style>
  <w:style w:type="paragraph" w:styleId="10">
    <w:name w:val="header"/>
    <w:basedOn w:val="1"/>
    <w:link w:val="25"/>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style>
  <w:style w:type="paragraph" w:styleId="12">
    <w:name w:val="toc 2"/>
    <w:basedOn w:val="1"/>
    <w:next w:val="1"/>
    <w:unhideWhenUsed/>
    <w:qFormat/>
    <w:uiPriority w:val="39"/>
    <w:pPr>
      <w:tabs>
        <w:tab w:val="right" w:leader="dot" w:pos="10322"/>
      </w:tabs>
    </w:pPr>
    <w:rPr>
      <w:szCs w:val="28"/>
    </w:rPr>
  </w:style>
  <w:style w:type="paragraph" w:styleId="13">
    <w:name w:val="Title"/>
    <w:basedOn w:val="1"/>
    <w:next w:val="1"/>
    <w:link w:val="26"/>
    <w:qFormat/>
    <w:uiPriority w:val="10"/>
    <w:pPr>
      <w:spacing w:before="240" w:after="60" w:line="560" w:lineRule="exact"/>
      <w:jc w:val="left"/>
      <w:outlineLvl w:val="0"/>
    </w:pPr>
    <w:rPr>
      <w:rFonts w:ascii="Cambria" w:hAnsi="Cambria"/>
      <w:b/>
      <w:bCs/>
      <w:sz w:val="30"/>
      <w:szCs w:val="32"/>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qFormat/>
    <w:uiPriority w:val="0"/>
    <w:rPr>
      <w:b/>
      <w:sz w:val="20"/>
    </w:rPr>
  </w:style>
  <w:style w:type="character" w:styleId="18">
    <w:name w:val="page number"/>
    <w:qFormat/>
    <w:uiPriority w:val="0"/>
    <w:rPr>
      <w:sz w:val="20"/>
    </w:rPr>
  </w:style>
  <w:style w:type="character" w:styleId="19">
    <w:name w:val="Emphasis"/>
    <w:qFormat/>
    <w:uiPriority w:val="0"/>
    <w:rPr>
      <w:i/>
      <w:sz w:val="20"/>
    </w:rPr>
  </w:style>
  <w:style w:type="character" w:styleId="20">
    <w:name w:val="Hyperlink"/>
    <w:qFormat/>
    <w:uiPriority w:val="99"/>
    <w:rPr>
      <w:color w:val="0000FF"/>
      <w:sz w:val="20"/>
      <w:u w:val="single"/>
    </w:rPr>
  </w:style>
  <w:style w:type="paragraph" w:customStyle="1" w:styleId="21">
    <w:name w:val="Plain Text1"/>
    <w:basedOn w:val="1"/>
    <w:qFormat/>
    <w:uiPriority w:val="99"/>
    <w:pPr>
      <w:adjustRightInd w:val="0"/>
    </w:pPr>
    <w:rPr>
      <w:rFonts w:ascii="宋体"/>
      <w:sz w:val="24"/>
    </w:rPr>
  </w:style>
  <w:style w:type="character" w:customStyle="1" w:styleId="22">
    <w:name w:val="标题 1 字符"/>
    <w:link w:val="3"/>
    <w:qFormat/>
    <w:uiPriority w:val="9"/>
    <w:rPr>
      <w:rFonts w:cs="Times New Roman"/>
      <w:b/>
      <w:bCs/>
      <w:kern w:val="44"/>
      <w:sz w:val="36"/>
      <w:szCs w:val="44"/>
    </w:rPr>
  </w:style>
  <w:style w:type="character" w:customStyle="1" w:styleId="23">
    <w:name w:val="正文文本 字符"/>
    <w:link w:val="7"/>
    <w:qFormat/>
    <w:uiPriority w:val="0"/>
    <w:rPr>
      <w:rFonts w:ascii="Times New Roman" w:hAnsi="Times New Roman" w:eastAsia="楷体_GB2312" w:cs="Times New Roman"/>
      <w:kern w:val="2"/>
      <w:sz w:val="30"/>
      <w:szCs w:val="30"/>
    </w:rPr>
  </w:style>
  <w:style w:type="character" w:customStyle="1" w:styleId="24">
    <w:name w:val="页脚 字符"/>
    <w:link w:val="9"/>
    <w:qFormat/>
    <w:uiPriority w:val="99"/>
    <w:rPr>
      <w:sz w:val="18"/>
      <w:szCs w:val="18"/>
    </w:rPr>
  </w:style>
  <w:style w:type="character" w:customStyle="1" w:styleId="25">
    <w:name w:val="页眉 字符1"/>
    <w:link w:val="10"/>
    <w:qFormat/>
    <w:uiPriority w:val="99"/>
    <w:rPr>
      <w:sz w:val="18"/>
      <w:szCs w:val="18"/>
    </w:rPr>
  </w:style>
  <w:style w:type="character" w:customStyle="1" w:styleId="26">
    <w:name w:val="标题 字符"/>
    <w:link w:val="13"/>
    <w:qFormat/>
    <w:uiPriority w:val="10"/>
    <w:rPr>
      <w:rFonts w:ascii="Cambria" w:hAnsi="Cambria" w:cs="Times New Roman"/>
      <w:b/>
      <w:bCs/>
      <w:sz w:val="30"/>
      <w:szCs w:val="32"/>
    </w:rPr>
  </w:style>
  <w:style w:type="character" w:customStyle="1" w:styleId="27">
    <w:name w:val="_Style 24"/>
    <w:qFormat/>
    <w:uiPriority w:val="0"/>
    <w:rPr>
      <w:i/>
      <w:sz w:val="20"/>
    </w:rPr>
  </w:style>
  <w:style w:type="character" w:customStyle="1" w:styleId="28">
    <w:name w:val="_Style 25"/>
    <w:qFormat/>
    <w:uiPriority w:val="0"/>
    <w:rPr>
      <w:i/>
      <w:sz w:val="20"/>
    </w:rPr>
  </w:style>
  <w:style w:type="character" w:customStyle="1" w:styleId="29">
    <w:name w:val="_Style 26"/>
    <w:qFormat/>
    <w:uiPriority w:val="0"/>
    <w:rPr>
      <w:sz w:val="20"/>
    </w:rPr>
  </w:style>
  <w:style w:type="character" w:customStyle="1" w:styleId="30">
    <w:name w:val="_Style 27"/>
    <w:qFormat/>
    <w:uiPriority w:val="0"/>
    <w:rPr>
      <w:b/>
      <w:sz w:val="20"/>
    </w:rPr>
  </w:style>
  <w:style w:type="character" w:customStyle="1" w:styleId="31">
    <w:name w:val="_Style 28"/>
    <w:qFormat/>
    <w:uiPriority w:val="0"/>
    <w:rPr>
      <w:b/>
      <w:i/>
      <w:sz w:val="20"/>
    </w:rPr>
  </w:style>
  <w:style w:type="character" w:customStyle="1" w:styleId="32">
    <w:name w:val="Char Char1"/>
    <w:qFormat/>
    <w:uiPriority w:val="0"/>
    <w:rPr>
      <w:b/>
      <w:sz w:val="20"/>
    </w:rPr>
  </w:style>
  <w:style w:type="paragraph" w:customStyle="1" w:styleId="33">
    <w:name w:val="_Style 30"/>
    <w:basedOn w:val="3"/>
    <w:next w:val="1"/>
    <w:qFormat/>
    <w:uiPriority w:val="39"/>
    <w:pPr>
      <w:widowControl/>
      <w:spacing w:before="240" w:after="0" w:line="259" w:lineRule="auto"/>
      <w:jc w:val="left"/>
      <w:outlineLvl w:val="9"/>
    </w:pPr>
    <w:rPr>
      <w:rFonts w:ascii="等线 Light" w:hAnsi="等线 Light" w:eastAsia="等线 Light"/>
      <w:b w:val="0"/>
      <w:bCs w:val="0"/>
      <w:color w:val="2F5496"/>
      <w:kern w:val="0"/>
      <w:sz w:val="32"/>
      <w:szCs w:val="32"/>
    </w:rPr>
  </w:style>
  <w:style w:type="character" w:customStyle="1" w:styleId="34">
    <w:name w:val="页眉 字符"/>
    <w:qFormat/>
    <w:uiPriority w:val="99"/>
  </w:style>
  <w:style w:type="paragraph" w:customStyle="1" w:styleId="35">
    <w:name w:val="样式 样式 正文缩进 + 楷体_GB2312 四号 黑色2 + 首行缩进:  2.5 字符"/>
    <w:basedOn w:val="36"/>
    <w:qFormat/>
    <w:uiPriority w:val="0"/>
    <w:pPr>
      <w:spacing w:line="600" w:lineRule="exact"/>
    </w:pPr>
  </w:style>
  <w:style w:type="paragraph" w:customStyle="1" w:styleId="36">
    <w:name w:val="样式 正文缩进 + 楷体_GB2312 四号 黑色2"/>
    <w:basedOn w:val="5"/>
    <w:qFormat/>
    <w:uiPriority w:val="0"/>
    <w:pPr>
      <w:spacing w:line="540" w:lineRule="exact"/>
      <w:ind w:firstLine="250" w:firstLineChars="250"/>
    </w:pPr>
    <w:rPr>
      <w:rFonts w:ascii="楷体_GB2312" w:hAnsi="楷体_GB2312" w:eastAsia="楷体_GB2312" w:cs="宋体"/>
      <w:color w:val="000000"/>
      <w:sz w:val="28"/>
    </w:rPr>
  </w:style>
  <w:style w:type="paragraph" w:customStyle="1" w:styleId="37">
    <w:name w:val="Table Paragraph"/>
    <w:basedOn w:val="1"/>
    <w:qFormat/>
    <w:uiPriority w:val="1"/>
    <w:pPr>
      <w:autoSpaceDE w:val="0"/>
      <w:autoSpaceDN w:val="0"/>
      <w:jc w:val="left"/>
    </w:pPr>
    <w:rPr>
      <w:rFonts w:ascii="宋体" w:hAnsi="宋体" w:cs="宋体"/>
      <w:sz w:val="22"/>
      <w:szCs w:val="22"/>
      <w:lang w:val="zh-CN" w:bidi="zh-CN"/>
    </w:rPr>
  </w:style>
  <w:style w:type="character" w:customStyle="1" w:styleId="38">
    <w:name w:val="标题 2 字符"/>
    <w:link w:val="2"/>
    <w:qFormat/>
    <w:uiPriority w:val="9"/>
    <w:rPr>
      <w:rFonts w:ascii="Times New Roman" w:hAnsi="Times New Roman" w:eastAsia="宋体"/>
      <w:b/>
      <w:bCs/>
      <w:sz w:val="30"/>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16</Pages>
  <Words>11755</Words>
  <Characters>13571</Characters>
  <Lines>120</Lines>
  <Paragraphs>33</Paragraphs>
  <TotalTime>2</TotalTime>
  <ScaleCrop>false</ScaleCrop>
  <LinksUpToDate>false</LinksUpToDate>
  <CharactersWithSpaces>13760</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2020-01-18T03:10:00Z</dcterms:created>
  <dc:creator>kokomaster</dc:creator>
  <cp:lastModifiedBy>hp</cp:lastModifiedBy>
  <cp:lastPrinted>2022-03-22T01:43:00Z</cp:lastPrinted>
  <dcterms:modified xsi:type="dcterms:W3CDTF">2023-03-23T01:14:58Z</dcterms:modified>
  <dc:title>坡地质灾害点治理工程勘查报告</dc:title>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01458BFD2C204C63ADAB9A7C6697EE46</vt:lpwstr>
  </property>
</Properties>
</file>