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31D3A"/>
    <w:p w14:paraId="05E747E4">
      <w:pPr>
        <w:pStyle w:val="4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附件1</w:t>
      </w:r>
    </w:p>
    <w:p w14:paraId="5970B7EF">
      <w:pPr>
        <w:pStyle w:val="4"/>
        <w:jc w:val="center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定标因素</w:t>
      </w:r>
    </w:p>
    <w:tbl>
      <w:tblPr>
        <w:tblStyle w:val="2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8015"/>
        <w:gridCol w:w="831"/>
      </w:tblGrid>
      <w:tr w14:paraId="427CF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050" w:type="dxa"/>
            <w:noWrap w:val="0"/>
            <w:vAlign w:val="center"/>
          </w:tcPr>
          <w:p w14:paraId="6236EEEA">
            <w:pPr>
              <w:pStyle w:val="19"/>
              <w:widowControl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int="eastAsia"/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定标规则</w:t>
            </w:r>
          </w:p>
        </w:tc>
        <w:tc>
          <w:tcPr>
            <w:tcW w:w="8015" w:type="dxa"/>
            <w:noWrap w:val="0"/>
            <w:vAlign w:val="center"/>
          </w:tcPr>
          <w:p w14:paraId="588E4C54">
            <w:pPr>
              <w:pStyle w:val="19"/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hint="eastAsia"/>
                <w:color w:val="0000FF"/>
                <w:sz w:val="22"/>
              </w:rPr>
            </w:pPr>
            <w:r>
              <w:rPr>
                <w:rFonts w:hint="eastAsia"/>
                <w:color w:val="0000FF"/>
                <w:spacing w:val="3"/>
                <w:sz w:val="22"/>
              </w:rPr>
              <w:t>详细标准</w:t>
            </w:r>
          </w:p>
        </w:tc>
        <w:tc>
          <w:tcPr>
            <w:tcW w:w="831" w:type="dxa"/>
            <w:noWrap w:val="0"/>
            <w:vAlign w:val="center"/>
          </w:tcPr>
          <w:p w14:paraId="4C06C834">
            <w:pPr>
              <w:pStyle w:val="19"/>
              <w:widowControl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int="eastAsia"/>
                <w:color w:val="0000FF"/>
                <w:sz w:val="22"/>
              </w:rPr>
            </w:pPr>
            <w:r>
              <w:rPr>
                <w:rFonts w:hint="eastAsia"/>
                <w:color w:val="0000FF"/>
                <w:spacing w:val="5"/>
                <w:sz w:val="22"/>
              </w:rPr>
              <w:t>分值</w:t>
            </w:r>
          </w:p>
        </w:tc>
      </w:tr>
      <w:tr w14:paraId="14803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1050" w:type="dxa"/>
            <w:tcBorders>
              <w:bottom w:val="nil"/>
            </w:tcBorders>
            <w:noWrap w:val="0"/>
            <w:vAlign w:val="center"/>
          </w:tcPr>
          <w:p w14:paraId="3430B5D1">
            <w:pPr>
              <w:pStyle w:val="26"/>
              <w:widowControl/>
              <w:jc w:val="center"/>
              <w:textAlignment w:val="center"/>
              <w:rPr>
                <w:rFonts w:hint="eastAsia"/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价格因素</w:t>
            </w:r>
          </w:p>
        </w:tc>
        <w:tc>
          <w:tcPr>
            <w:tcW w:w="8015" w:type="dxa"/>
            <w:noWrap w:val="0"/>
            <w:vAlign w:val="center"/>
          </w:tcPr>
          <w:p w14:paraId="28779A64">
            <w:pPr>
              <w:pStyle w:val="26"/>
              <w:rPr>
                <w:color w:val="0000FF"/>
                <w:sz w:val="22"/>
              </w:rPr>
            </w:pPr>
            <w:r>
              <w:rPr>
                <w:rFonts w:hint="eastAsia" w:ascii="宋体" w:hAnsi="宋体" w:cs="仿宋"/>
                <w:color w:val="0000FF"/>
                <w:sz w:val="22"/>
              </w:rPr>
              <w:t>定标候选人的投标报价，定标候选人需提供资格文件及商务文件1份，否则本项不计得分。本项分值10分。</w:t>
            </w:r>
          </w:p>
        </w:tc>
        <w:tc>
          <w:tcPr>
            <w:tcW w:w="831" w:type="dxa"/>
            <w:noWrap w:val="0"/>
            <w:vAlign w:val="center"/>
          </w:tcPr>
          <w:p w14:paraId="0A58B947">
            <w:pPr>
              <w:pStyle w:val="19"/>
              <w:widowControl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color w:val="0000FF"/>
                <w:sz w:val="22"/>
              </w:rPr>
            </w:pPr>
            <w:r>
              <w:rPr>
                <w:rFonts w:hint="eastAsia" w:eastAsia="宋体"/>
                <w:color w:val="0000FF"/>
                <w:sz w:val="22"/>
              </w:rPr>
              <w:t>10</w:t>
            </w:r>
            <w:r>
              <w:rPr>
                <w:rFonts w:hint="eastAsia"/>
                <w:color w:val="0000FF"/>
                <w:sz w:val="22"/>
              </w:rPr>
              <w:t>分</w:t>
            </w:r>
          </w:p>
        </w:tc>
      </w:tr>
      <w:tr w14:paraId="4569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050" w:type="dxa"/>
            <w:tcBorders>
              <w:bottom w:val="nil"/>
            </w:tcBorders>
            <w:noWrap w:val="0"/>
            <w:vAlign w:val="center"/>
          </w:tcPr>
          <w:p w14:paraId="601BCE6F">
            <w:pPr>
              <w:pStyle w:val="26"/>
              <w:widowControl/>
              <w:snapToGrid w:val="0"/>
              <w:jc w:val="left"/>
              <w:textAlignment w:val="center"/>
              <w:rPr>
                <w:rFonts w:hint="eastAsia"/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方案因素</w:t>
            </w:r>
          </w:p>
        </w:tc>
        <w:tc>
          <w:tcPr>
            <w:tcW w:w="8015" w:type="dxa"/>
            <w:noWrap w:val="0"/>
            <w:vAlign w:val="center"/>
          </w:tcPr>
          <w:p w14:paraId="7A06F775">
            <w:pPr>
              <w:pStyle w:val="27"/>
              <w:widowControl/>
              <w:numPr>
                <w:ilvl w:val="0"/>
                <w:numId w:val="1"/>
              </w:numPr>
              <w:snapToGrid w:val="0"/>
              <w:ind w:firstLine="220" w:firstLineChars="100"/>
              <w:jc w:val="left"/>
              <w:textAlignment w:val="center"/>
              <w:rPr>
                <w:rFonts w:hint="eastAsia" w:ascii="宋体" w:hAnsi="宋体" w:cs="仿宋"/>
                <w:color w:val="0000FF"/>
                <w:sz w:val="22"/>
              </w:rPr>
            </w:pPr>
            <w:r>
              <w:rPr>
                <w:rFonts w:hint="eastAsia" w:ascii="宋体" w:hAnsi="宋体" w:cs="仿宋"/>
                <w:color w:val="0000FF"/>
                <w:sz w:val="22"/>
              </w:rPr>
              <w:t>设计图纸：在满足限额设计以及安全、绿色、节能、环保要求的前提下设计方案重点对功能、技术、经济和美观等进行评审。满足基本设计要求的得基本分10分；图纸包含【建筑图（含设计说明、各层平面图、立面图、剖面图、节点大样图、防火分区示意图）；结构图纸（含结构设计总说明、各层柱平面图、各层梁平面图、各层板平面图、柱、梁、板大样图；预制构件平面布置图；结构整体计算分析）水暖电图纸（含设计说明、各层平面图、系统图、大样图）；消防图纸；弱电图纸】得15分；本项满分25分。</w:t>
            </w:r>
          </w:p>
          <w:p w14:paraId="1AA71E6A">
            <w:pPr>
              <w:pStyle w:val="26"/>
              <w:widowControl/>
              <w:snapToGrid w:val="0"/>
              <w:ind w:firstLine="220" w:firstLineChars="10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FF"/>
                <w:sz w:val="22"/>
              </w:rPr>
              <w:t>2、施工方案：</w:t>
            </w:r>
            <w:r>
              <w:rPr>
                <w:rFonts w:hint="eastAsia" w:ascii="宋体" w:hAnsi="宋体" w:cs="仿宋"/>
                <w:color w:val="0000FF"/>
                <w:sz w:val="22"/>
              </w:rPr>
              <w:fldChar w:fldCharType="begin"/>
            </w:r>
            <w:r>
              <w:rPr>
                <w:rFonts w:hint="eastAsia" w:ascii="宋体" w:hAnsi="宋体" w:cs="仿宋"/>
                <w:color w:val="0000FF"/>
                <w:sz w:val="22"/>
              </w:rPr>
              <w:instrText xml:space="preserve"> = 1 \* GB3 \* MERGEFORMAT </w:instrText>
            </w:r>
            <w:r>
              <w:rPr>
                <w:rFonts w:hint="eastAsia" w:ascii="宋体" w:hAnsi="宋体" w:cs="仿宋"/>
                <w:color w:val="0000FF"/>
                <w:sz w:val="22"/>
              </w:rPr>
              <w:fldChar w:fldCharType="separate"/>
            </w:r>
            <w:r>
              <w:rPr>
                <w:rFonts w:ascii="宋体" w:hAnsi="宋体" w:cs="仿宋"/>
                <w:color w:val="0000FF"/>
                <w:sz w:val="22"/>
              </w:rPr>
              <w:t>①</w:t>
            </w:r>
            <w:r>
              <w:rPr>
                <w:rFonts w:hint="eastAsia" w:ascii="宋体" w:hAnsi="宋体" w:cs="仿宋"/>
                <w:color w:val="0000FF"/>
                <w:sz w:val="22"/>
              </w:rPr>
              <w:fldChar w:fldCharType="end"/>
            </w:r>
            <w:r>
              <w:rPr>
                <w:rFonts w:hint="eastAsia" w:ascii="宋体" w:hAnsi="宋体" w:cs="仿宋"/>
                <w:color w:val="0000FF"/>
                <w:sz w:val="22"/>
              </w:rPr>
              <w:t>有提供本项目施工程序、方法。②有提供本项目施工质量、安全、文明、环保保障措施。③有提供本项目施工进度计划及保障措施。④有提供本项目施工工作重点、难点和对策。⑤有提供本项目合理化建议。满足基本设计要求的得基本分10分，由定标委员会进行横向比较，在0-5分酌情加分，本项满分15分。</w:t>
            </w:r>
          </w:p>
        </w:tc>
        <w:tc>
          <w:tcPr>
            <w:tcW w:w="831" w:type="dxa"/>
            <w:noWrap w:val="0"/>
            <w:vAlign w:val="center"/>
          </w:tcPr>
          <w:p w14:paraId="473B591C">
            <w:pPr>
              <w:pStyle w:val="26"/>
              <w:widowControl/>
              <w:snapToGrid w:val="0"/>
              <w:jc w:val="center"/>
              <w:textAlignment w:val="center"/>
              <w:rPr>
                <w:rFonts w:hint="eastAsia"/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40分</w:t>
            </w:r>
          </w:p>
        </w:tc>
      </w:tr>
      <w:tr w14:paraId="7C67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050" w:type="dxa"/>
            <w:tcBorders>
              <w:bottom w:val="single" w:color="auto" w:sz="4" w:space="0"/>
            </w:tcBorders>
            <w:noWrap w:val="0"/>
            <w:vAlign w:val="center"/>
          </w:tcPr>
          <w:p w14:paraId="754BB6FD">
            <w:pPr>
              <w:pStyle w:val="26"/>
              <w:widowControl/>
              <w:snapToGrid w:val="0"/>
              <w:jc w:val="left"/>
              <w:textAlignment w:val="center"/>
              <w:rPr>
                <w:rFonts w:hint="eastAsia"/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团队因素</w:t>
            </w:r>
          </w:p>
        </w:tc>
        <w:tc>
          <w:tcPr>
            <w:tcW w:w="8015" w:type="dxa"/>
            <w:tcBorders>
              <w:bottom w:val="single" w:color="auto" w:sz="4" w:space="0"/>
            </w:tcBorders>
            <w:noWrap w:val="0"/>
            <w:vAlign w:val="center"/>
          </w:tcPr>
          <w:p w14:paraId="5173CF1B">
            <w:pPr>
              <w:pStyle w:val="27"/>
              <w:widowControl/>
              <w:snapToGrid w:val="0"/>
              <w:ind w:firstLine="220" w:firstLineChars="100"/>
              <w:jc w:val="left"/>
              <w:textAlignment w:val="center"/>
              <w:rPr>
                <w:rFonts w:hint="eastAsia" w:eastAsia="宋体"/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设计团队：投标人（或主体工程设计单位）</w:t>
            </w:r>
            <w:r>
              <w:rPr>
                <w:rFonts w:hint="eastAsia" w:eastAsia="宋体"/>
                <w:color w:val="0000FF"/>
                <w:sz w:val="22"/>
              </w:rPr>
              <w:t>中：</w:t>
            </w:r>
          </w:p>
          <w:p w14:paraId="1ADE3B83">
            <w:pPr>
              <w:pStyle w:val="27"/>
              <w:widowControl/>
              <w:numPr>
                <w:ilvl w:val="0"/>
                <w:numId w:val="2"/>
              </w:numPr>
              <w:snapToGrid w:val="0"/>
              <w:ind w:firstLine="220" w:firstLineChars="100"/>
              <w:jc w:val="left"/>
              <w:textAlignment w:val="center"/>
              <w:rPr>
                <w:rFonts w:hint="eastAsia"/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拟派设计团队中建筑专业负责人、结构专业负责人、电气专业负责人、给排水专业负责人、暖通空调专业负责人均具备工程师职称得10分；</w:t>
            </w:r>
          </w:p>
          <w:p w14:paraId="2E22220C">
            <w:pPr>
              <w:pStyle w:val="27"/>
              <w:widowControl/>
              <w:numPr>
                <w:ilvl w:val="0"/>
                <w:numId w:val="2"/>
              </w:numPr>
              <w:snapToGrid w:val="0"/>
              <w:ind w:firstLine="220" w:firstLineChars="100"/>
              <w:jc w:val="left"/>
              <w:textAlignment w:val="center"/>
              <w:rPr>
                <w:rFonts w:hint="eastAsia"/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拟派设计团队中建筑专业负责人、结构专业负责人、电气专业负责人、给排水专业负责人、暖通空调专业负责人均具备高级工程师及以上职称的，得20分；</w:t>
            </w:r>
          </w:p>
          <w:p w14:paraId="28436CA3">
            <w:pPr>
              <w:pStyle w:val="26"/>
              <w:widowControl/>
              <w:snapToGrid w:val="0"/>
              <w:ind w:firstLine="220" w:firstLineChars="100"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说明：设计团队各专业负责人均为1人，人员不得重复。</w:t>
            </w:r>
          </w:p>
        </w:tc>
        <w:tc>
          <w:tcPr>
            <w:tcW w:w="831" w:type="dxa"/>
            <w:noWrap w:val="0"/>
            <w:vAlign w:val="center"/>
          </w:tcPr>
          <w:p w14:paraId="6E1E5ABF">
            <w:pPr>
              <w:pStyle w:val="26"/>
              <w:widowControl/>
              <w:snapToGrid w:val="0"/>
              <w:jc w:val="center"/>
              <w:textAlignment w:val="center"/>
              <w:rPr>
                <w:rFonts w:hint="eastAsia"/>
                <w:color w:val="0000FF"/>
                <w:sz w:val="22"/>
              </w:rPr>
            </w:pPr>
            <w:r>
              <w:rPr>
                <w:rFonts w:hint="eastAsia" w:ascii="宋体" w:hAnsi="宋体" w:cs="仿宋"/>
                <w:color w:val="0000FF"/>
                <w:sz w:val="22"/>
              </w:rPr>
              <w:t>20</w:t>
            </w:r>
            <w:r>
              <w:rPr>
                <w:rFonts w:hint="eastAsia"/>
                <w:color w:val="0000FF"/>
                <w:sz w:val="22"/>
              </w:rPr>
              <w:t>分</w:t>
            </w:r>
          </w:p>
        </w:tc>
      </w:tr>
      <w:tr w14:paraId="357F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50" w:type="dxa"/>
            <w:tcBorders>
              <w:bottom w:val="single" w:color="auto" w:sz="4" w:space="0"/>
            </w:tcBorders>
            <w:noWrap w:val="0"/>
            <w:vAlign w:val="center"/>
          </w:tcPr>
          <w:p w14:paraId="70AE0BE3">
            <w:pPr>
              <w:pStyle w:val="26"/>
              <w:widowControl/>
              <w:snapToGrid w:val="0"/>
              <w:jc w:val="left"/>
              <w:textAlignment w:val="center"/>
              <w:rPr>
                <w:rFonts w:hint="eastAsia"/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服务因素</w:t>
            </w:r>
          </w:p>
        </w:tc>
        <w:tc>
          <w:tcPr>
            <w:tcW w:w="8015" w:type="dxa"/>
            <w:tcBorders>
              <w:bottom w:val="single" w:color="auto" w:sz="4" w:space="0"/>
            </w:tcBorders>
            <w:noWrap w:val="0"/>
            <w:vAlign w:val="center"/>
          </w:tcPr>
          <w:p w14:paraId="71B9F1AA">
            <w:pPr>
              <w:pStyle w:val="28"/>
              <w:ind w:firstLine="220" w:firstLineChars="100"/>
              <w:rPr>
                <w:rFonts w:eastAsia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仿宋"/>
                <w:color w:val="0000FF"/>
                <w:sz w:val="22"/>
              </w:rPr>
              <w:t>服务方案：根据定标候选人的履约能力、质量保证、服务的主动性、响应时间、团队到岗履职能力、定标候选人对项目团队检查、考核等公司内控体系，重点考核履约能力；由定标委员会进行评议打分，服务方案包含的要点齐全无缺漏项、内容与要点相符、内容完善且完全适用于本项目的，在</w:t>
            </w:r>
            <w:r>
              <w:rPr>
                <w:rFonts w:hint="eastAsia" w:ascii="宋体" w:hAnsi="宋体" w:eastAsia="宋体" w:cs="仿宋"/>
                <w:color w:val="0000FF"/>
                <w:sz w:val="22"/>
                <w:lang w:val="en-US" w:eastAsia="zh-CN"/>
              </w:rPr>
              <w:t>10</w:t>
            </w:r>
            <w:r>
              <w:rPr>
                <w:rFonts w:ascii="宋体" w:hAnsi="宋体" w:cs="仿宋"/>
                <w:color w:val="0000FF"/>
                <w:sz w:val="22"/>
              </w:rPr>
              <w:t>-1</w:t>
            </w:r>
            <w:r>
              <w:rPr>
                <w:rFonts w:hint="eastAsia" w:ascii="宋体" w:hAnsi="宋体" w:eastAsia="宋体" w:cs="仿宋"/>
                <w:color w:val="0000FF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仿宋"/>
                <w:color w:val="0000FF"/>
                <w:sz w:val="22"/>
              </w:rPr>
              <w:t>分之间进行打分；服务方案所包含的要点齐全、内容与要点不够完善，且部分适用本项目的，在</w:t>
            </w:r>
            <w:r>
              <w:rPr>
                <w:rFonts w:ascii="宋体" w:hAnsi="宋体" w:cs="仿宋"/>
                <w:color w:val="0000FF"/>
                <w:sz w:val="22"/>
              </w:rPr>
              <w:t>5-</w:t>
            </w:r>
            <w:r>
              <w:rPr>
                <w:rFonts w:hint="eastAsia" w:ascii="宋体" w:hAnsi="宋体" w:eastAsia="宋体" w:cs="仿宋"/>
                <w:color w:val="0000FF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color w:val="0000FF"/>
                <w:sz w:val="22"/>
              </w:rPr>
              <w:t>分之间进行打分；服务方案有缺漏或内容存在错误的，在</w:t>
            </w:r>
            <w:r>
              <w:rPr>
                <w:rFonts w:hint="eastAsia" w:ascii="宋体" w:hAnsi="宋体" w:eastAsia="宋体" w:cs="仿宋"/>
                <w:color w:val="0000FF"/>
                <w:sz w:val="22"/>
                <w:lang w:val="en-US" w:eastAsia="zh-CN"/>
              </w:rPr>
              <w:t>0</w:t>
            </w:r>
            <w:r>
              <w:rPr>
                <w:rFonts w:ascii="宋体" w:hAnsi="宋体" w:cs="仿宋"/>
                <w:color w:val="0000FF"/>
                <w:sz w:val="22"/>
              </w:rPr>
              <w:t>-5</w:t>
            </w:r>
            <w:r>
              <w:rPr>
                <w:rFonts w:hint="eastAsia" w:ascii="宋体" w:hAnsi="宋体" w:cs="仿宋"/>
                <w:color w:val="0000FF"/>
                <w:sz w:val="22"/>
              </w:rPr>
              <w:t>分之间进行打分；未提供的本项不得分。</w:t>
            </w:r>
          </w:p>
        </w:tc>
        <w:tc>
          <w:tcPr>
            <w:tcW w:w="831" w:type="dxa"/>
            <w:noWrap w:val="0"/>
            <w:vAlign w:val="center"/>
          </w:tcPr>
          <w:p w14:paraId="492BD71A">
            <w:pPr>
              <w:pStyle w:val="26"/>
              <w:widowControl/>
              <w:snapToGrid w:val="0"/>
              <w:jc w:val="center"/>
              <w:textAlignment w:val="center"/>
              <w:rPr>
                <w:rFonts w:hint="eastAsia"/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15分</w:t>
            </w:r>
          </w:p>
        </w:tc>
      </w:tr>
      <w:tr w14:paraId="4116A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50" w:type="dxa"/>
            <w:noWrap w:val="0"/>
            <w:vAlign w:val="center"/>
          </w:tcPr>
          <w:p w14:paraId="5A5248FB">
            <w:pPr>
              <w:pStyle w:val="26"/>
              <w:widowControl/>
              <w:snapToGrid w:val="0"/>
              <w:jc w:val="left"/>
              <w:textAlignment w:val="center"/>
              <w:rPr>
                <w:rFonts w:hint="eastAsia"/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答辩因素</w:t>
            </w:r>
          </w:p>
        </w:tc>
        <w:tc>
          <w:tcPr>
            <w:tcW w:w="8015" w:type="dxa"/>
            <w:noWrap w:val="0"/>
            <w:vAlign w:val="center"/>
          </w:tcPr>
          <w:p w14:paraId="4FCB9420">
            <w:pPr>
              <w:pStyle w:val="31"/>
              <w:widowControl/>
              <w:ind w:firstLine="220" w:firstLineChars="100"/>
              <w:jc w:val="left"/>
              <w:rPr>
                <w:rFonts w:hint="eastAsia"/>
                <w:color w:val="0000FF"/>
                <w:sz w:val="22"/>
              </w:rPr>
            </w:pPr>
            <w:r>
              <w:rPr>
                <w:rFonts w:hint="eastAsia" w:ascii="宋体" w:hAnsi="宋体" w:eastAsia="宋体"/>
                <w:color w:val="0000FF"/>
                <w:sz w:val="22"/>
              </w:rPr>
              <w:t>定标委员会对定标候选人拟派项目总负责人的答辩情况进行评审。参加答辩的项目负责人每人应答3题，答辩时间共6分钟。定标委员会根据拟派项目总负责人在答辩过程中体现的专业能力、施工业务能力、语言表达能力等进行横向对比。每题在0-5分之间进行打分，本项满分15分。拟任项目负责人携带身份证原件，身份证和注册执业证书复印件（加盖单位公章），于定标工作开始时间前抵达定标地点核验登记。未按上述规定到场核验登记的，视为自动放弃答辩；未派出人员参加答辩的不得分。</w:t>
            </w:r>
          </w:p>
        </w:tc>
        <w:tc>
          <w:tcPr>
            <w:tcW w:w="831" w:type="dxa"/>
            <w:noWrap w:val="0"/>
            <w:vAlign w:val="center"/>
          </w:tcPr>
          <w:p w14:paraId="6318A5C5">
            <w:pPr>
              <w:pStyle w:val="26"/>
              <w:widowControl/>
              <w:snapToGrid w:val="0"/>
              <w:jc w:val="center"/>
              <w:textAlignment w:val="center"/>
              <w:rPr>
                <w:rFonts w:hint="eastAsia"/>
                <w:color w:val="0000FF"/>
                <w:sz w:val="22"/>
              </w:rPr>
            </w:pPr>
            <w:r>
              <w:rPr>
                <w:rFonts w:hint="eastAsia" w:ascii="宋体" w:hAnsi="宋体" w:eastAsia="宋体"/>
                <w:color w:val="0000FF"/>
                <w:sz w:val="22"/>
              </w:rPr>
              <w:t>15</w:t>
            </w:r>
            <w:r>
              <w:rPr>
                <w:rFonts w:hint="eastAsia"/>
                <w:color w:val="0000FF"/>
                <w:sz w:val="22"/>
              </w:rPr>
              <w:t>分</w:t>
            </w:r>
          </w:p>
        </w:tc>
      </w:tr>
    </w:tbl>
    <w:p w14:paraId="6540CBBC">
      <w:pPr>
        <w:pStyle w:val="26"/>
        <w:spacing w:line="300" w:lineRule="auto"/>
        <w:rPr>
          <w:rFonts w:ascii="宋体" w:hAnsi="宋体" w:cs="宋体"/>
          <w:color w:val="000080"/>
        </w:rPr>
      </w:pPr>
      <w:r>
        <w:rPr>
          <w:rFonts w:ascii="宋体" w:hAnsi="宋体" w:cs="宋体"/>
          <w:color w:val="000080"/>
        </w:rPr>
        <w:t xml:space="preserve"> </w:t>
      </w:r>
    </w:p>
    <w:p w14:paraId="4E991E23">
      <w:pPr>
        <w:spacing w:line="360" w:lineRule="auto"/>
        <w:rPr>
          <w:rFonts w:hint="eastAsia"/>
          <w:color w:val="000080"/>
          <w:sz w:val="20"/>
          <w:highlight w:val="white"/>
        </w:rPr>
      </w:pPr>
      <w:r>
        <w:rPr>
          <w:rFonts w:hint="eastAsia"/>
          <w:color w:val="000080"/>
          <w:sz w:val="20"/>
          <w:highlight w:val="white"/>
        </w:rPr>
        <w:t xml:space="preserve"> </w:t>
      </w:r>
    </w:p>
    <w:p w14:paraId="5FF4EC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A83A04"/>
    <w:multiLevelType w:val="singleLevel"/>
    <w:tmpl w:val="73A83A0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3A83A05"/>
    <w:multiLevelType w:val="singleLevel"/>
    <w:tmpl w:val="73A83A05"/>
    <w:lvl w:ilvl="0" w:tentative="0">
      <w:start w:val="1"/>
      <w:numFmt w:val="lowerLetter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9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0_3"/>
    <w:basedOn w:val="5"/>
    <w:next w:val="17"/>
    <w:qFormat/>
    <w:uiPriority w:val="0"/>
    <w:pPr>
      <w:widowControl w:val="0"/>
      <w:jc w:val="both"/>
    </w:pPr>
    <w:rPr>
      <w:rFonts w:ascii="Times New Roman" w:hAnsi="Times New Roman" w:eastAsia="Times New Roman"/>
      <w:kern w:val="2"/>
      <w:sz w:val="21"/>
      <w:szCs w:val="22"/>
      <w:lang w:val="en-US" w:eastAsia="zh-CN" w:bidi="ar-SA"/>
    </w:rPr>
  </w:style>
  <w:style w:type="paragraph" w:customStyle="1" w:styleId="5">
    <w:name w:val="Normal_1_0"/>
    <w:next w:val="6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6">
    <w:name w:val="Body Text First Indent 2_0_1_0"/>
    <w:basedOn w:val="7"/>
    <w:next w:val="9"/>
    <w:unhideWhenUsed/>
    <w:qFormat/>
    <w:uiPriority w:val="99"/>
    <w:pPr>
      <w:ind w:firstLine="420" w:firstLineChars="200"/>
    </w:pPr>
    <w:rPr>
      <w:rFonts w:ascii="Times New Roman" w:hAnsi="Times New Roman" w:eastAsia="Times New Roman"/>
    </w:rPr>
  </w:style>
  <w:style w:type="paragraph" w:customStyle="1" w:styleId="7">
    <w:name w:val="Body Text Indent_0_1_0"/>
    <w:basedOn w:val="8"/>
    <w:next w:val="5"/>
    <w:unhideWhenUsed/>
    <w:qFormat/>
    <w:uiPriority w:val="99"/>
    <w:pPr>
      <w:spacing w:after="120"/>
      <w:ind w:left="420" w:leftChars="200"/>
    </w:pPr>
  </w:style>
  <w:style w:type="paragraph" w:customStyle="1" w:styleId="8">
    <w:name w:val="Normal_0_1_0"/>
    <w:next w:val="6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9">
    <w:name w:val="样式 标题 3 + (中文) 黑体 小四 非加粗 段前: 7.8 磅 段后: 0 磅 行距: 固定值 20 磅_0_0_0_0"/>
    <w:basedOn w:val="10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0">
    <w:name w:val="标题 3_0_0"/>
    <w:basedOn w:val="11"/>
    <w:next w:val="16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1">
    <w:name w:val="正文_0_0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首行缩进 21_0"/>
    <w:basedOn w:val="13"/>
    <w:next w:val="15"/>
    <w:unhideWhenUsed/>
    <w:qFormat/>
    <w:uiPriority w:val="99"/>
    <w:pPr>
      <w:ind w:firstLine="420" w:firstLineChars="200"/>
    </w:pPr>
  </w:style>
  <w:style w:type="paragraph" w:customStyle="1" w:styleId="13">
    <w:name w:val="正文文本缩进1_0"/>
    <w:basedOn w:val="14"/>
    <w:next w:val="14"/>
    <w:unhideWhenUsed/>
    <w:qFormat/>
    <w:uiPriority w:val="99"/>
    <w:pPr>
      <w:spacing w:after="120"/>
      <w:ind w:left="420" w:leftChars="200"/>
    </w:pPr>
  </w:style>
  <w:style w:type="paragraph" w:customStyle="1" w:styleId="14">
    <w:name w:val="正文1_0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样式 标题 3 + (中文) 黑体 小四 非加粗 段前: 7.8 磅 段后: 0 磅 行距: 固定值 20 磅_0_1"/>
    <w:basedOn w:val="10"/>
    <w:qFormat/>
    <w:uiPriority w:val="99"/>
    <w:pPr>
      <w:spacing w:before="0" w:after="0" w:line="400" w:lineRule="exact"/>
    </w:pPr>
    <w:rPr>
      <w:rFonts w:ascii="Times New Roman" w:hAnsi="Times New Roman" w:eastAsia="Times New Roman"/>
      <w:sz w:val="24"/>
      <w:szCs w:val="24"/>
    </w:rPr>
  </w:style>
  <w:style w:type="paragraph" w:customStyle="1" w:styleId="16">
    <w:name w:val="正文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Body Text First Indent 2_0_2"/>
    <w:basedOn w:val="18"/>
    <w:unhideWhenUsed/>
    <w:qFormat/>
    <w:uiPriority w:val="99"/>
    <w:pPr>
      <w:ind w:firstLine="420" w:firstLineChars="200"/>
    </w:pPr>
    <w:rPr>
      <w:rFonts w:ascii="Times New Roman" w:hAnsi="Times New Roman" w:eastAsia="Times New Roman"/>
    </w:rPr>
  </w:style>
  <w:style w:type="paragraph" w:customStyle="1" w:styleId="18">
    <w:name w:val="Body Text Indent_0_2"/>
    <w:basedOn w:val="4"/>
    <w:next w:val="4"/>
    <w:unhideWhenUsed/>
    <w:qFormat/>
    <w:uiPriority w:val="99"/>
    <w:pPr>
      <w:spacing w:after="120"/>
      <w:ind w:left="420" w:leftChars="200"/>
    </w:pPr>
  </w:style>
  <w:style w:type="paragraph" w:customStyle="1" w:styleId="19">
    <w:name w:val="Normal_2_1"/>
    <w:next w:val="20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 Indent_0_1"/>
    <w:basedOn w:val="21"/>
    <w:next w:val="25"/>
    <w:unhideWhenUsed/>
    <w:qFormat/>
    <w:uiPriority w:val="99"/>
    <w:pPr>
      <w:ind w:firstLine="420" w:firstLineChars="200"/>
    </w:pPr>
    <w:rPr>
      <w:rFonts w:ascii="Times New Roman" w:hAnsi="Times New Roman" w:eastAsia="Times New Roman"/>
    </w:rPr>
  </w:style>
  <w:style w:type="paragraph" w:customStyle="1" w:styleId="21">
    <w:name w:val="Normal_0_2_1"/>
    <w:next w:val="2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 Indent_0_0_0"/>
    <w:basedOn w:val="23"/>
    <w:next w:val="24"/>
    <w:unhideWhenUsed/>
    <w:qFormat/>
    <w:uiPriority w:val="99"/>
    <w:pPr>
      <w:ind w:firstLine="420" w:firstLineChars="200"/>
    </w:pPr>
    <w:rPr>
      <w:rFonts w:ascii="Times New Roman" w:hAnsi="Times New Roman" w:eastAsia="Times New Roman"/>
    </w:rPr>
  </w:style>
  <w:style w:type="paragraph" w:customStyle="1" w:styleId="23">
    <w:name w:val="Normal_4_0"/>
    <w:next w:val="2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4">
    <w:name w:val="Header_0_0_0"/>
    <w:basedOn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5">
    <w:name w:val="Header_0_1"/>
    <w:basedOn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Normal_3_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7ee766fa-8a0d-4889-9d6d-d97e4c7747ae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 Indent"/>
    <w:basedOn w:val="21"/>
    <w:next w:val="29"/>
    <w:unhideWhenUsed/>
    <w:qFormat/>
    <w:uiPriority w:val="99"/>
    <w:pPr>
      <w:ind w:firstLine="420" w:firstLineChars="200"/>
    </w:pPr>
    <w:rPr>
      <w:rFonts w:ascii="Times New Roman" w:hAnsi="Times New Roman" w:eastAsia="Times New Roman"/>
    </w:rPr>
  </w:style>
  <w:style w:type="paragraph" w:customStyle="1" w:styleId="29">
    <w:name w:val="Header"/>
    <w:basedOn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0">
    <w:name w:val="Normal_6_1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9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2025-03-31T01:24:30Z</dcterms:created>
  <dc:creator>Administrator</dc:creator>
  <cp:lastModifiedBy>鼎蓬咨询代理</cp:lastModifiedBy>
  <dcterms:modified xsi:type="dcterms:W3CDTF">2025-03-31T01:24:36Z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eyJoZGlkIjoiNWIwZWFhNGZjYzJiNWYxNjU1OGZmOTE3NzM3N2NhMWQiLCJ1c2VySWQiOiIxNjI2NjQ4MjAxIn0=</vt:lpwstr>
  </property>
  <property fmtid="{D5CDD505-2E9C-101B-9397-08002B2CF9AE}" pid="4" name="ICV">
    <vt:lpwstr>1D664D067331412091A9B748BC909D01_12</vt:lpwstr>
  </property>
</Properties>
</file>