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688C6F">
      <w:pPr>
        <w:pStyle w:val="8"/>
      </w:pPr>
    </w:p>
    <w:p w14:paraId="26719C35">
      <w:pPr>
        <w:jc w:val="center"/>
        <w:rPr>
          <w:rFonts w:ascii="宋体" w:hAnsi="宋体"/>
          <w:b/>
          <w:sz w:val="44"/>
          <w:szCs w:val="44"/>
        </w:rPr>
      </w:pPr>
      <w:r>
        <w:rPr>
          <w:rFonts w:hint="eastAsia" w:ascii="宋体" w:hAnsi="宋体"/>
          <w:b/>
          <w:sz w:val="44"/>
          <w:szCs w:val="44"/>
        </w:rPr>
        <w:t>年产50万吨食品包装原纸技改工程变更项目</w:t>
      </w:r>
    </w:p>
    <w:p w14:paraId="6202696D">
      <w:pPr>
        <w:jc w:val="center"/>
        <w:rPr>
          <w:rFonts w:ascii="宋体" w:hAnsi="宋体"/>
          <w:b/>
          <w:sz w:val="44"/>
          <w:szCs w:val="44"/>
        </w:rPr>
      </w:pPr>
      <w:r>
        <w:rPr>
          <w:rFonts w:hint="eastAsia" w:ascii="宋体" w:hAnsi="宋体"/>
          <w:b/>
          <w:sz w:val="44"/>
          <w:szCs w:val="44"/>
        </w:rPr>
        <w:t>（年产20万吨竹浆技改项目）</w:t>
      </w:r>
    </w:p>
    <w:p w14:paraId="1C047A67">
      <w:pPr>
        <w:jc w:val="center"/>
        <w:rPr>
          <w:rFonts w:ascii="宋体" w:hAnsi="宋体"/>
          <w:b/>
          <w:sz w:val="44"/>
          <w:szCs w:val="44"/>
          <w:lang w:bidi="he-IL"/>
        </w:rPr>
      </w:pPr>
      <w:r>
        <w:rPr>
          <w:rFonts w:hint="eastAsia" w:ascii="宋体" w:hAnsi="宋体"/>
          <w:b/>
          <w:sz w:val="44"/>
          <w:szCs w:val="44"/>
          <w:lang w:bidi="he-IL"/>
        </w:rPr>
        <w:t>EPC工程总承包</w:t>
      </w:r>
    </w:p>
    <w:p w14:paraId="7EDDC843">
      <w:pPr>
        <w:jc w:val="center"/>
        <w:rPr>
          <w:rFonts w:ascii="宋体" w:hAnsi="宋体"/>
          <w:b/>
          <w:sz w:val="44"/>
          <w:szCs w:val="44"/>
          <w:lang w:bidi="he-IL"/>
        </w:rPr>
      </w:pPr>
      <w:r>
        <w:rPr>
          <w:rFonts w:hint="eastAsia" w:ascii="宋体" w:hAnsi="宋体"/>
          <w:b/>
          <w:sz w:val="44"/>
          <w:szCs w:val="44"/>
          <w:lang w:bidi="he-IL"/>
        </w:rPr>
        <w:t>技术协议书</w:t>
      </w:r>
    </w:p>
    <w:p w14:paraId="5286F673">
      <w:pPr>
        <w:pStyle w:val="8"/>
      </w:pPr>
    </w:p>
    <w:p w14:paraId="645B9D36">
      <w:pPr>
        <w:spacing w:line="480" w:lineRule="auto"/>
        <w:jc w:val="center"/>
        <w:rPr>
          <w:rFonts w:ascii="Times New Roman" w:hAnsi="Times New Roman"/>
          <w:b/>
          <w:sz w:val="52"/>
          <w:szCs w:val="52"/>
        </w:rPr>
      </w:pPr>
    </w:p>
    <w:p w14:paraId="3524B293">
      <w:pPr>
        <w:spacing w:line="480" w:lineRule="auto"/>
        <w:jc w:val="center"/>
        <w:rPr>
          <w:rFonts w:ascii="Times New Roman" w:hAnsi="Times New Roman"/>
          <w:b/>
          <w:sz w:val="52"/>
          <w:szCs w:val="52"/>
        </w:rPr>
      </w:pPr>
    </w:p>
    <w:p w14:paraId="231765A4">
      <w:pPr>
        <w:spacing w:line="480" w:lineRule="auto"/>
        <w:jc w:val="center"/>
        <w:rPr>
          <w:rFonts w:ascii="Times New Roman" w:hAnsi="Times New Roman"/>
          <w:b/>
          <w:sz w:val="52"/>
          <w:szCs w:val="52"/>
        </w:rPr>
      </w:pPr>
    </w:p>
    <w:p w14:paraId="730B5DBD">
      <w:pPr>
        <w:spacing w:line="480" w:lineRule="auto"/>
        <w:rPr>
          <w:rFonts w:ascii="Times New Roman" w:hAnsi="Times New Roman"/>
          <w:b/>
          <w:sz w:val="52"/>
          <w:szCs w:val="52"/>
        </w:rPr>
      </w:pPr>
    </w:p>
    <w:p w14:paraId="7FEE43EE">
      <w:pPr>
        <w:spacing w:line="480" w:lineRule="auto"/>
        <w:rPr>
          <w:rFonts w:ascii="Times New Roman" w:hAnsi="Times New Roman"/>
          <w:b/>
          <w:sz w:val="72"/>
          <w:szCs w:val="72"/>
        </w:rPr>
      </w:pPr>
    </w:p>
    <w:p w14:paraId="51EC3AE8">
      <w:pPr>
        <w:spacing w:line="500" w:lineRule="exact"/>
        <w:rPr>
          <w:rFonts w:ascii="Times New Roman" w:hAnsi="Times New Roman"/>
          <w:szCs w:val="28"/>
        </w:rPr>
      </w:pPr>
    </w:p>
    <w:p w14:paraId="56186639">
      <w:pPr>
        <w:spacing w:line="500" w:lineRule="exact"/>
        <w:rPr>
          <w:rFonts w:ascii="Times New Roman" w:hAnsi="Times New Roman"/>
          <w:szCs w:val="28"/>
        </w:rPr>
      </w:pPr>
    </w:p>
    <w:p w14:paraId="5443803A">
      <w:pPr>
        <w:spacing w:line="500" w:lineRule="exact"/>
        <w:rPr>
          <w:rFonts w:ascii="Times New Roman" w:hAnsi="Times New Roman"/>
          <w:szCs w:val="28"/>
        </w:rPr>
      </w:pPr>
    </w:p>
    <w:p w14:paraId="6CD445FD">
      <w:pPr>
        <w:spacing w:line="500" w:lineRule="exact"/>
        <w:rPr>
          <w:rFonts w:ascii="Times New Roman" w:hAnsi="Times New Roman"/>
          <w:szCs w:val="28"/>
        </w:rPr>
      </w:pPr>
    </w:p>
    <w:p w14:paraId="4FF5C693">
      <w:pPr>
        <w:spacing w:line="500" w:lineRule="exact"/>
        <w:rPr>
          <w:rFonts w:ascii="Times New Roman" w:hAnsi="Times New Roman"/>
          <w:szCs w:val="28"/>
        </w:rPr>
      </w:pPr>
    </w:p>
    <w:p w14:paraId="7AB5FB92">
      <w:pPr>
        <w:spacing w:line="500" w:lineRule="exact"/>
        <w:jc w:val="center"/>
        <w:rPr>
          <w:rFonts w:ascii="Times New Roman" w:hAnsi="Times New Roman"/>
          <w:sz w:val="32"/>
          <w:szCs w:val="32"/>
        </w:rPr>
      </w:pPr>
    </w:p>
    <w:p w14:paraId="441A35BB">
      <w:pPr>
        <w:spacing w:line="500" w:lineRule="exact"/>
        <w:jc w:val="center"/>
        <w:rPr>
          <w:rFonts w:ascii="Times New Roman" w:hAnsi="Times New Roman"/>
          <w:sz w:val="32"/>
          <w:szCs w:val="32"/>
        </w:rPr>
      </w:pPr>
    </w:p>
    <w:p w14:paraId="2973C93B">
      <w:pPr>
        <w:spacing w:line="500" w:lineRule="exact"/>
        <w:jc w:val="center"/>
        <w:rPr>
          <w:rFonts w:ascii="Times New Roman" w:hAnsi="Times New Roman"/>
          <w:sz w:val="32"/>
          <w:szCs w:val="32"/>
        </w:r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w:t>
      </w:r>
      <w:r>
        <w:rPr>
          <w:rFonts w:ascii="Times New Roman" w:hAnsi="Times New Roman"/>
          <w:sz w:val="32"/>
          <w:szCs w:val="32"/>
        </w:rPr>
        <w:t xml:space="preserve"> </w:t>
      </w:r>
      <w:r>
        <w:rPr>
          <w:rFonts w:hint="eastAsia" w:ascii="Times New Roman" w:hAnsi="Times New Roman"/>
          <w:sz w:val="32"/>
          <w:szCs w:val="32"/>
        </w:rPr>
        <w:t>月</w:t>
      </w:r>
    </w:p>
    <w:p w14:paraId="15E45477">
      <w:pPr>
        <w:pStyle w:val="8"/>
        <w:sectPr>
          <w:headerReference r:id="rId3" w:type="default"/>
          <w:pgSz w:w="11906" w:h="16838"/>
          <w:pgMar w:top="1440" w:right="1417" w:bottom="1440" w:left="1417" w:header="964" w:footer="992" w:gutter="0"/>
          <w:cols w:space="720" w:num="1"/>
          <w:docGrid w:type="lines" w:linePitch="312" w:charSpace="0"/>
        </w:sectPr>
      </w:pPr>
    </w:p>
    <w:p w14:paraId="5E6A8A44">
      <w:pPr>
        <w:pStyle w:val="12"/>
        <w:tabs>
          <w:tab w:val="right" w:leader="dot" w:pos="9072"/>
        </w:tabs>
        <w:jc w:val="center"/>
        <w:rPr>
          <w:b/>
          <w:bCs/>
          <w:sz w:val="21"/>
          <w:szCs w:val="21"/>
        </w:rPr>
      </w:pPr>
      <w:r>
        <w:rPr>
          <w:rFonts w:hint="eastAsia"/>
          <w:b/>
          <w:bCs/>
          <w:sz w:val="21"/>
          <w:szCs w:val="21"/>
        </w:rPr>
        <w:t>目    录</w:t>
      </w:r>
    </w:p>
    <w:p w14:paraId="7DFD08C5">
      <w:pPr>
        <w:pStyle w:val="12"/>
        <w:tabs>
          <w:tab w:val="right" w:leader="dot" w:pos="9072"/>
        </w:tabs>
        <w:rPr>
          <w:sz w:val="22"/>
          <w:szCs w:val="20"/>
        </w:rPr>
      </w:pPr>
      <w:r>
        <w:rPr>
          <w:sz w:val="22"/>
          <w:szCs w:val="20"/>
        </w:rPr>
        <w:fldChar w:fldCharType="begin"/>
      </w:r>
      <w:r>
        <w:rPr>
          <w:sz w:val="22"/>
          <w:szCs w:val="20"/>
        </w:rPr>
        <w:instrText xml:space="preserve">TOC \o "1-3" \h \u </w:instrText>
      </w:r>
      <w:r>
        <w:rPr>
          <w:sz w:val="22"/>
          <w:szCs w:val="20"/>
        </w:rPr>
        <w:fldChar w:fldCharType="separate"/>
      </w:r>
      <w:r>
        <w:fldChar w:fldCharType="begin"/>
      </w:r>
      <w:r>
        <w:instrText xml:space="preserve"> HYPERLINK \l "_Toc27444" </w:instrText>
      </w:r>
      <w:r>
        <w:fldChar w:fldCharType="separate"/>
      </w:r>
      <w:r>
        <w:rPr>
          <w:rFonts w:hint="eastAsia" w:ascii="宋体" w:hAnsi="宋体"/>
          <w:sz w:val="22"/>
          <w:szCs w:val="44"/>
        </w:rPr>
        <w:t>设计</w:t>
      </w:r>
      <w:r>
        <w:rPr>
          <w:sz w:val="22"/>
          <w:szCs w:val="20"/>
        </w:rPr>
        <w:tab/>
      </w:r>
      <w:r>
        <w:rPr>
          <w:sz w:val="22"/>
          <w:szCs w:val="20"/>
        </w:rPr>
        <w:fldChar w:fldCharType="begin"/>
      </w:r>
      <w:r>
        <w:rPr>
          <w:sz w:val="22"/>
          <w:szCs w:val="20"/>
        </w:rPr>
        <w:instrText xml:space="preserve"> PAGEREF _Toc27444 \h </w:instrText>
      </w:r>
      <w:r>
        <w:rPr>
          <w:sz w:val="22"/>
          <w:szCs w:val="20"/>
        </w:rPr>
        <w:fldChar w:fldCharType="separate"/>
      </w:r>
      <w:r>
        <w:rPr>
          <w:sz w:val="22"/>
          <w:szCs w:val="20"/>
        </w:rPr>
        <w:t>1</w:t>
      </w:r>
      <w:r>
        <w:rPr>
          <w:sz w:val="22"/>
          <w:szCs w:val="20"/>
        </w:rPr>
        <w:fldChar w:fldCharType="end"/>
      </w:r>
      <w:r>
        <w:rPr>
          <w:sz w:val="22"/>
          <w:szCs w:val="20"/>
        </w:rPr>
        <w:fldChar w:fldCharType="end"/>
      </w:r>
    </w:p>
    <w:p w14:paraId="1E6D1399">
      <w:pPr>
        <w:pStyle w:val="12"/>
        <w:tabs>
          <w:tab w:val="right" w:leader="dot" w:pos="9072"/>
        </w:tabs>
        <w:ind w:left="280" w:leftChars="100"/>
        <w:rPr>
          <w:sz w:val="22"/>
          <w:szCs w:val="20"/>
        </w:rPr>
      </w:pPr>
      <w:r>
        <w:fldChar w:fldCharType="begin"/>
      </w:r>
      <w:r>
        <w:instrText xml:space="preserve"> HYPERLINK \l "_Toc4405" </w:instrText>
      </w:r>
      <w:r>
        <w:fldChar w:fldCharType="separate"/>
      </w:r>
      <w:r>
        <w:rPr>
          <w:rFonts w:hint="eastAsia"/>
          <w:sz w:val="22"/>
          <w:szCs w:val="20"/>
        </w:rPr>
        <w:t>一、工程设计要求</w:t>
      </w:r>
      <w:r>
        <w:rPr>
          <w:sz w:val="22"/>
          <w:szCs w:val="20"/>
        </w:rPr>
        <w:tab/>
      </w:r>
      <w:r>
        <w:rPr>
          <w:sz w:val="22"/>
          <w:szCs w:val="20"/>
        </w:rPr>
        <w:fldChar w:fldCharType="begin"/>
      </w:r>
      <w:r>
        <w:rPr>
          <w:sz w:val="22"/>
          <w:szCs w:val="20"/>
        </w:rPr>
        <w:instrText xml:space="preserve"> PAGEREF _Toc4405 \h </w:instrText>
      </w:r>
      <w:r>
        <w:rPr>
          <w:sz w:val="22"/>
          <w:szCs w:val="20"/>
        </w:rPr>
        <w:fldChar w:fldCharType="separate"/>
      </w:r>
      <w:r>
        <w:rPr>
          <w:sz w:val="22"/>
          <w:szCs w:val="20"/>
        </w:rPr>
        <w:t>2</w:t>
      </w:r>
      <w:r>
        <w:rPr>
          <w:sz w:val="22"/>
          <w:szCs w:val="20"/>
        </w:rPr>
        <w:fldChar w:fldCharType="end"/>
      </w:r>
      <w:r>
        <w:rPr>
          <w:sz w:val="22"/>
          <w:szCs w:val="20"/>
        </w:rPr>
        <w:fldChar w:fldCharType="end"/>
      </w:r>
    </w:p>
    <w:p w14:paraId="199CC7DF">
      <w:pPr>
        <w:pStyle w:val="13"/>
        <w:tabs>
          <w:tab w:val="right" w:leader="dot" w:pos="9072"/>
        </w:tabs>
        <w:ind w:left="560"/>
        <w:rPr>
          <w:sz w:val="22"/>
          <w:szCs w:val="20"/>
        </w:rPr>
      </w:pPr>
      <w:r>
        <w:fldChar w:fldCharType="begin"/>
      </w:r>
      <w:r>
        <w:instrText xml:space="preserve"> HYPERLINK \l "_Toc25025" </w:instrText>
      </w:r>
      <w:r>
        <w:fldChar w:fldCharType="separate"/>
      </w:r>
      <w:r>
        <w:rPr>
          <w:rFonts w:hint="eastAsia"/>
          <w:sz w:val="22"/>
          <w:szCs w:val="20"/>
        </w:rPr>
        <w:t>1 设计范围</w:t>
      </w:r>
      <w:r>
        <w:rPr>
          <w:sz w:val="22"/>
          <w:szCs w:val="20"/>
        </w:rPr>
        <w:tab/>
      </w:r>
      <w:r>
        <w:rPr>
          <w:sz w:val="22"/>
          <w:szCs w:val="20"/>
        </w:rPr>
        <w:fldChar w:fldCharType="begin"/>
      </w:r>
      <w:r>
        <w:rPr>
          <w:sz w:val="22"/>
          <w:szCs w:val="20"/>
        </w:rPr>
        <w:instrText xml:space="preserve"> PAGEREF _Toc25025 \h </w:instrText>
      </w:r>
      <w:r>
        <w:rPr>
          <w:sz w:val="22"/>
          <w:szCs w:val="20"/>
        </w:rPr>
        <w:fldChar w:fldCharType="separate"/>
      </w:r>
      <w:r>
        <w:rPr>
          <w:sz w:val="22"/>
          <w:szCs w:val="20"/>
        </w:rPr>
        <w:t>2</w:t>
      </w:r>
      <w:r>
        <w:rPr>
          <w:sz w:val="22"/>
          <w:szCs w:val="20"/>
        </w:rPr>
        <w:fldChar w:fldCharType="end"/>
      </w:r>
      <w:r>
        <w:rPr>
          <w:sz w:val="22"/>
          <w:szCs w:val="20"/>
        </w:rPr>
        <w:fldChar w:fldCharType="end"/>
      </w:r>
    </w:p>
    <w:p w14:paraId="1FEF1EA3">
      <w:pPr>
        <w:pStyle w:val="13"/>
        <w:tabs>
          <w:tab w:val="right" w:leader="dot" w:pos="9072"/>
        </w:tabs>
        <w:ind w:left="560"/>
        <w:rPr>
          <w:sz w:val="22"/>
          <w:szCs w:val="20"/>
        </w:rPr>
      </w:pPr>
      <w:r>
        <w:fldChar w:fldCharType="begin"/>
      </w:r>
      <w:r>
        <w:instrText xml:space="preserve"> HYPERLINK \l "_Toc5984" </w:instrText>
      </w:r>
      <w:r>
        <w:fldChar w:fldCharType="separate"/>
      </w:r>
      <w:r>
        <w:rPr>
          <w:rFonts w:hint="eastAsia"/>
          <w:sz w:val="22"/>
          <w:szCs w:val="20"/>
        </w:rPr>
        <w:t>2 设计依据</w:t>
      </w:r>
      <w:r>
        <w:rPr>
          <w:sz w:val="22"/>
          <w:szCs w:val="20"/>
        </w:rPr>
        <w:tab/>
      </w:r>
      <w:r>
        <w:rPr>
          <w:sz w:val="22"/>
          <w:szCs w:val="20"/>
        </w:rPr>
        <w:fldChar w:fldCharType="begin"/>
      </w:r>
      <w:r>
        <w:rPr>
          <w:sz w:val="22"/>
          <w:szCs w:val="20"/>
        </w:rPr>
        <w:instrText xml:space="preserve"> PAGEREF _Toc5984 \h </w:instrText>
      </w:r>
      <w:r>
        <w:rPr>
          <w:sz w:val="22"/>
          <w:szCs w:val="20"/>
        </w:rPr>
        <w:fldChar w:fldCharType="separate"/>
      </w:r>
      <w:r>
        <w:rPr>
          <w:sz w:val="22"/>
          <w:szCs w:val="20"/>
        </w:rPr>
        <w:t>9</w:t>
      </w:r>
      <w:r>
        <w:rPr>
          <w:sz w:val="22"/>
          <w:szCs w:val="20"/>
        </w:rPr>
        <w:fldChar w:fldCharType="end"/>
      </w:r>
      <w:r>
        <w:rPr>
          <w:sz w:val="22"/>
          <w:szCs w:val="20"/>
        </w:rPr>
        <w:fldChar w:fldCharType="end"/>
      </w:r>
    </w:p>
    <w:p w14:paraId="75439401">
      <w:pPr>
        <w:pStyle w:val="13"/>
        <w:tabs>
          <w:tab w:val="right" w:leader="dot" w:pos="9072"/>
        </w:tabs>
        <w:ind w:left="560"/>
        <w:rPr>
          <w:sz w:val="22"/>
          <w:szCs w:val="20"/>
        </w:rPr>
      </w:pPr>
      <w:r>
        <w:fldChar w:fldCharType="begin"/>
      </w:r>
      <w:r>
        <w:instrText xml:space="preserve"> HYPERLINK \l "_Toc29674" </w:instrText>
      </w:r>
      <w:r>
        <w:fldChar w:fldCharType="separate"/>
      </w:r>
      <w:r>
        <w:rPr>
          <w:rFonts w:hint="eastAsia"/>
          <w:sz w:val="22"/>
          <w:szCs w:val="20"/>
        </w:rPr>
        <w:t>3 设计及服务要求</w:t>
      </w:r>
      <w:r>
        <w:rPr>
          <w:sz w:val="22"/>
          <w:szCs w:val="20"/>
        </w:rPr>
        <w:tab/>
      </w:r>
      <w:r>
        <w:rPr>
          <w:sz w:val="22"/>
          <w:szCs w:val="20"/>
        </w:rPr>
        <w:fldChar w:fldCharType="begin"/>
      </w:r>
      <w:r>
        <w:rPr>
          <w:sz w:val="22"/>
          <w:szCs w:val="20"/>
        </w:rPr>
        <w:instrText xml:space="preserve"> PAGEREF _Toc29674 \h </w:instrText>
      </w:r>
      <w:r>
        <w:rPr>
          <w:sz w:val="22"/>
          <w:szCs w:val="20"/>
        </w:rPr>
        <w:fldChar w:fldCharType="separate"/>
      </w:r>
      <w:r>
        <w:rPr>
          <w:sz w:val="22"/>
          <w:szCs w:val="20"/>
        </w:rPr>
        <w:t>9</w:t>
      </w:r>
      <w:r>
        <w:rPr>
          <w:sz w:val="22"/>
          <w:szCs w:val="20"/>
        </w:rPr>
        <w:fldChar w:fldCharType="end"/>
      </w:r>
      <w:r>
        <w:rPr>
          <w:sz w:val="22"/>
          <w:szCs w:val="20"/>
        </w:rPr>
        <w:fldChar w:fldCharType="end"/>
      </w:r>
    </w:p>
    <w:p w14:paraId="4DC2699B">
      <w:pPr>
        <w:pStyle w:val="12"/>
        <w:tabs>
          <w:tab w:val="right" w:leader="dot" w:pos="9072"/>
        </w:tabs>
        <w:ind w:left="560" w:leftChars="200"/>
        <w:rPr>
          <w:sz w:val="22"/>
          <w:szCs w:val="20"/>
        </w:rPr>
      </w:pPr>
      <w:r>
        <w:fldChar w:fldCharType="begin"/>
      </w:r>
      <w:r>
        <w:instrText xml:space="preserve"> HYPERLINK \l "_Toc19593" </w:instrText>
      </w:r>
      <w:r>
        <w:fldChar w:fldCharType="separate"/>
      </w:r>
      <w:r>
        <w:rPr>
          <w:rFonts w:hint="eastAsia"/>
          <w:sz w:val="22"/>
          <w:szCs w:val="20"/>
        </w:rPr>
        <w:t>4 设计文件交付</w:t>
      </w:r>
      <w:r>
        <w:rPr>
          <w:sz w:val="22"/>
          <w:szCs w:val="20"/>
        </w:rPr>
        <w:tab/>
      </w:r>
      <w:r>
        <w:rPr>
          <w:sz w:val="22"/>
          <w:szCs w:val="20"/>
        </w:rPr>
        <w:fldChar w:fldCharType="begin"/>
      </w:r>
      <w:r>
        <w:rPr>
          <w:sz w:val="22"/>
          <w:szCs w:val="20"/>
        </w:rPr>
        <w:instrText xml:space="preserve"> PAGEREF _Toc19593 \h </w:instrText>
      </w:r>
      <w:r>
        <w:rPr>
          <w:sz w:val="22"/>
          <w:szCs w:val="20"/>
        </w:rPr>
        <w:fldChar w:fldCharType="separate"/>
      </w:r>
      <w:r>
        <w:rPr>
          <w:sz w:val="22"/>
          <w:szCs w:val="20"/>
        </w:rPr>
        <w:t>11</w:t>
      </w:r>
      <w:r>
        <w:rPr>
          <w:sz w:val="22"/>
          <w:szCs w:val="20"/>
        </w:rPr>
        <w:fldChar w:fldCharType="end"/>
      </w:r>
      <w:r>
        <w:rPr>
          <w:sz w:val="22"/>
          <w:szCs w:val="20"/>
        </w:rPr>
        <w:fldChar w:fldCharType="end"/>
      </w:r>
    </w:p>
    <w:p w14:paraId="4501FD1C">
      <w:pPr>
        <w:pStyle w:val="12"/>
        <w:tabs>
          <w:tab w:val="right" w:leader="dot" w:pos="9072"/>
        </w:tabs>
        <w:rPr>
          <w:sz w:val="22"/>
          <w:szCs w:val="20"/>
        </w:rPr>
      </w:pPr>
      <w:r>
        <w:fldChar w:fldCharType="begin"/>
      </w:r>
      <w:r>
        <w:instrText xml:space="preserve"> HYPERLINK \l "_Toc1195" </w:instrText>
      </w:r>
      <w:r>
        <w:fldChar w:fldCharType="separate"/>
      </w:r>
      <w:r>
        <w:rPr>
          <w:rFonts w:hint="eastAsia" w:ascii="宋体" w:hAnsi="宋体"/>
          <w:sz w:val="22"/>
          <w:szCs w:val="44"/>
        </w:rPr>
        <w:t>工艺</w:t>
      </w:r>
      <w:r>
        <w:rPr>
          <w:sz w:val="22"/>
          <w:szCs w:val="20"/>
        </w:rPr>
        <w:tab/>
      </w:r>
      <w:r>
        <w:rPr>
          <w:sz w:val="22"/>
          <w:szCs w:val="20"/>
        </w:rPr>
        <w:fldChar w:fldCharType="begin"/>
      </w:r>
      <w:r>
        <w:rPr>
          <w:sz w:val="22"/>
          <w:szCs w:val="20"/>
        </w:rPr>
        <w:instrText xml:space="preserve"> PAGEREF _Toc1195 \h </w:instrText>
      </w:r>
      <w:r>
        <w:rPr>
          <w:sz w:val="22"/>
          <w:szCs w:val="20"/>
        </w:rPr>
        <w:fldChar w:fldCharType="separate"/>
      </w:r>
      <w:r>
        <w:rPr>
          <w:sz w:val="22"/>
          <w:szCs w:val="20"/>
        </w:rPr>
        <w:t>12</w:t>
      </w:r>
      <w:r>
        <w:rPr>
          <w:sz w:val="22"/>
          <w:szCs w:val="20"/>
        </w:rPr>
        <w:fldChar w:fldCharType="end"/>
      </w:r>
      <w:r>
        <w:rPr>
          <w:sz w:val="22"/>
          <w:szCs w:val="20"/>
        </w:rPr>
        <w:fldChar w:fldCharType="end"/>
      </w:r>
    </w:p>
    <w:p w14:paraId="46F74FE2">
      <w:pPr>
        <w:pStyle w:val="12"/>
        <w:tabs>
          <w:tab w:val="right" w:leader="dot" w:pos="9072"/>
        </w:tabs>
        <w:ind w:left="280" w:leftChars="100"/>
        <w:rPr>
          <w:sz w:val="22"/>
          <w:szCs w:val="20"/>
        </w:rPr>
      </w:pPr>
      <w:r>
        <w:fldChar w:fldCharType="begin"/>
      </w:r>
      <w:r>
        <w:instrText xml:space="preserve"> HYPERLINK \l "_Toc12347" </w:instrText>
      </w:r>
      <w:r>
        <w:fldChar w:fldCharType="separate"/>
      </w:r>
      <w:r>
        <w:rPr>
          <w:rFonts w:hint="eastAsia"/>
          <w:sz w:val="22"/>
          <w:szCs w:val="20"/>
        </w:rPr>
        <w:t>一、工程概况</w:t>
      </w:r>
      <w:r>
        <w:rPr>
          <w:sz w:val="22"/>
          <w:szCs w:val="20"/>
        </w:rPr>
        <w:tab/>
      </w:r>
      <w:r>
        <w:rPr>
          <w:sz w:val="22"/>
          <w:szCs w:val="20"/>
        </w:rPr>
        <w:fldChar w:fldCharType="begin"/>
      </w:r>
      <w:r>
        <w:rPr>
          <w:sz w:val="22"/>
          <w:szCs w:val="20"/>
        </w:rPr>
        <w:instrText xml:space="preserve"> PAGEREF _Toc12347 \h </w:instrText>
      </w:r>
      <w:r>
        <w:rPr>
          <w:sz w:val="22"/>
          <w:szCs w:val="20"/>
        </w:rPr>
        <w:fldChar w:fldCharType="separate"/>
      </w:r>
      <w:r>
        <w:rPr>
          <w:sz w:val="22"/>
          <w:szCs w:val="20"/>
        </w:rPr>
        <w:t>13</w:t>
      </w:r>
      <w:r>
        <w:rPr>
          <w:sz w:val="22"/>
          <w:szCs w:val="20"/>
        </w:rPr>
        <w:fldChar w:fldCharType="end"/>
      </w:r>
      <w:r>
        <w:rPr>
          <w:sz w:val="22"/>
          <w:szCs w:val="20"/>
        </w:rPr>
        <w:fldChar w:fldCharType="end"/>
      </w:r>
    </w:p>
    <w:p w14:paraId="67C1D36F">
      <w:pPr>
        <w:pStyle w:val="13"/>
        <w:tabs>
          <w:tab w:val="right" w:leader="dot" w:pos="9072"/>
        </w:tabs>
        <w:ind w:left="560"/>
        <w:rPr>
          <w:sz w:val="22"/>
          <w:szCs w:val="20"/>
        </w:rPr>
      </w:pPr>
      <w:r>
        <w:fldChar w:fldCharType="begin"/>
      </w:r>
      <w:r>
        <w:instrText xml:space="preserve"> HYPERLINK \l "_Toc9173" </w:instrText>
      </w:r>
      <w:r>
        <w:fldChar w:fldCharType="separate"/>
      </w:r>
      <w:r>
        <w:rPr>
          <w:rFonts w:hint="eastAsia"/>
          <w:sz w:val="22"/>
          <w:szCs w:val="20"/>
        </w:rPr>
        <w:t>1 工程简介</w:t>
      </w:r>
      <w:r>
        <w:rPr>
          <w:sz w:val="22"/>
          <w:szCs w:val="20"/>
        </w:rPr>
        <w:tab/>
      </w:r>
      <w:r>
        <w:rPr>
          <w:sz w:val="22"/>
          <w:szCs w:val="20"/>
        </w:rPr>
        <w:fldChar w:fldCharType="begin"/>
      </w:r>
      <w:r>
        <w:rPr>
          <w:sz w:val="22"/>
          <w:szCs w:val="20"/>
        </w:rPr>
        <w:instrText xml:space="preserve"> PAGEREF _Toc9173 \h </w:instrText>
      </w:r>
      <w:r>
        <w:rPr>
          <w:sz w:val="22"/>
          <w:szCs w:val="20"/>
        </w:rPr>
        <w:fldChar w:fldCharType="separate"/>
      </w:r>
      <w:r>
        <w:rPr>
          <w:sz w:val="22"/>
          <w:szCs w:val="20"/>
        </w:rPr>
        <w:t>13</w:t>
      </w:r>
      <w:r>
        <w:rPr>
          <w:sz w:val="22"/>
          <w:szCs w:val="20"/>
        </w:rPr>
        <w:fldChar w:fldCharType="end"/>
      </w:r>
      <w:r>
        <w:rPr>
          <w:sz w:val="22"/>
          <w:szCs w:val="20"/>
        </w:rPr>
        <w:fldChar w:fldCharType="end"/>
      </w:r>
    </w:p>
    <w:p w14:paraId="2CF72762">
      <w:pPr>
        <w:pStyle w:val="13"/>
        <w:tabs>
          <w:tab w:val="right" w:leader="dot" w:pos="9072"/>
        </w:tabs>
        <w:ind w:left="560"/>
        <w:rPr>
          <w:sz w:val="22"/>
          <w:szCs w:val="20"/>
        </w:rPr>
      </w:pPr>
      <w:r>
        <w:fldChar w:fldCharType="begin"/>
      </w:r>
      <w:r>
        <w:instrText xml:space="preserve"> HYPERLINK \l "_Toc20372" </w:instrText>
      </w:r>
      <w:r>
        <w:fldChar w:fldCharType="separate"/>
      </w:r>
      <w:r>
        <w:rPr>
          <w:sz w:val="22"/>
          <w:szCs w:val="20"/>
        </w:rPr>
        <w:t>2</w:t>
      </w:r>
      <w:r>
        <w:rPr>
          <w:rFonts w:hint="eastAsia"/>
          <w:sz w:val="22"/>
          <w:szCs w:val="20"/>
        </w:rPr>
        <w:t xml:space="preserve"> </w:t>
      </w:r>
      <w:r>
        <w:rPr>
          <w:sz w:val="22"/>
          <w:szCs w:val="20"/>
        </w:rPr>
        <w:t>工厂位置</w:t>
      </w:r>
      <w:r>
        <w:rPr>
          <w:sz w:val="22"/>
          <w:szCs w:val="20"/>
        </w:rPr>
        <w:tab/>
      </w:r>
      <w:r>
        <w:rPr>
          <w:sz w:val="22"/>
          <w:szCs w:val="20"/>
        </w:rPr>
        <w:fldChar w:fldCharType="begin"/>
      </w:r>
      <w:r>
        <w:rPr>
          <w:sz w:val="22"/>
          <w:szCs w:val="20"/>
        </w:rPr>
        <w:instrText xml:space="preserve"> PAGEREF _Toc20372 \h </w:instrText>
      </w:r>
      <w:r>
        <w:rPr>
          <w:sz w:val="22"/>
          <w:szCs w:val="20"/>
        </w:rPr>
        <w:fldChar w:fldCharType="separate"/>
      </w:r>
      <w:r>
        <w:rPr>
          <w:sz w:val="22"/>
          <w:szCs w:val="20"/>
        </w:rPr>
        <w:t>13</w:t>
      </w:r>
      <w:r>
        <w:rPr>
          <w:sz w:val="22"/>
          <w:szCs w:val="20"/>
        </w:rPr>
        <w:fldChar w:fldCharType="end"/>
      </w:r>
      <w:r>
        <w:rPr>
          <w:sz w:val="22"/>
          <w:szCs w:val="20"/>
        </w:rPr>
        <w:fldChar w:fldCharType="end"/>
      </w:r>
    </w:p>
    <w:p w14:paraId="4A86CA23">
      <w:pPr>
        <w:pStyle w:val="13"/>
        <w:tabs>
          <w:tab w:val="right" w:leader="dot" w:pos="9072"/>
        </w:tabs>
        <w:ind w:left="560"/>
        <w:rPr>
          <w:sz w:val="22"/>
          <w:szCs w:val="20"/>
        </w:rPr>
      </w:pPr>
      <w:r>
        <w:fldChar w:fldCharType="begin"/>
      </w:r>
      <w:r>
        <w:instrText xml:space="preserve"> HYPERLINK \l "_Toc15456" </w:instrText>
      </w:r>
      <w:r>
        <w:fldChar w:fldCharType="separate"/>
      </w:r>
      <w:r>
        <w:rPr>
          <w:sz w:val="22"/>
          <w:szCs w:val="20"/>
        </w:rPr>
        <w:t>3</w:t>
      </w:r>
      <w:r>
        <w:rPr>
          <w:rFonts w:hint="eastAsia"/>
          <w:sz w:val="22"/>
          <w:szCs w:val="20"/>
        </w:rPr>
        <w:t xml:space="preserve"> </w:t>
      </w:r>
      <w:r>
        <w:rPr>
          <w:sz w:val="22"/>
          <w:szCs w:val="20"/>
        </w:rPr>
        <w:t>气象条件</w:t>
      </w:r>
      <w:r>
        <w:rPr>
          <w:sz w:val="22"/>
          <w:szCs w:val="20"/>
        </w:rPr>
        <w:tab/>
      </w:r>
      <w:r>
        <w:rPr>
          <w:sz w:val="22"/>
          <w:szCs w:val="20"/>
        </w:rPr>
        <w:fldChar w:fldCharType="begin"/>
      </w:r>
      <w:r>
        <w:rPr>
          <w:sz w:val="22"/>
          <w:szCs w:val="20"/>
        </w:rPr>
        <w:instrText xml:space="preserve"> PAGEREF _Toc15456 \h </w:instrText>
      </w:r>
      <w:r>
        <w:rPr>
          <w:sz w:val="22"/>
          <w:szCs w:val="20"/>
        </w:rPr>
        <w:fldChar w:fldCharType="separate"/>
      </w:r>
      <w:r>
        <w:rPr>
          <w:sz w:val="22"/>
          <w:szCs w:val="20"/>
        </w:rPr>
        <w:t>13</w:t>
      </w:r>
      <w:r>
        <w:rPr>
          <w:sz w:val="22"/>
          <w:szCs w:val="20"/>
        </w:rPr>
        <w:fldChar w:fldCharType="end"/>
      </w:r>
      <w:r>
        <w:rPr>
          <w:sz w:val="22"/>
          <w:szCs w:val="20"/>
        </w:rPr>
        <w:fldChar w:fldCharType="end"/>
      </w:r>
    </w:p>
    <w:p w14:paraId="22AB41F6">
      <w:pPr>
        <w:pStyle w:val="13"/>
        <w:tabs>
          <w:tab w:val="right" w:leader="dot" w:pos="9072"/>
        </w:tabs>
        <w:ind w:left="560"/>
        <w:rPr>
          <w:sz w:val="22"/>
          <w:szCs w:val="20"/>
        </w:rPr>
      </w:pPr>
      <w:r>
        <w:fldChar w:fldCharType="begin"/>
      </w:r>
      <w:r>
        <w:instrText xml:space="preserve"> HYPERLINK \l "_Toc23252" </w:instrText>
      </w:r>
      <w:r>
        <w:fldChar w:fldCharType="separate"/>
      </w:r>
      <w:r>
        <w:rPr>
          <w:sz w:val="22"/>
          <w:szCs w:val="20"/>
        </w:rPr>
        <w:t>4</w:t>
      </w:r>
      <w:r>
        <w:rPr>
          <w:rFonts w:hint="eastAsia"/>
          <w:sz w:val="22"/>
          <w:szCs w:val="20"/>
        </w:rPr>
        <w:t xml:space="preserve"> </w:t>
      </w:r>
      <w:r>
        <w:rPr>
          <w:sz w:val="22"/>
          <w:szCs w:val="20"/>
        </w:rPr>
        <w:t>地震基本烈度</w:t>
      </w:r>
      <w:r>
        <w:rPr>
          <w:sz w:val="22"/>
          <w:szCs w:val="20"/>
        </w:rPr>
        <w:tab/>
      </w:r>
      <w:r>
        <w:rPr>
          <w:sz w:val="22"/>
          <w:szCs w:val="20"/>
        </w:rPr>
        <w:fldChar w:fldCharType="begin"/>
      </w:r>
      <w:r>
        <w:rPr>
          <w:sz w:val="22"/>
          <w:szCs w:val="20"/>
        </w:rPr>
        <w:instrText xml:space="preserve"> PAGEREF _Toc23252 \h </w:instrText>
      </w:r>
      <w:r>
        <w:rPr>
          <w:sz w:val="22"/>
          <w:szCs w:val="20"/>
        </w:rPr>
        <w:fldChar w:fldCharType="separate"/>
      </w:r>
      <w:r>
        <w:rPr>
          <w:sz w:val="22"/>
          <w:szCs w:val="20"/>
        </w:rPr>
        <w:t>13</w:t>
      </w:r>
      <w:r>
        <w:rPr>
          <w:sz w:val="22"/>
          <w:szCs w:val="20"/>
        </w:rPr>
        <w:fldChar w:fldCharType="end"/>
      </w:r>
      <w:r>
        <w:rPr>
          <w:sz w:val="22"/>
          <w:szCs w:val="20"/>
        </w:rPr>
        <w:fldChar w:fldCharType="end"/>
      </w:r>
    </w:p>
    <w:p w14:paraId="55070142">
      <w:pPr>
        <w:pStyle w:val="13"/>
        <w:tabs>
          <w:tab w:val="right" w:leader="dot" w:pos="9072"/>
        </w:tabs>
        <w:ind w:left="560"/>
        <w:rPr>
          <w:sz w:val="22"/>
          <w:szCs w:val="20"/>
        </w:rPr>
      </w:pPr>
      <w:r>
        <w:fldChar w:fldCharType="begin"/>
      </w:r>
      <w:r>
        <w:instrText xml:space="preserve"> HYPERLINK \l "_Toc29219" </w:instrText>
      </w:r>
      <w:r>
        <w:fldChar w:fldCharType="separate"/>
      </w:r>
      <w:r>
        <w:rPr>
          <w:sz w:val="22"/>
          <w:szCs w:val="20"/>
        </w:rPr>
        <w:t>5</w:t>
      </w:r>
      <w:r>
        <w:rPr>
          <w:rFonts w:hint="eastAsia"/>
          <w:sz w:val="22"/>
          <w:szCs w:val="20"/>
        </w:rPr>
        <w:t xml:space="preserve"> </w:t>
      </w:r>
      <w:r>
        <w:rPr>
          <w:sz w:val="22"/>
          <w:szCs w:val="20"/>
        </w:rPr>
        <w:t>公用工程条件</w:t>
      </w:r>
      <w:r>
        <w:rPr>
          <w:sz w:val="22"/>
          <w:szCs w:val="20"/>
        </w:rPr>
        <w:tab/>
      </w:r>
      <w:r>
        <w:rPr>
          <w:sz w:val="22"/>
          <w:szCs w:val="20"/>
        </w:rPr>
        <w:fldChar w:fldCharType="begin"/>
      </w:r>
      <w:r>
        <w:rPr>
          <w:sz w:val="22"/>
          <w:szCs w:val="20"/>
        </w:rPr>
        <w:instrText xml:space="preserve"> PAGEREF _Toc29219 \h </w:instrText>
      </w:r>
      <w:r>
        <w:rPr>
          <w:sz w:val="22"/>
          <w:szCs w:val="20"/>
        </w:rPr>
        <w:fldChar w:fldCharType="separate"/>
      </w:r>
      <w:r>
        <w:rPr>
          <w:sz w:val="22"/>
          <w:szCs w:val="20"/>
        </w:rPr>
        <w:t>14</w:t>
      </w:r>
      <w:r>
        <w:rPr>
          <w:sz w:val="22"/>
          <w:szCs w:val="20"/>
        </w:rPr>
        <w:fldChar w:fldCharType="end"/>
      </w:r>
      <w:r>
        <w:rPr>
          <w:sz w:val="22"/>
          <w:szCs w:val="20"/>
        </w:rPr>
        <w:fldChar w:fldCharType="end"/>
      </w:r>
    </w:p>
    <w:p w14:paraId="314977F0">
      <w:pPr>
        <w:pStyle w:val="12"/>
        <w:tabs>
          <w:tab w:val="right" w:leader="dot" w:pos="9072"/>
        </w:tabs>
        <w:ind w:left="280" w:leftChars="100"/>
        <w:rPr>
          <w:sz w:val="22"/>
          <w:szCs w:val="20"/>
        </w:rPr>
      </w:pPr>
      <w:r>
        <w:fldChar w:fldCharType="begin"/>
      </w:r>
      <w:r>
        <w:instrText xml:space="preserve"> HYPERLINK \l "_Toc12450" </w:instrText>
      </w:r>
      <w:r>
        <w:fldChar w:fldCharType="separate"/>
      </w:r>
      <w:r>
        <w:rPr>
          <w:rFonts w:hint="eastAsia"/>
          <w:sz w:val="22"/>
          <w:szCs w:val="20"/>
        </w:rPr>
        <w:t>二、备料工段</w:t>
      </w:r>
      <w:r>
        <w:rPr>
          <w:sz w:val="22"/>
          <w:szCs w:val="20"/>
        </w:rPr>
        <w:tab/>
      </w:r>
      <w:r>
        <w:rPr>
          <w:sz w:val="22"/>
          <w:szCs w:val="20"/>
        </w:rPr>
        <w:fldChar w:fldCharType="begin"/>
      </w:r>
      <w:r>
        <w:rPr>
          <w:sz w:val="22"/>
          <w:szCs w:val="20"/>
        </w:rPr>
        <w:instrText xml:space="preserve"> PAGEREF _Toc12450 \h </w:instrText>
      </w:r>
      <w:r>
        <w:rPr>
          <w:sz w:val="22"/>
          <w:szCs w:val="20"/>
        </w:rPr>
        <w:fldChar w:fldCharType="separate"/>
      </w:r>
      <w:r>
        <w:rPr>
          <w:sz w:val="22"/>
          <w:szCs w:val="20"/>
        </w:rPr>
        <w:t>15</w:t>
      </w:r>
      <w:r>
        <w:rPr>
          <w:sz w:val="22"/>
          <w:szCs w:val="20"/>
        </w:rPr>
        <w:fldChar w:fldCharType="end"/>
      </w:r>
      <w:r>
        <w:rPr>
          <w:sz w:val="22"/>
          <w:szCs w:val="20"/>
        </w:rPr>
        <w:fldChar w:fldCharType="end"/>
      </w:r>
    </w:p>
    <w:p w14:paraId="61D6E071">
      <w:pPr>
        <w:pStyle w:val="13"/>
        <w:tabs>
          <w:tab w:val="right" w:leader="dot" w:pos="9072"/>
        </w:tabs>
        <w:ind w:left="560"/>
        <w:rPr>
          <w:sz w:val="22"/>
          <w:szCs w:val="20"/>
        </w:rPr>
      </w:pPr>
      <w:r>
        <w:fldChar w:fldCharType="begin"/>
      </w:r>
      <w:r>
        <w:instrText xml:space="preserve"> HYPERLINK \l "_Toc4754" </w:instrText>
      </w:r>
      <w:r>
        <w:fldChar w:fldCharType="separate"/>
      </w:r>
      <w:r>
        <w:rPr>
          <w:rFonts w:hint="eastAsia"/>
          <w:sz w:val="22"/>
          <w:szCs w:val="20"/>
        </w:rPr>
        <w:t>1 技术简要说明</w:t>
      </w:r>
      <w:r>
        <w:rPr>
          <w:sz w:val="22"/>
          <w:szCs w:val="20"/>
        </w:rPr>
        <w:tab/>
      </w:r>
      <w:r>
        <w:rPr>
          <w:sz w:val="22"/>
          <w:szCs w:val="20"/>
        </w:rPr>
        <w:fldChar w:fldCharType="begin"/>
      </w:r>
      <w:r>
        <w:rPr>
          <w:sz w:val="22"/>
          <w:szCs w:val="20"/>
        </w:rPr>
        <w:instrText xml:space="preserve"> PAGEREF _Toc4754 \h </w:instrText>
      </w:r>
      <w:r>
        <w:rPr>
          <w:sz w:val="22"/>
          <w:szCs w:val="20"/>
        </w:rPr>
        <w:fldChar w:fldCharType="separate"/>
      </w:r>
      <w:r>
        <w:rPr>
          <w:sz w:val="22"/>
          <w:szCs w:val="20"/>
        </w:rPr>
        <w:t>15</w:t>
      </w:r>
      <w:r>
        <w:rPr>
          <w:sz w:val="22"/>
          <w:szCs w:val="20"/>
        </w:rPr>
        <w:fldChar w:fldCharType="end"/>
      </w:r>
      <w:r>
        <w:rPr>
          <w:sz w:val="22"/>
          <w:szCs w:val="20"/>
        </w:rPr>
        <w:fldChar w:fldCharType="end"/>
      </w:r>
    </w:p>
    <w:p w14:paraId="0397FB61">
      <w:pPr>
        <w:pStyle w:val="13"/>
        <w:tabs>
          <w:tab w:val="right" w:leader="dot" w:pos="9072"/>
        </w:tabs>
        <w:ind w:left="560"/>
        <w:rPr>
          <w:sz w:val="22"/>
          <w:szCs w:val="20"/>
        </w:rPr>
      </w:pPr>
      <w:r>
        <w:fldChar w:fldCharType="begin"/>
      </w:r>
      <w:r>
        <w:instrText xml:space="preserve"> HYPERLINK \l "_Toc21605" </w:instrText>
      </w:r>
      <w:r>
        <w:fldChar w:fldCharType="separate"/>
      </w:r>
      <w:r>
        <w:rPr>
          <w:sz w:val="22"/>
          <w:szCs w:val="20"/>
        </w:rPr>
        <w:t>2</w:t>
      </w:r>
      <w:r>
        <w:rPr>
          <w:rFonts w:hint="eastAsia"/>
          <w:sz w:val="22"/>
          <w:szCs w:val="20"/>
        </w:rPr>
        <w:t xml:space="preserve"> 原料参数</w:t>
      </w:r>
      <w:r>
        <w:rPr>
          <w:sz w:val="22"/>
          <w:szCs w:val="20"/>
        </w:rPr>
        <w:tab/>
      </w:r>
      <w:r>
        <w:rPr>
          <w:sz w:val="22"/>
          <w:szCs w:val="20"/>
        </w:rPr>
        <w:fldChar w:fldCharType="begin"/>
      </w:r>
      <w:r>
        <w:rPr>
          <w:sz w:val="22"/>
          <w:szCs w:val="20"/>
        </w:rPr>
        <w:instrText xml:space="preserve"> PAGEREF _Toc21605 \h </w:instrText>
      </w:r>
      <w:r>
        <w:rPr>
          <w:sz w:val="22"/>
          <w:szCs w:val="20"/>
        </w:rPr>
        <w:fldChar w:fldCharType="separate"/>
      </w:r>
      <w:r>
        <w:rPr>
          <w:sz w:val="22"/>
          <w:szCs w:val="20"/>
        </w:rPr>
        <w:t>18</w:t>
      </w:r>
      <w:r>
        <w:rPr>
          <w:sz w:val="22"/>
          <w:szCs w:val="20"/>
        </w:rPr>
        <w:fldChar w:fldCharType="end"/>
      </w:r>
      <w:r>
        <w:rPr>
          <w:sz w:val="22"/>
          <w:szCs w:val="20"/>
        </w:rPr>
        <w:fldChar w:fldCharType="end"/>
      </w:r>
    </w:p>
    <w:p w14:paraId="19D91EC6">
      <w:pPr>
        <w:pStyle w:val="13"/>
        <w:tabs>
          <w:tab w:val="right" w:leader="dot" w:pos="9072"/>
        </w:tabs>
        <w:ind w:left="560"/>
        <w:rPr>
          <w:sz w:val="22"/>
          <w:szCs w:val="20"/>
        </w:rPr>
      </w:pPr>
      <w:r>
        <w:fldChar w:fldCharType="begin"/>
      </w:r>
      <w:r>
        <w:instrText xml:space="preserve"> HYPERLINK \l "_Toc22583" </w:instrText>
      </w:r>
      <w:r>
        <w:fldChar w:fldCharType="separate"/>
      </w:r>
      <w:r>
        <w:rPr>
          <w:rFonts w:hint="eastAsia"/>
          <w:sz w:val="22"/>
          <w:szCs w:val="20"/>
          <w:lang w:val="zh-CN"/>
        </w:rPr>
        <w:t>3</w:t>
      </w:r>
      <w:r>
        <w:rPr>
          <w:rFonts w:hint="eastAsia"/>
          <w:sz w:val="22"/>
          <w:szCs w:val="20"/>
        </w:rPr>
        <w:t xml:space="preserve"> </w:t>
      </w:r>
      <w:r>
        <w:rPr>
          <w:rFonts w:hint="eastAsia"/>
          <w:sz w:val="22"/>
          <w:szCs w:val="20"/>
          <w:lang w:val="zh-CN"/>
        </w:rPr>
        <w:t>主要技术指标</w:t>
      </w:r>
      <w:r>
        <w:rPr>
          <w:sz w:val="22"/>
          <w:szCs w:val="20"/>
        </w:rPr>
        <w:tab/>
      </w:r>
      <w:r>
        <w:rPr>
          <w:sz w:val="22"/>
          <w:szCs w:val="20"/>
        </w:rPr>
        <w:fldChar w:fldCharType="begin"/>
      </w:r>
      <w:r>
        <w:rPr>
          <w:sz w:val="22"/>
          <w:szCs w:val="20"/>
        </w:rPr>
        <w:instrText xml:space="preserve"> PAGEREF _Toc22583 \h </w:instrText>
      </w:r>
      <w:r>
        <w:rPr>
          <w:sz w:val="22"/>
          <w:szCs w:val="20"/>
        </w:rPr>
        <w:fldChar w:fldCharType="separate"/>
      </w:r>
      <w:r>
        <w:rPr>
          <w:sz w:val="22"/>
          <w:szCs w:val="20"/>
        </w:rPr>
        <w:t>18</w:t>
      </w:r>
      <w:r>
        <w:rPr>
          <w:sz w:val="22"/>
          <w:szCs w:val="20"/>
        </w:rPr>
        <w:fldChar w:fldCharType="end"/>
      </w:r>
      <w:r>
        <w:rPr>
          <w:sz w:val="22"/>
          <w:szCs w:val="20"/>
        </w:rPr>
        <w:fldChar w:fldCharType="end"/>
      </w:r>
    </w:p>
    <w:p w14:paraId="12C2BF04">
      <w:pPr>
        <w:pStyle w:val="13"/>
        <w:tabs>
          <w:tab w:val="right" w:leader="dot" w:pos="9072"/>
        </w:tabs>
        <w:ind w:left="560"/>
        <w:rPr>
          <w:sz w:val="22"/>
          <w:szCs w:val="20"/>
        </w:rPr>
      </w:pPr>
      <w:r>
        <w:fldChar w:fldCharType="begin"/>
      </w:r>
      <w:r>
        <w:instrText xml:space="preserve"> HYPERLINK \l "_Toc12372" </w:instrText>
      </w:r>
      <w:r>
        <w:fldChar w:fldCharType="separate"/>
      </w:r>
      <w:r>
        <w:rPr>
          <w:rFonts w:hint="eastAsia"/>
          <w:sz w:val="22"/>
          <w:szCs w:val="20"/>
        </w:rPr>
        <w:t>4 原料筛洗选后的质量要求</w:t>
      </w:r>
      <w:r>
        <w:rPr>
          <w:sz w:val="22"/>
          <w:szCs w:val="20"/>
        </w:rPr>
        <w:tab/>
      </w:r>
      <w:r>
        <w:rPr>
          <w:sz w:val="22"/>
          <w:szCs w:val="20"/>
        </w:rPr>
        <w:fldChar w:fldCharType="begin"/>
      </w:r>
      <w:r>
        <w:rPr>
          <w:sz w:val="22"/>
          <w:szCs w:val="20"/>
        </w:rPr>
        <w:instrText xml:space="preserve"> PAGEREF _Toc12372 \h </w:instrText>
      </w:r>
      <w:r>
        <w:rPr>
          <w:sz w:val="22"/>
          <w:szCs w:val="20"/>
        </w:rPr>
        <w:fldChar w:fldCharType="separate"/>
      </w:r>
      <w:r>
        <w:rPr>
          <w:sz w:val="22"/>
          <w:szCs w:val="20"/>
        </w:rPr>
        <w:t>18</w:t>
      </w:r>
      <w:r>
        <w:rPr>
          <w:sz w:val="22"/>
          <w:szCs w:val="20"/>
        </w:rPr>
        <w:fldChar w:fldCharType="end"/>
      </w:r>
      <w:r>
        <w:rPr>
          <w:sz w:val="22"/>
          <w:szCs w:val="20"/>
        </w:rPr>
        <w:fldChar w:fldCharType="end"/>
      </w:r>
    </w:p>
    <w:p w14:paraId="4811C08E">
      <w:pPr>
        <w:pStyle w:val="13"/>
        <w:tabs>
          <w:tab w:val="right" w:leader="dot" w:pos="9072"/>
        </w:tabs>
        <w:ind w:left="560"/>
        <w:rPr>
          <w:sz w:val="22"/>
          <w:szCs w:val="20"/>
        </w:rPr>
      </w:pPr>
      <w:r>
        <w:fldChar w:fldCharType="begin"/>
      </w:r>
      <w:r>
        <w:instrText xml:space="preserve"> HYPERLINK \l "_Toc32496" </w:instrText>
      </w:r>
      <w:r>
        <w:fldChar w:fldCharType="separate"/>
      </w:r>
      <w:r>
        <w:rPr>
          <w:rFonts w:hint="eastAsia"/>
          <w:sz w:val="22"/>
          <w:szCs w:val="20"/>
        </w:rPr>
        <w:t>5 设备</w:t>
      </w:r>
      <w:r>
        <w:rPr>
          <w:sz w:val="22"/>
          <w:szCs w:val="20"/>
        </w:rPr>
        <w:tab/>
      </w:r>
      <w:r>
        <w:rPr>
          <w:sz w:val="22"/>
          <w:szCs w:val="20"/>
        </w:rPr>
        <w:fldChar w:fldCharType="begin"/>
      </w:r>
      <w:r>
        <w:rPr>
          <w:sz w:val="22"/>
          <w:szCs w:val="20"/>
        </w:rPr>
        <w:instrText xml:space="preserve"> PAGEREF _Toc32496 \h </w:instrText>
      </w:r>
      <w:r>
        <w:rPr>
          <w:sz w:val="22"/>
          <w:szCs w:val="20"/>
        </w:rPr>
        <w:fldChar w:fldCharType="separate"/>
      </w:r>
      <w:r>
        <w:rPr>
          <w:sz w:val="22"/>
          <w:szCs w:val="20"/>
        </w:rPr>
        <w:t>19</w:t>
      </w:r>
      <w:r>
        <w:rPr>
          <w:sz w:val="22"/>
          <w:szCs w:val="20"/>
        </w:rPr>
        <w:fldChar w:fldCharType="end"/>
      </w:r>
      <w:r>
        <w:rPr>
          <w:sz w:val="22"/>
          <w:szCs w:val="20"/>
        </w:rPr>
        <w:fldChar w:fldCharType="end"/>
      </w:r>
    </w:p>
    <w:p w14:paraId="4778E8E9">
      <w:pPr>
        <w:pStyle w:val="12"/>
        <w:tabs>
          <w:tab w:val="right" w:leader="dot" w:pos="9072"/>
        </w:tabs>
        <w:ind w:left="280" w:leftChars="100"/>
        <w:rPr>
          <w:sz w:val="22"/>
          <w:szCs w:val="20"/>
        </w:rPr>
      </w:pPr>
      <w:r>
        <w:fldChar w:fldCharType="begin"/>
      </w:r>
      <w:r>
        <w:instrText xml:space="preserve"> HYPERLINK \l "_Toc18742" </w:instrText>
      </w:r>
      <w:r>
        <w:fldChar w:fldCharType="separate"/>
      </w:r>
      <w:r>
        <w:rPr>
          <w:rFonts w:hint="eastAsia"/>
          <w:sz w:val="22"/>
          <w:szCs w:val="20"/>
        </w:rPr>
        <w:t>三、蒸煮工段</w:t>
      </w:r>
      <w:r>
        <w:rPr>
          <w:sz w:val="22"/>
          <w:szCs w:val="20"/>
        </w:rPr>
        <w:tab/>
      </w:r>
      <w:r>
        <w:rPr>
          <w:sz w:val="22"/>
          <w:szCs w:val="20"/>
        </w:rPr>
        <w:fldChar w:fldCharType="begin"/>
      </w:r>
      <w:r>
        <w:rPr>
          <w:sz w:val="22"/>
          <w:szCs w:val="20"/>
        </w:rPr>
        <w:instrText xml:space="preserve"> PAGEREF _Toc18742 \h </w:instrText>
      </w:r>
      <w:r>
        <w:rPr>
          <w:sz w:val="22"/>
          <w:szCs w:val="20"/>
        </w:rPr>
        <w:fldChar w:fldCharType="separate"/>
      </w:r>
      <w:r>
        <w:rPr>
          <w:sz w:val="22"/>
          <w:szCs w:val="20"/>
        </w:rPr>
        <w:t>20</w:t>
      </w:r>
      <w:r>
        <w:rPr>
          <w:sz w:val="22"/>
          <w:szCs w:val="20"/>
        </w:rPr>
        <w:fldChar w:fldCharType="end"/>
      </w:r>
      <w:r>
        <w:rPr>
          <w:sz w:val="22"/>
          <w:szCs w:val="20"/>
        </w:rPr>
        <w:fldChar w:fldCharType="end"/>
      </w:r>
    </w:p>
    <w:p w14:paraId="7A87D460">
      <w:pPr>
        <w:pStyle w:val="13"/>
        <w:tabs>
          <w:tab w:val="right" w:leader="dot" w:pos="9072"/>
        </w:tabs>
        <w:ind w:left="560"/>
        <w:rPr>
          <w:sz w:val="22"/>
          <w:szCs w:val="20"/>
        </w:rPr>
      </w:pPr>
      <w:r>
        <w:fldChar w:fldCharType="begin"/>
      </w:r>
      <w:r>
        <w:instrText xml:space="preserve"> HYPERLINK \l "_Toc22340" </w:instrText>
      </w:r>
      <w:r>
        <w:fldChar w:fldCharType="separate"/>
      </w:r>
      <w:r>
        <w:rPr>
          <w:rFonts w:hint="eastAsia"/>
          <w:sz w:val="22"/>
          <w:szCs w:val="20"/>
        </w:rPr>
        <w:t>1 技术简要说明</w:t>
      </w:r>
      <w:r>
        <w:rPr>
          <w:sz w:val="22"/>
          <w:szCs w:val="20"/>
        </w:rPr>
        <w:tab/>
      </w:r>
      <w:r>
        <w:rPr>
          <w:sz w:val="22"/>
          <w:szCs w:val="20"/>
        </w:rPr>
        <w:fldChar w:fldCharType="begin"/>
      </w:r>
      <w:r>
        <w:rPr>
          <w:sz w:val="22"/>
          <w:szCs w:val="20"/>
        </w:rPr>
        <w:instrText xml:space="preserve"> PAGEREF _Toc22340 \h </w:instrText>
      </w:r>
      <w:r>
        <w:rPr>
          <w:sz w:val="22"/>
          <w:szCs w:val="20"/>
        </w:rPr>
        <w:fldChar w:fldCharType="separate"/>
      </w:r>
      <w:r>
        <w:rPr>
          <w:sz w:val="22"/>
          <w:szCs w:val="20"/>
        </w:rPr>
        <w:t>20</w:t>
      </w:r>
      <w:r>
        <w:rPr>
          <w:sz w:val="22"/>
          <w:szCs w:val="20"/>
        </w:rPr>
        <w:fldChar w:fldCharType="end"/>
      </w:r>
      <w:r>
        <w:rPr>
          <w:sz w:val="22"/>
          <w:szCs w:val="20"/>
        </w:rPr>
        <w:fldChar w:fldCharType="end"/>
      </w:r>
    </w:p>
    <w:p w14:paraId="42239D4C">
      <w:pPr>
        <w:pStyle w:val="13"/>
        <w:tabs>
          <w:tab w:val="right" w:leader="dot" w:pos="9072"/>
        </w:tabs>
        <w:ind w:left="560"/>
        <w:rPr>
          <w:sz w:val="22"/>
          <w:szCs w:val="20"/>
        </w:rPr>
      </w:pPr>
      <w:r>
        <w:fldChar w:fldCharType="begin"/>
      </w:r>
      <w:r>
        <w:instrText xml:space="preserve"> HYPERLINK \l "_Toc30949" </w:instrText>
      </w:r>
      <w:r>
        <w:fldChar w:fldCharType="separate"/>
      </w:r>
      <w:r>
        <w:rPr>
          <w:rFonts w:hint="eastAsia"/>
          <w:sz w:val="22"/>
          <w:szCs w:val="20"/>
        </w:rPr>
        <w:t>2 技术指标</w:t>
      </w:r>
      <w:r>
        <w:rPr>
          <w:sz w:val="22"/>
          <w:szCs w:val="20"/>
        </w:rPr>
        <w:tab/>
      </w:r>
      <w:r>
        <w:rPr>
          <w:sz w:val="22"/>
          <w:szCs w:val="20"/>
        </w:rPr>
        <w:fldChar w:fldCharType="begin"/>
      </w:r>
      <w:r>
        <w:rPr>
          <w:sz w:val="22"/>
          <w:szCs w:val="20"/>
        </w:rPr>
        <w:instrText xml:space="preserve"> PAGEREF _Toc30949 \h </w:instrText>
      </w:r>
      <w:r>
        <w:rPr>
          <w:sz w:val="22"/>
          <w:szCs w:val="20"/>
        </w:rPr>
        <w:fldChar w:fldCharType="separate"/>
      </w:r>
      <w:r>
        <w:rPr>
          <w:sz w:val="22"/>
          <w:szCs w:val="20"/>
        </w:rPr>
        <w:t>21</w:t>
      </w:r>
      <w:r>
        <w:rPr>
          <w:sz w:val="22"/>
          <w:szCs w:val="20"/>
        </w:rPr>
        <w:fldChar w:fldCharType="end"/>
      </w:r>
      <w:r>
        <w:rPr>
          <w:sz w:val="22"/>
          <w:szCs w:val="20"/>
        </w:rPr>
        <w:fldChar w:fldCharType="end"/>
      </w:r>
    </w:p>
    <w:p w14:paraId="7385A986">
      <w:pPr>
        <w:pStyle w:val="13"/>
        <w:tabs>
          <w:tab w:val="right" w:leader="dot" w:pos="9072"/>
        </w:tabs>
        <w:ind w:left="560"/>
        <w:rPr>
          <w:sz w:val="22"/>
          <w:szCs w:val="20"/>
        </w:rPr>
      </w:pPr>
      <w:r>
        <w:fldChar w:fldCharType="begin"/>
      </w:r>
      <w:r>
        <w:instrText xml:space="preserve"> HYPERLINK \l "_Toc14674" </w:instrText>
      </w:r>
      <w:r>
        <w:fldChar w:fldCharType="separate"/>
      </w:r>
      <w:r>
        <w:rPr>
          <w:rFonts w:hint="eastAsia"/>
          <w:sz w:val="22"/>
          <w:szCs w:val="20"/>
        </w:rPr>
        <w:t>3 产品质量标准</w:t>
      </w:r>
      <w:r>
        <w:rPr>
          <w:sz w:val="22"/>
          <w:szCs w:val="20"/>
        </w:rPr>
        <w:tab/>
      </w:r>
      <w:r>
        <w:rPr>
          <w:sz w:val="22"/>
          <w:szCs w:val="20"/>
        </w:rPr>
        <w:fldChar w:fldCharType="begin"/>
      </w:r>
      <w:r>
        <w:rPr>
          <w:sz w:val="22"/>
          <w:szCs w:val="20"/>
        </w:rPr>
        <w:instrText xml:space="preserve"> PAGEREF _Toc14674 \h </w:instrText>
      </w:r>
      <w:r>
        <w:rPr>
          <w:sz w:val="22"/>
          <w:szCs w:val="20"/>
        </w:rPr>
        <w:fldChar w:fldCharType="separate"/>
      </w:r>
      <w:r>
        <w:rPr>
          <w:sz w:val="22"/>
          <w:szCs w:val="20"/>
        </w:rPr>
        <w:t>24</w:t>
      </w:r>
      <w:r>
        <w:rPr>
          <w:sz w:val="22"/>
          <w:szCs w:val="20"/>
        </w:rPr>
        <w:fldChar w:fldCharType="end"/>
      </w:r>
      <w:r>
        <w:rPr>
          <w:sz w:val="22"/>
          <w:szCs w:val="20"/>
        </w:rPr>
        <w:fldChar w:fldCharType="end"/>
      </w:r>
    </w:p>
    <w:p w14:paraId="1E2E4906">
      <w:pPr>
        <w:pStyle w:val="13"/>
        <w:tabs>
          <w:tab w:val="right" w:leader="dot" w:pos="9072"/>
        </w:tabs>
        <w:ind w:left="560"/>
        <w:rPr>
          <w:sz w:val="22"/>
          <w:szCs w:val="20"/>
        </w:rPr>
      </w:pPr>
      <w:r>
        <w:fldChar w:fldCharType="begin"/>
      </w:r>
      <w:r>
        <w:instrText xml:space="preserve"> HYPERLINK \l "_Toc11785" </w:instrText>
      </w:r>
      <w:r>
        <w:fldChar w:fldCharType="separate"/>
      </w:r>
      <w:r>
        <w:rPr>
          <w:sz w:val="22"/>
          <w:szCs w:val="20"/>
        </w:rPr>
        <w:t>4</w:t>
      </w:r>
      <w:r>
        <w:rPr>
          <w:rFonts w:hint="eastAsia"/>
          <w:sz w:val="22"/>
          <w:szCs w:val="20"/>
        </w:rPr>
        <w:t xml:space="preserve"> </w:t>
      </w:r>
      <w:r>
        <w:rPr>
          <w:sz w:val="22"/>
          <w:szCs w:val="20"/>
        </w:rPr>
        <w:t>设备</w:t>
      </w:r>
      <w:r>
        <w:rPr>
          <w:sz w:val="22"/>
          <w:szCs w:val="20"/>
        </w:rPr>
        <w:tab/>
      </w:r>
      <w:r>
        <w:rPr>
          <w:sz w:val="22"/>
          <w:szCs w:val="20"/>
        </w:rPr>
        <w:fldChar w:fldCharType="begin"/>
      </w:r>
      <w:r>
        <w:rPr>
          <w:sz w:val="22"/>
          <w:szCs w:val="20"/>
        </w:rPr>
        <w:instrText xml:space="preserve"> PAGEREF _Toc11785 \h </w:instrText>
      </w:r>
      <w:r>
        <w:rPr>
          <w:sz w:val="22"/>
          <w:szCs w:val="20"/>
        </w:rPr>
        <w:fldChar w:fldCharType="separate"/>
      </w:r>
      <w:r>
        <w:rPr>
          <w:sz w:val="22"/>
          <w:szCs w:val="20"/>
        </w:rPr>
        <w:t>24</w:t>
      </w:r>
      <w:r>
        <w:rPr>
          <w:sz w:val="22"/>
          <w:szCs w:val="20"/>
        </w:rPr>
        <w:fldChar w:fldCharType="end"/>
      </w:r>
      <w:r>
        <w:rPr>
          <w:sz w:val="22"/>
          <w:szCs w:val="20"/>
        </w:rPr>
        <w:fldChar w:fldCharType="end"/>
      </w:r>
    </w:p>
    <w:p w14:paraId="7014ABAC">
      <w:pPr>
        <w:pStyle w:val="12"/>
        <w:tabs>
          <w:tab w:val="right" w:leader="dot" w:pos="9072"/>
        </w:tabs>
        <w:ind w:left="280" w:leftChars="100"/>
        <w:rPr>
          <w:sz w:val="22"/>
          <w:szCs w:val="20"/>
        </w:rPr>
      </w:pPr>
      <w:r>
        <w:fldChar w:fldCharType="begin"/>
      </w:r>
      <w:r>
        <w:instrText xml:space="preserve"> HYPERLINK \l "_Toc31771" </w:instrText>
      </w:r>
      <w:r>
        <w:fldChar w:fldCharType="separate"/>
      </w:r>
      <w:r>
        <w:rPr>
          <w:rFonts w:hint="eastAsia"/>
          <w:sz w:val="22"/>
          <w:szCs w:val="20"/>
        </w:rPr>
        <w:t>四、洗选工段</w:t>
      </w:r>
      <w:r>
        <w:rPr>
          <w:sz w:val="22"/>
          <w:szCs w:val="20"/>
        </w:rPr>
        <w:tab/>
      </w:r>
      <w:r>
        <w:rPr>
          <w:sz w:val="22"/>
          <w:szCs w:val="20"/>
        </w:rPr>
        <w:fldChar w:fldCharType="begin"/>
      </w:r>
      <w:r>
        <w:rPr>
          <w:sz w:val="22"/>
          <w:szCs w:val="20"/>
        </w:rPr>
        <w:instrText xml:space="preserve"> PAGEREF _Toc31771 \h </w:instrText>
      </w:r>
      <w:r>
        <w:rPr>
          <w:sz w:val="22"/>
          <w:szCs w:val="20"/>
        </w:rPr>
        <w:fldChar w:fldCharType="separate"/>
      </w:r>
      <w:r>
        <w:rPr>
          <w:sz w:val="22"/>
          <w:szCs w:val="20"/>
        </w:rPr>
        <w:t>25</w:t>
      </w:r>
      <w:r>
        <w:rPr>
          <w:sz w:val="22"/>
          <w:szCs w:val="20"/>
        </w:rPr>
        <w:fldChar w:fldCharType="end"/>
      </w:r>
      <w:r>
        <w:rPr>
          <w:sz w:val="22"/>
          <w:szCs w:val="20"/>
        </w:rPr>
        <w:fldChar w:fldCharType="end"/>
      </w:r>
    </w:p>
    <w:p w14:paraId="3144836F">
      <w:pPr>
        <w:pStyle w:val="13"/>
        <w:tabs>
          <w:tab w:val="right" w:leader="dot" w:pos="9072"/>
        </w:tabs>
        <w:ind w:left="560"/>
        <w:rPr>
          <w:sz w:val="22"/>
          <w:szCs w:val="20"/>
        </w:rPr>
      </w:pPr>
      <w:r>
        <w:fldChar w:fldCharType="begin"/>
      </w:r>
      <w:r>
        <w:instrText xml:space="preserve"> HYPERLINK \l "_Toc25266" </w:instrText>
      </w:r>
      <w:r>
        <w:fldChar w:fldCharType="separate"/>
      </w:r>
      <w:r>
        <w:rPr>
          <w:rFonts w:hint="eastAsia"/>
          <w:sz w:val="22"/>
          <w:szCs w:val="20"/>
        </w:rPr>
        <w:t>1 技术简要说明</w:t>
      </w:r>
      <w:r>
        <w:rPr>
          <w:sz w:val="22"/>
          <w:szCs w:val="20"/>
        </w:rPr>
        <w:tab/>
      </w:r>
      <w:r>
        <w:rPr>
          <w:sz w:val="22"/>
          <w:szCs w:val="20"/>
        </w:rPr>
        <w:fldChar w:fldCharType="begin"/>
      </w:r>
      <w:r>
        <w:rPr>
          <w:sz w:val="22"/>
          <w:szCs w:val="20"/>
        </w:rPr>
        <w:instrText xml:space="preserve"> PAGEREF _Toc25266 \h </w:instrText>
      </w:r>
      <w:r>
        <w:rPr>
          <w:sz w:val="22"/>
          <w:szCs w:val="20"/>
        </w:rPr>
        <w:fldChar w:fldCharType="separate"/>
      </w:r>
      <w:r>
        <w:rPr>
          <w:sz w:val="22"/>
          <w:szCs w:val="20"/>
        </w:rPr>
        <w:t>25</w:t>
      </w:r>
      <w:r>
        <w:rPr>
          <w:sz w:val="22"/>
          <w:szCs w:val="20"/>
        </w:rPr>
        <w:fldChar w:fldCharType="end"/>
      </w:r>
      <w:r>
        <w:rPr>
          <w:sz w:val="22"/>
          <w:szCs w:val="20"/>
        </w:rPr>
        <w:fldChar w:fldCharType="end"/>
      </w:r>
    </w:p>
    <w:p w14:paraId="38AFB99F">
      <w:pPr>
        <w:pStyle w:val="13"/>
        <w:tabs>
          <w:tab w:val="right" w:leader="dot" w:pos="9072"/>
        </w:tabs>
        <w:ind w:left="560"/>
        <w:rPr>
          <w:sz w:val="22"/>
          <w:szCs w:val="20"/>
        </w:rPr>
      </w:pPr>
      <w:r>
        <w:fldChar w:fldCharType="begin"/>
      </w:r>
      <w:r>
        <w:instrText xml:space="preserve"> HYPERLINK \l "_Toc31799" </w:instrText>
      </w:r>
      <w:r>
        <w:fldChar w:fldCharType="separate"/>
      </w:r>
      <w:r>
        <w:rPr>
          <w:rFonts w:hint="eastAsia"/>
          <w:sz w:val="22"/>
          <w:szCs w:val="20"/>
        </w:rPr>
        <w:t>2 技术指标</w:t>
      </w:r>
      <w:r>
        <w:rPr>
          <w:sz w:val="22"/>
          <w:szCs w:val="20"/>
        </w:rPr>
        <w:tab/>
      </w:r>
      <w:r>
        <w:rPr>
          <w:sz w:val="22"/>
          <w:szCs w:val="20"/>
        </w:rPr>
        <w:fldChar w:fldCharType="begin"/>
      </w:r>
      <w:r>
        <w:rPr>
          <w:sz w:val="22"/>
          <w:szCs w:val="20"/>
        </w:rPr>
        <w:instrText xml:space="preserve"> PAGEREF _Toc31799 \h </w:instrText>
      </w:r>
      <w:r>
        <w:rPr>
          <w:sz w:val="22"/>
          <w:szCs w:val="20"/>
        </w:rPr>
        <w:fldChar w:fldCharType="separate"/>
      </w:r>
      <w:r>
        <w:rPr>
          <w:sz w:val="22"/>
          <w:szCs w:val="20"/>
        </w:rPr>
        <w:t>27</w:t>
      </w:r>
      <w:r>
        <w:rPr>
          <w:sz w:val="22"/>
          <w:szCs w:val="20"/>
        </w:rPr>
        <w:fldChar w:fldCharType="end"/>
      </w:r>
      <w:r>
        <w:rPr>
          <w:sz w:val="22"/>
          <w:szCs w:val="20"/>
        </w:rPr>
        <w:fldChar w:fldCharType="end"/>
      </w:r>
    </w:p>
    <w:p w14:paraId="7AE391D8">
      <w:pPr>
        <w:pStyle w:val="13"/>
        <w:tabs>
          <w:tab w:val="right" w:leader="dot" w:pos="9072"/>
        </w:tabs>
        <w:ind w:left="560"/>
        <w:rPr>
          <w:sz w:val="22"/>
          <w:szCs w:val="20"/>
        </w:rPr>
      </w:pPr>
      <w:r>
        <w:fldChar w:fldCharType="begin"/>
      </w:r>
      <w:r>
        <w:instrText xml:space="preserve"> HYPERLINK \l "_Toc18614" </w:instrText>
      </w:r>
      <w:r>
        <w:fldChar w:fldCharType="separate"/>
      </w:r>
      <w:r>
        <w:rPr>
          <w:rFonts w:hint="eastAsia"/>
          <w:sz w:val="22"/>
          <w:szCs w:val="20"/>
        </w:rPr>
        <w:t xml:space="preserve">3 </w:t>
      </w:r>
      <w:r>
        <w:rPr>
          <w:sz w:val="22"/>
          <w:szCs w:val="20"/>
        </w:rPr>
        <w:t>设备</w:t>
      </w:r>
      <w:r>
        <w:rPr>
          <w:sz w:val="22"/>
          <w:szCs w:val="20"/>
        </w:rPr>
        <w:tab/>
      </w:r>
      <w:r>
        <w:rPr>
          <w:sz w:val="22"/>
          <w:szCs w:val="20"/>
        </w:rPr>
        <w:fldChar w:fldCharType="begin"/>
      </w:r>
      <w:r>
        <w:rPr>
          <w:sz w:val="22"/>
          <w:szCs w:val="20"/>
        </w:rPr>
        <w:instrText xml:space="preserve"> PAGEREF _Toc18614 \h </w:instrText>
      </w:r>
      <w:r>
        <w:rPr>
          <w:sz w:val="22"/>
          <w:szCs w:val="20"/>
        </w:rPr>
        <w:fldChar w:fldCharType="separate"/>
      </w:r>
      <w:r>
        <w:rPr>
          <w:sz w:val="22"/>
          <w:szCs w:val="20"/>
        </w:rPr>
        <w:t>28</w:t>
      </w:r>
      <w:r>
        <w:rPr>
          <w:sz w:val="22"/>
          <w:szCs w:val="20"/>
        </w:rPr>
        <w:fldChar w:fldCharType="end"/>
      </w:r>
      <w:r>
        <w:rPr>
          <w:sz w:val="22"/>
          <w:szCs w:val="20"/>
        </w:rPr>
        <w:fldChar w:fldCharType="end"/>
      </w:r>
    </w:p>
    <w:p w14:paraId="57AD653C">
      <w:pPr>
        <w:pStyle w:val="12"/>
        <w:tabs>
          <w:tab w:val="right" w:leader="dot" w:pos="9072"/>
        </w:tabs>
        <w:rPr>
          <w:sz w:val="22"/>
          <w:szCs w:val="20"/>
        </w:rPr>
      </w:pPr>
      <w:r>
        <w:fldChar w:fldCharType="begin"/>
      </w:r>
      <w:r>
        <w:instrText xml:space="preserve"> HYPERLINK \l "_Toc21825" </w:instrText>
      </w:r>
      <w:r>
        <w:fldChar w:fldCharType="separate"/>
      </w:r>
      <w:r>
        <w:rPr>
          <w:rFonts w:hint="eastAsia" w:ascii="宋体" w:hAnsi="宋体"/>
          <w:sz w:val="22"/>
          <w:szCs w:val="44"/>
        </w:rPr>
        <w:t>机械</w:t>
      </w:r>
      <w:r>
        <w:rPr>
          <w:sz w:val="22"/>
          <w:szCs w:val="20"/>
        </w:rPr>
        <w:tab/>
      </w:r>
      <w:r>
        <w:rPr>
          <w:sz w:val="22"/>
          <w:szCs w:val="20"/>
        </w:rPr>
        <w:fldChar w:fldCharType="begin"/>
      </w:r>
      <w:r>
        <w:rPr>
          <w:sz w:val="22"/>
          <w:szCs w:val="20"/>
        </w:rPr>
        <w:instrText xml:space="preserve"> PAGEREF _Toc21825 \h </w:instrText>
      </w:r>
      <w:r>
        <w:rPr>
          <w:sz w:val="22"/>
          <w:szCs w:val="20"/>
        </w:rPr>
        <w:fldChar w:fldCharType="separate"/>
      </w:r>
      <w:r>
        <w:rPr>
          <w:sz w:val="22"/>
          <w:szCs w:val="20"/>
        </w:rPr>
        <w:t>30</w:t>
      </w:r>
      <w:r>
        <w:rPr>
          <w:sz w:val="22"/>
          <w:szCs w:val="20"/>
        </w:rPr>
        <w:fldChar w:fldCharType="end"/>
      </w:r>
      <w:r>
        <w:rPr>
          <w:sz w:val="22"/>
          <w:szCs w:val="20"/>
        </w:rPr>
        <w:fldChar w:fldCharType="end"/>
      </w:r>
    </w:p>
    <w:p w14:paraId="15E11AF4">
      <w:pPr>
        <w:pStyle w:val="13"/>
        <w:tabs>
          <w:tab w:val="right" w:leader="dot" w:pos="9072"/>
        </w:tabs>
        <w:ind w:left="280" w:leftChars="100"/>
        <w:rPr>
          <w:sz w:val="22"/>
          <w:szCs w:val="20"/>
        </w:rPr>
      </w:pPr>
      <w:r>
        <w:fldChar w:fldCharType="begin"/>
      </w:r>
      <w:r>
        <w:instrText xml:space="preserve"> HYPERLINK \l "_Toc25082" </w:instrText>
      </w:r>
      <w:r>
        <w:fldChar w:fldCharType="separate"/>
      </w:r>
      <w:r>
        <w:rPr>
          <w:rFonts w:hint="eastAsia"/>
          <w:sz w:val="22"/>
          <w:szCs w:val="20"/>
        </w:rPr>
        <w:t>一、全套机械设备要求总则</w:t>
      </w:r>
      <w:r>
        <w:rPr>
          <w:sz w:val="22"/>
          <w:szCs w:val="20"/>
        </w:rPr>
        <w:tab/>
      </w:r>
      <w:r>
        <w:rPr>
          <w:sz w:val="22"/>
          <w:szCs w:val="20"/>
        </w:rPr>
        <w:fldChar w:fldCharType="begin"/>
      </w:r>
      <w:r>
        <w:rPr>
          <w:sz w:val="22"/>
          <w:szCs w:val="20"/>
        </w:rPr>
        <w:instrText xml:space="preserve"> PAGEREF _Toc25082 \h </w:instrText>
      </w:r>
      <w:r>
        <w:rPr>
          <w:sz w:val="22"/>
          <w:szCs w:val="20"/>
        </w:rPr>
        <w:fldChar w:fldCharType="separate"/>
      </w:r>
      <w:r>
        <w:rPr>
          <w:sz w:val="22"/>
          <w:szCs w:val="20"/>
        </w:rPr>
        <w:t>31</w:t>
      </w:r>
      <w:r>
        <w:rPr>
          <w:sz w:val="22"/>
          <w:szCs w:val="20"/>
        </w:rPr>
        <w:fldChar w:fldCharType="end"/>
      </w:r>
      <w:r>
        <w:rPr>
          <w:sz w:val="22"/>
          <w:szCs w:val="20"/>
        </w:rPr>
        <w:fldChar w:fldCharType="end"/>
      </w:r>
    </w:p>
    <w:p w14:paraId="58785EE2">
      <w:pPr>
        <w:pStyle w:val="12"/>
        <w:tabs>
          <w:tab w:val="right" w:leader="dot" w:pos="9072"/>
        </w:tabs>
        <w:ind w:left="280" w:leftChars="100"/>
        <w:rPr>
          <w:sz w:val="22"/>
          <w:szCs w:val="20"/>
        </w:rPr>
      </w:pPr>
      <w:r>
        <w:fldChar w:fldCharType="begin"/>
      </w:r>
      <w:r>
        <w:instrText xml:space="preserve"> HYPERLINK \l "_Toc19314" </w:instrText>
      </w:r>
      <w:r>
        <w:fldChar w:fldCharType="separate"/>
      </w:r>
      <w:r>
        <w:rPr>
          <w:rFonts w:hint="eastAsia"/>
          <w:sz w:val="22"/>
          <w:szCs w:val="20"/>
        </w:rPr>
        <w:t>二、非标设备（蒸煮锅、非标槽罐、换热器）技术要求</w:t>
      </w:r>
      <w:r>
        <w:rPr>
          <w:sz w:val="22"/>
          <w:szCs w:val="20"/>
        </w:rPr>
        <w:tab/>
      </w:r>
      <w:r>
        <w:rPr>
          <w:sz w:val="22"/>
          <w:szCs w:val="20"/>
        </w:rPr>
        <w:fldChar w:fldCharType="begin"/>
      </w:r>
      <w:r>
        <w:rPr>
          <w:sz w:val="22"/>
          <w:szCs w:val="20"/>
        </w:rPr>
        <w:instrText xml:space="preserve"> PAGEREF _Toc19314 \h </w:instrText>
      </w:r>
      <w:r>
        <w:rPr>
          <w:sz w:val="22"/>
          <w:szCs w:val="20"/>
        </w:rPr>
        <w:fldChar w:fldCharType="separate"/>
      </w:r>
      <w:r>
        <w:rPr>
          <w:sz w:val="22"/>
          <w:szCs w:val="20"/>
        </w:rPr>
        <w:t>33</w:t>
      </w:r>
      <w:r>
        <w:rPr>
          <w:sz w:val="22"/>
          <w:szCs w:val="20"/>
        </w:rPr>
        <w:fldChar w:fldCharType="end"/>
      </w:r>
      <w:r>
        <w:rPr>
          <w:sz w:val="22"/>
          <w:szCs w:val="20"/>
        </w:rPr>
        <w:fldChar w:fldCharType="end"/>
      </w:r>
    </w:p>
    <w:p w14:paraId="1EDD3887">
      <w:pPr>
        <w:pStyle w:val="12"/>
        <w:tabs>
          <w:tab w:val="right" w:leader="dot" w:pos="9072"/>
        </w:tabs>
        <w:ind w:left="280" w:leftChars="100"/>
        <w:rPr>
          <w:sz w:val="22"/>
          <w:szCs w:val="20"/>
        </w:rPr>
      </w:pPr>
      <w:r>
        <w:fldChar w:fldCharType="begin"/>
      </w:r>
      <w:r>
        <w:instrText xml:space="preserve"> HYPERLINK \l "_Toc11283" </w:instrText>
      </w:r>
      <w:r>
        <w:fldChar w:fldCharType="separate"/>
      </w:r>
      <w:r>
        <w:rPr>
          <w:rFonts w:hint="eastAsia"/>
          <w:sz w:val="22"/>
          <w:szCs w:val="20"/>
        </w:rPr>
        <w:t>三、泵类设备技术要求</w:t>
      </w:r>
      <w:r>
        <w:rPr>
          <w:sz w:val="22"/>
          <w:szCs w:val="20"/>
        </w:rPr>
        <w:tab/>
      </w:r>
      <w:r>
        <w:rPr>
          <w:sz w:val="22"/>
          <w:szCs w:val="20"/>
        </w:rPr>
        <w:fldChar w:fldCharType="begin"/>
      </w:r>
      <w:r>
        <w:rPr>
          <w:sz w:val="22"/>
          <w:szCs w:val="20"/>
        </w:rPr>
        <w:instrText xml:space="preserve"> PAGEREF _Toc11283 \h </w:instrText>
      </w:r>
      <w:r>
        <w:rPr>
          <w:sz w:val="22"/>
          <w:szCs w:val="20"/>
        </w:rPr>
        <w:fldChar w:fldCharType="separate"/>
      </w:r>
      <w:r>
        <w:rPr>
          <w:sz w:val="22"/>
          <w:szCs w:val="20"/>
        </w:rPr>
        <w:t>34</w:t>
      </w:r>
      <w:r>
        <w:rPr>
          <w:sz w:val="22"/>
          <w:szCs w:val="20"/>
        </w:rPr>
        <w:fldChar w:fldCharType="end"/>
      </w:r>
      <w:r>
        <w:rPr>
          <w:sz w:val="22"/>
          <w:szCs w:val="20"/>
        </w:rPr>
        <w:fldChar w:fldCharType="end"/>
      </w:r>
    </w:p>
    <w:p w14:paraId="5463AE6E">
      <w:pPr>
        <w:pStyle w:val="12"/>
        <w:tabs>
          <w:tab w:val="right" w:leader="dot" w:pos="9072"/>
        </w:tabs>
        <w:ind w:left="280" w:leftChars="100"/>
        <w:rPr>
          <w:sz w:val="22"/>
          <w:szCs w:val="20"/>
        </w:rPr>
      </w:pPr>
      <w:r>
        <w:fldChar w:fldCharType="begin"/>
      </w:r>
      <w:r>
        <w:instrText xml:space="preserve"> HYPERLINK \l "_Toc3909" </w:instrText>
      </w:r>
      <w:r>
        <w:fldChar w:fldCharType="separate"/>
      </w:r>
      <w:r>
        <w:rPr>
          <w:rFonts w:hint="eastAsia"/>
          <w:sz w:val="22"/>
          <w:szCs w:val="20"/>
        </w:rPr>
        <w:t>四、管线系统要求</w:t>
      </w:r>
      <w:r>
        <w:rPr>
          <w:sz w:val="22"/>
          <w:szCs w:val="20"/>
        </w:rPr>
        <w:tab/>
      </w:r>
      <w:r>
        <w:rPr>
          <w:sz w:val="22"/>
          <w:szCs w:val="20"/>
        </w:rPr>
        <w:fldChar w:fldCharType="begin"/>
      </w:r>
      <w:r>
        <w:rPr>
          <w:sz w:val="22"/>
          <w:szCs w:val="20"/>
        </w:rPr>
        <w:instrText xml:space="preserve"> PAGEREF _Toc3909 \h </w:instrText>
      </w:r>
      <w:r>
        <w:rPr>
          <w:sz w:val="22"/>
          <w:szCs w:val="20"/>
        </w:rPr>
        <w:fldChar w:fldCharType="separate"/>
      </w:r>
      <w:r>
        <w:rPr>
          <w:sz w:val="22"/>
          <w:szCs w:val="20"/>
        </w:rPr>
        <w:t>36</w:t>
      </w:r>
      <w:r>
        <w:rPr>
          <w:sz w:val="22"/>
          <w:szCs w:val="20"/>
        </w:rPr>
        <w:fldChar w:fldCharType="end"/>
      </w:r>
      <w:r>
        <w:rPr>
          <w:sz w:val="22"/>
          <w:szCs w:val="20"/>
        </w:rPr>
        <w:fldChar w:fldCharType="end"/>
      </w:r>
    </w:p>
    <w:p w14:paraId="3D0E3838">
      <w:pPr>
        <w:pStyle w:val="12"/>
        <w:tabs>
          <w:tab w:val="right" w:leader="dot" w:pos="9072"/>
        </w:tabs>
        <w:ind w:left="280" w:leftChars="100"/>
        <w:rPr>
          <w:sz w:val="22"/>
          <w:szCs w:val="20"/>
        </w:rPr>
      </w:pPr>
      <w:r>
        <w:fldChar w:fldCharType="begin"/>
      </w:r>
      <w:r>
        <w:instrText xml:space="preserve"> HYPERLINK \l "_Toc482" </w:instrText>
      </w:r>
      <w:r>
        <w:fldChar w:fldCharType="separate"/>
      </w:r>
      <w:r>
        <w:rPr>
          <w:rFonts w:hint="eastAsia"/>
          <w:sz w:val="22"/>
          <w:szCs w:val="20"/>
        </w:rPr>
        <w:t>五、保温</w:t>
      </w:r>
      <w:r>
        <w:rPr>
          <w:sz w:val="22"/>
          <w:szCs w:val="20"/>
        </w:rPr>
        <w:tab/>
      </w:r>
      <w:r>
        <w:rPr>
          <w:sz w:val="22"/>
          <w:szCs w:val="20"/>
        </w:rPr>
        <w:fldChar w:fldCharType="begin"/>
      </w:r>
      <w:r>
        <w:rPr>
          <w:sz w:val="22"/>
          <w:szCs w:val="20"/>
        </w:rPr>
        <w:instrText xml:space="preserve"> PAGEREF _Toc482 \h </w:instrText>
      </w:r>
      <w:r>
        <w:rPr>
          <w:sz w:val="22"/>
          <w:szCs w:val="20"/>
        </w:rPr>
        <w:fldChar w:fldCharType="separate"/>
      </w:r>
      <w:r>
        <w:rPr>
          <w:sz w:val="22"/>
          <w:szCs w:val="20"/>
        </w:rPr>
        <w:t>37</w:t>
      </w:r>
      <w:r>
        <w:rPr>
          <w:sz w:val="22"/>
          <w:szCs w:val="20"/>
        </w:rPr>
        <w:fldChar w:fldCharType="end"/>
      </w:r>
      <w:r>
        <w:rPr>
          <w:sz w:val="22"/>
          <w:szCs w:val="20"/>
        </w:rPr>
        <w:fldChar w:fldCharType="end"/>
      </w:r>
    </w:p>
    <w:p w14:paraId="0B0AEE5A">
      <w:pPr>
        <w:pStyle w:val="12"/>
        <w:tabs>
          <w:tab w:val="right" w:leader="dot" w:pos="9072"/>
        </w:tabs>
        <w:ind w:left="280" w:leftChars="100"/>
        <w:rPr>
          <w:sz w:val="22"/>
          <w:szCs w:val="20"/>
        </w:rPr>
      </w:pPr>
      <w:r>
        <w:fldChar w:fldCharType="begin"/>
      </w:r>
      <w:r>
        <w:instrText xml:space="preserve"> HYPERLINK \l "_Toc4896" </w:instrText>
      </w:r>
      <w:r>
        <w:fldChar w:fldCharType="separate"/>
      </w:r>
      <w:r>
        <w:rPr>
          <w:rFonts w:hint="eastAsia"/>
          <w:sz w:val="22"/>
          <w:szCs w:val="20"/>
        </w:rPr>
        <w:t>六、钢结构及平台、油漆</w:t>
      </w:r>
      <w:r>
        <w:rPr>
          <w:sz w:val="22"/>
          <w:szCs w:val="20"/>
        </w:rPr>
        <w:tab/>
      </w:r>
      <w:r>
        <w:rPr>
          <w:sz w:val="22"/>
          <w:szCs w:val="20"/>
        </w:rPr>
        <w:fldChar w:fldCharType="begin"/>
      </w:r>
      <w:r>
        <w:rPr>
          <w:sz w:val="22"/>
          <w:szCs w:val="20"/>
        </w:rPr>
        <w:instrText xml:space="preserve"> PAGEREF _Toc4896 \h </w:instrText>
      </w:r>
      <w:r>
        <w:rPr>
          <w:sz w:val="22"/>
          <w:szCs w:val="20"/>
        </w:rPr>
        <w:fldChar w:fldCharType="separate"/>
      </w:r>
      <w:r>
        <w:rPr>
          <w:sz w:val="22"/>
          <w:szCs w:val="20"/>
        </w:rPr>
        <w:t>37</w:t>
      </w:r>
      <w:r>
        <w:rPr>
          <w:sz w:val="22"/>
          <w:szCs w:val="20"/>
        </w:rPr>
        <w:fldChar w:fldCharType="end"/>
      </w:r>
      <w:r>
        <w:rPr>
          <w:sz w:val="22"/>
          <w:szCs w:val="20"/>
        </w:rPr>
        <w:fldChar w:fldCharType="end"/>
      </w:r>
    </w:p>
    <w:p w14:paraId="1945F3E9">
      <w:pPr>
        <w:pStyle w:val="12"/>
        <w:tabs>
          <w:tab w:val="right" w:leader="dot" w:pos="9072"/>
        </w:tabs>
        <w:ind w:left="280" w:leftChars="100"/>
        <w:rPr>
          <w:sz w:val="22"/>
          <w:szCs w:val="20"/>
        </w:rPr>
      </w:pPr>
      <w:r>
        <w:fldChar w:fldCharType="begin"/>
      </w:r>
      <w:r>
        <w:instrText xml:space="preserve"> HYPERLINK \l "_Toc11030" </w:instrText>
      </w:r>
      <w:r>
        <w:fldChar w:fldCharType="separate"/>
      </w:r>
      <w:r>
        <w:rPr>
          <w:rFonts w:hint="eastAsia"/>
          <w:sz w:val="22"/>
          <w:szCs w:val="20"/>
        </w:rPr>
        <w:t>七、传动装置要求</w:t>
      </w:r>
      <w:r>
        <w:rPr>
          <w:sz w:val="22"/>
          <w:szCs w:val="20"/>
        </w:rPr>
        <w:tab/>
      </w:r>
      <w:r>
        <w:rPr>
          <w:sz w:val="22"/>
          <w:szCs w:val="20"/>
        </w:rPr>
        <w:fldChar w:fldCharType="begin"/>
      </w:r>
      <w:r>
        <w:rPr>
          <w:sz w:val="22"/>
          <w:szCs w:val="20"/>
        </w:rPr>
        <w:instrText xml:space="preserve"> PAGEREF _Toc11030 \h </w:instrText>
      </w:r>
      <w:r>
        <w:rPr>
          <w:sz w:val="22"/>
          <w:szCs w:val="20"/>
        </w:rPr>
        <w:fldChar w:fldCharType="separate"/>
      </w:r>
      <w:r>
        <w:rPr>
          <w:sz w:val="22"/>
          <w:szCs w:val="20"/>
        </w:rPr>
        <w:t>39</w:t>
      </w:r>
      <w:r>
        <w:rPr>
          <w:sz w:val="22"/>
          <w:szCs w:val="20"/>
        </w:rPr>
        <w:fldChar w:fldCharType="end"/>
      </w:r>
      <w:r>
        <w:rPr>
          <w:sz w:val="22"/>
          <w:szCs w:val="20"/>
        </w:rPr>
        <w:fldChar w:fldCharType="end"/>
      </w:r>
    </w:p>
    <w:p w14:paraId="429FF825">
      <w:pPr>
        <w:pStyle w:val="12"/>
        <w:tabs>
          <w:tab w:val="right" w:leader="dot" w:pos="9072"/>
        </w:tabs>
        <w:ind w:left="280" w:leftChars="100"/>
        <w:rPr>
          <w:sz w:val="22"/>
          <w:szCs w:val="20"/>
        </w:rPr>
      </w:pPr>
      <w:r>
        <w:fldChar w:fldCharType="begin"/>
      </w:r>
      <w:r>
        <w:instrText xml:space="preserve"> HYPERLINK \l "_Toc11088" </w:instrText>
      </w:r>
      <w:r>
        <w:fldChar w:fldCharType="separate"/>
      </w:r>
      <w:r>
        <w:rPr>
          <w:rFonts w:hint="eastAsia"/>
          <w:sz w:val="22"/>
          <w:szCs w:val="20"/>
        </w:rPr>
        <w:t>八、阀门</w:t>
      </w:r>
      <w:r>
        <w:rPr>
          <w:sz w:val="22"/>
          <w:szCs w:val="20"/>
        </w:rPr>
        <w:tab/>
      </w:r>
      <w:r>
        <w:rPr>
          <w:sz w:val="22"/>
          <w:szCs w:val="20"/>
        </w:rPr>
        <w:fldChar w:fldCharType="begin"/>
      </w:r>
      <w:r>
        <w:rPr>
          <w:sz w:val="22"/>
          <w:szCs w:val="20"/>
        </w:rPr>
        <w:instrText xml:space="preserve"> PAGEREF _Toc11088 \h </w:instrText>
      </w:r>
      <w:r>
        <w:rPr>
          <w:sz w:val="22"/>
          <w:szCs w:val="20"/>
        </w:rPr>
        <w:fldChar w:fldCharType="separate"/>
      </w:r>
      <w:r>
        <w:rPr>
          <w:sz w:val="22"/>
          <w:szCs w:val="20"/>
        </w:rPr>
        <w:t>39</w:t>
      </w:r>
      <w:r>
        <w:rPr>
          <w:sz w:val="22"/>
          <w:szCs w:val="20"/>
        </w:rPr>
        <w:fldChar w:fldCharType="end"/>
      </w:r>
      <w:r>
        <w:rPr>
          <w:sz w:val="22"/>
          <w:szCs w:val="20"/>
        </w:rPr>
        <w:fldChar w:fldCharType="end"/>
      </w:r>
    </w:p>
    <w:p w14:paraId="666A3664">
      <w:pPr>
        <w:pStyle w:val="12"/>
        <w:tabs>
          <w:tab w:val="right" w:leader="dot" w:pos="9072"/>
        </w:tabs>
        <w:ind w:left="280" w:leftChars="100"/>
        <w:rPr>
          <w:sz w:val="22"/>
          <w:szCs w:val="20"/>
        </w:rPr>
      </w:pPr>
      <w:r>
        <w:fldChar w:fldCharType="begin"/>
      </w:r>
      <w:r>
        <w:instrText xml:space="preserve"> HYPERLINK \l "_Toc4284" </w:instrText>
      </w:r>
      <w:r>
        <w:fldChar w:fldCharType="separate"/>
      </w:r>
      <w:r>
        <w:rPr>
          <w:rFonts w:hint="eastAsia"/>
          <w:sz w:val="22"/>
          <w:szCs w:val="20"/>
        </w:rPr>
        <w:t>九、各工段区主要设备配置和相关技术要求</w:t>
      </w:r>
      <w:r>
        <w:rPr>
          <w:sz w:val="22"/>
          <w:szCs w:val="20"/>
        </w:rPr>
        <w:tab/>
      </w:r>
      <w:r>
        <w:rPr>
          <w:sz w:val="22"/>
          <w:szCs w:val="20"/>
        </w:rPr>
        <w:fldChar w:fldCharType="begin"/>
      </w:r>
      <w:r>
        <w:rPr>
          <w:sz w:val="22"/>
          <w:szCs w:val="20"/>
        </w:rPr>
        <w:instrText xml:space="preserve"> PAGEREF _Toc4284 \h </w:instrText>
      </w:r>
      <w:r>
        <w:rPr>
          <w:sz w:val="22"/>
          <w:szCs w:val="20"/>
        </w:rPr>
        <w:fldChar w:fldCharType="separate"/>
      </w:r>
      <w:r>
        <w:rPr>
          <w:sz w:val="22"/>
          <w:szCs w:val="20"/>
        </w:rPr>
        <w:t>40</w:t>
      </w:r>
      <w:r>
        <w:rPr>
          <w:sz w:val="22"/>
          <w:szCs w:val="20"/>
        </w:rPr>
        <w:fldChar w:fldCharType="end"/>
      </w:r>
      <w:r>
        <w:rPr>
          <w:sz w:val="22"/>
          <w:szCs w:val="20"/>
        </w:rPr>
        <w:fldChar w:fldCharType="end"/>
      </w:r>
    </w:p>
    <w:p w14:paraId="372387CC">
      <w:pPr>
        <w:pStyle w:val="13"/>
        <w:tabs>
          <w:tab w:val="right" w:leader="dot" w:pos="9072"/>
        </w:tabs>
        <w:ind w:left="280" w:leftChars="100"/>
        <w:rPr>
          <w:sz w:val="22"/>
          <w:szCs w:val="20"/>
        </w:rPr>
      </w:pPr>
      <w:r>
        <w:fldChar w:fldCharType="begin"/>
      </w:r>
      <w:r>
        <w:instrText xml:space="preserve"> HYPERLINK \l "_Toc13021" </w:instrText>
      </w:r>
      <w:r>
        <w:fldChar w:fldCharType="separate"/>
      </w:r>
      <w:r>
        <w:rPr>
          <w:rFonts w:hint="eastAsia"/>
          <w:sz w:val="22"/>
          <w:szCs w:val="20"/>
        </w:rPr>
        <w:t>十、设备安装</w:t>
      </w:r>
      <w:r>
        <w:rPr>
          <w:sz w:val="22"/>
          <w:szCs w:val="20"/>
        </w:rPr>
        <w:tab/>
      </w:r>
      <w:r>
        <w:rPr>
          <w:sz w:val="22"/>
          <w:szCs w:val="20"/>
        </w:rPr>
        <w:fldChar w:fldCharType="begin"/>
      </w:r>
      <w:r>
        <w:rPr>
          <w:sz w:val="22"/>
          <w:szCs w:val="20"/>
        </w:rPr>
        <w:instrText xml:space="preserve"> PAGEREF _Toc13021 \h </w:instrText>
      </w:r>
      <w:r>
        <w:rPr>
          <w:sz w:val="22"/>
          <w:szCs w:val="20"/>
        </w:rPr>
        <w:fldChar w:fldCharType="separate"/>
      </w:r>
      <w:r>
        <w:rPr>
          <w:sz w:val="22"/>
          <w:szCs w:val="20"/>
        </w:rPr>
        <w:t>59</w:t>
      </w:r>
      <w:r>
        <w:rPr>
          <w:sz w:val="22"/>
          <w:szCs w:val="20"/>
        </w:rPr>
        <w:fldChar w:fldCharType="end"/>
      </w:r>
      <w:r>
        <w:rPr>
          <w:sz w:val="22"/>
          <w:szCs w:val="20"/>
        </w:rPr>
        <w:fldChar w:fldCharType="end"/>
      </w:r>
    </w:p>
    <w:p w14:paraId="4EFE2E1F">
      <w:pPr>
        <w:pStyle w:val="12"/>
        <w:tabs>
          <w:tab w:val="right" w:leader="dot" w:pos="9072"/>
        </w:tabs>
        <w:rPr>
          <w:sz w:val="22"/>
          <w:szCs w:val="20"/>
        </w:rPr>
      </w:pPr>
      <w:r>
        <w:fldChar w:fldCharType="begin"/>
      </w:r>
      <w:r>
        <w:instrText xml:space="preserve"> HYPERLINK \l "_Toc1854" </w:instrText>
      </w:r>
      <w:r>
        <w:fldChar w:fldCharType="separate"/>
      </w:r>
      <w:r>
        <w:rPr>
          <w:rFonts w:hint="eastAsia" w:ascii="宋体" w:hAnsi="宋体"/>
          <w:sz w:val="22"/>
          <w:szCs w:val="44"/>
        </w:rPr>
        <w:t>电气</w:t>
      </w:r>
      <w:r>
        <w:rPr>
          <w:sz w:val="22"/>
          <w:szCs w:val="20"/>
        </w:rPr>
        <w:tab/>
      </w:r>
      <w:r>
        <w:rPr>
          <w:sz w:val="22"/>
          <w:szCs w:val="20"/>
        </w:rPr>
        <w:fldChar w:fldCharType="begin"/>
      </w:r>
      <w:r>
        <w:rPr>
          <w:sz w:val="22"/>
          <w:szCs w:val="20"/>
        </w:rPr>
        <w:instrText xml:space="preserve"> PAGEREF _Toc1854 \h </w:instrText>
      </w:r>
      <w:r>
        <w:rPr>
          <w:sz w:val="22"/>
          <w:szCs w:val="20"/>
        </w:rPr>
        <w:fldChar w:fldCharType="separate"/>
      </w:r>
      <w:r>
        <w:rPr>
          <w:sz w:val="22"/>
          <w:szCs w:val="20"/>
        </w:rPr>
        <w:t>66</w:t>
      </w:r>
      <w:r>
        <w:rPr>
          <w:sz w:val="22"/>
          <w:szCs w:val="20"/>
        </w:rPr>
        <w:fldChar w:fldCharType="end"/>
      </w:r>
      <w:r>
        <w:rPr>
          <w:sz w:val="22"/>
          <w:szCs w:val="20"/>
        </w:rPr>
        <w:fldChar w:fldCharType="end"/>
      </w:r>
    </w:p>
    <w:p w14:paraId="40C1B986">
      <w:pPr>
        <w:pStyle w:val="12"/>
        <w:tabs>
          <w:tab w:val="right" w:leader="dot" w:pos="9072"/>
        </w:tabs>
        <w:ind w:left="280" w:leftChars="100"/>
        <w:rPr>
          <w:sz w:val="22"/>
          <w:szCs w:val="20"/>
        </w:rPr>
      </w:pPr>
      <w:r>
        <w:fldChar w:fldCharType="begin"/>
      </w:r>
      <w:r>
        <w:instrText xml:space="preserve"> HYPERLINK \l "_Toc1022" </w:instrText>
      </w:r>
      <w:r>
        <w:fldChar w:fldCharType="separate"/>
      </w:r>
      <w:r>
        <w:rPr>
          <w:rFonts w:hint="eastAsia"/>
          <w:sz w:val="22"/>
          <w:szCs w:val="20"/>
        </w:rPr>
        <w:t>一、概述</w:t>
      </w:r>
      <w:r>
        <w:rPr>
          <w:sz w:val="22"/>
          <w:szCs w:val="20"/>
        </w:rPr>
        <w:tab/>
      </w:r>
      <w:r>
        <w:rPr>
          <w:sz w:val="22"/>
          <w:szCs w:val="20"/>
        </w:rPr>
        <w:fldChar w:fldCharType="begin"/>
      </w:r>
      <w:r>
        <w:rPr>
          <w:sz w:val="22"/>
          <w:szCs w:val="20"/>
        </w:rPr>
        <w:instrText xml:space="preserve"> PAGEREF _Toc1022 \h </w:instrText>
      </w:r>
      <w:r>
        <w:rPr>
          <w:sz w:val="22"/>
          <w:szCs w:val="20"/>
        </w:rPr>
        <w:fldChar w:fldCharType="separate"/>
      </w:r>
      <w:r>
        <w:rPr>
          <w:sz w:val="22"/>
          <w:szCs w:val="20"/>
        </w:rPr>
        <w:t>67</w:t>
      </w:r>
      <w:r>
        <w:rPr>
          <w:sz w:val="22"/>
          <w:szCs w:val="20"/>
        </w:rPr>
        <w:fldChar w:fldCharType="end"/>
      </w:r>
      <w:r>
        <w:rPr>
          <w:sz w:val="22"/>
          <w:szCs w:val="20"/>
        </w:rPr>
        <w:fldChar w:fldCharType="end"/>
      </w:r>
    </w:p>
    <w:p w14:paraId="3DCD0289">
      <w:pPr>
        <w:pStyle w:val="12"/>
        <w:tabs>
          <w:tab w:val="right" w:leader="dot" w:pos="9072"/>
        </w:tabs>
        <w:ind w:left="280" w:leftChars="100"/>
        <w:rPr>
          <w:sz w:val="22"/>
          <w:szCs w:val="20"/>
        </w:rPr>
      </w:pPr>
      <w:r>
        <w:fldChar w:fldCharType="begin"/>
      </w:r>
      <w:r>
        <w:instrText xml:space="preserve"> HYPERLINK \l "_Toc24968" </w:instrText>
      </w:r>
      <w:r>
        <w:fldChar w:fldCharType="separate"/>
      </w:r>
      <w:r>
        <w:rPr>
          <w:rFonts w:hint="eastAsia"/>
          <w:sz w:val="22"/>
          <w:szCs w:val="20"/>
        </w:rPr>
        <w:t>二、</w:t>
      </w:r>
      <w:r>
        <w:rPr>
          <w:rFonts w:hint="eastAsia"/>
          <w:sz w:val="22"/>
          <w:szCs w:val="20"/>
          <w:lang w:val="zh-CN"/>
        </w:rPr>
        <w:t>厂用电接线</w:t>
      </w:r>
      <w:r>
        <w:rPr>
          <w:sz w:val="22"/>
          <w:szCs w:val="20"/>
        </w:rPr>
        <w:tab/>
      </w:r>
      <w:r>
        <w:rPr>
          <w:sz w:val="22"/>
          <w:szCs w:val="20"/>
        </w:rPr>
        <w:fldChar w:fldCharType="begin"/>
      </w:r>
      <w:r>
        <w:rPr>
          <w:sz w:val="22"/>
          <w:szCs w:val="20"/>
        </w:rPr>
        <w:instrText xml:space="preserve"> PAGEREF _Toc24968 \h </w:instrText>
      </w:r>
      <w:r>
        <w:rPr>
          <w:sz w:val="22"/>
          <w:szCs w:val="20"/>
        </w:rPr>
        <w:fldChar w:fldCharType="separate"/>
      </w:r>
      <w:r>
        <w:rPr>
          <w:sz w:val="22"/>
          <w:szCs w:val="20"/>
        </w:rPr>
        <w:t>67</w:t>
      </w:r>
      <w:r>
        <w:rPr>
          <w:sz w:val="22"/>
          <w:szCs w:val="20"/>
        </w:rPr>
        <w:fldChar w:fldCharType="end"/>
      </w:r>
      <w:r>
        <w:rPr>
          <w:sz w:val="22"/>
          <w:szCs w:val="20"/>
        </w:rPr>
        <w:fldChar w:fldCharType="end"/>
      </w:r>
    </w:p>
    <w:p w14:paraId="5BD32462">
      <w:pPr>
        <w:pStyle w:val="13"/>
        <w:tabs>
          <w:tab w:val="right" w:leader="dot" w:pos="9072"/>
        </w:tabs>
        <w:ind w:left="560"/>
        <w:rPr>
          <w:sz w:val="22"/>
          <w:szCs w:val="20"/>
        </w:rPr>
      </w:pPr>
      <w:r>
        <w:fldChar w:fldCharType="begin"/>
      </w:r>
      <w:r>
        <w:instrText xml:space="preserve"> HYPERLINK \l "_Toc18744" </w:instrText>
      </w:r>
      <w:r>
        <w:fldChar w:fldCharType="separate"/>
      </w:r>
      <w:r>
        <w:rPr>
          <w:sz w:val="22"/>
          <w:szCs w:val="20"/>
        </w:rPr>
        <w:t xml:space="preserve">1 </w:t>
      </w:r>
      <w:r>
        <w:rPr>
          <w:rFonts w:hint="eastAsia"/>
          <w:sz w:val="22"/>
          <w:szCs w:val="20"/>
        </w:rPr>
        <w:t>主要设计原则</w:t>
      </w:r>
      <w:r>
        <w:rPr>
          <w:sz w:val="22"/>
          <w:szCs w:val="20"/>
        </w:rPr>
        <w:tab/>
      </w:r>
      <w:r>
        <w:rPr>
          <w:sz w:val="22"/>
          <w:szCs w:val="20"/>
        </w:rPr>
        <w:fldChar w:fldCharType="begin"/>
      </w:r>
      <w:r>
        <w:rPr>
          <w:sz w:val="22"/>
          <w:szCs w:val="20"/>
        </w:rPr>
        <w:instrText xml:space="preserve"> PAGEREF _Toc18744 \h </w:instrText>
      </w:r>
      <w:r>
        <w:rPr>
          <w:sz w:val="22"/>
          <w:szCs w:val="20"/>
        </w:rPr>
        <w:fldChar w:fldCharType="separate"/>
      </w:r>
      <w:r>
        <w:rPr>
          <w:sz w:val="22"/>
          <w:szCs w:val="20"/>
        </w:rPr>
        <w:t>67</w:t>
      </w:r>
      <w:r>
        <w:rPr>
          <w:sz w:val="22"/>
          <w:szCs w:val="20"/>
        </w:rPr>
        <w:fldChar w:fldCharType="end"/>
      </w:r>
      <w:r>
        <w:rPr>
          <w:sz w:val="22"/>
          <w:szCs w:val="20"/>
        </w:rPr>
        <w:fldChar w:fldCharType="end"/>
      </w:r>
    </w:p>
    <w:p w14:paraId="30794A30">
      <w:pPr>
        <w:pStyle w:val="13"/>
        <w:tabs>
          <w:tab w:val="right" w:leader="dot" w:pos="9072"/>
        </w:tabs>
        <w:ind w:left="560"/>
        <w:rPr>
          <w:sz w:val="22"/>
          <w:szCs w:val="20"/>
        </w:rPr>
      </w:pPr>
      <w:r>
        <w:fldChar w:fldCharType="begin"/>
      </w:r>
      <w:r>
        <w:instrText xml:space="preserve"> HYPERLINK \l "_Toc24110" </w:instrText>
      </w:r>
      <w:r>
        <w:fldChar w:fldCharType="separate"/>
      </w:r>
      <w:r>
        <w:rPr>
          <w:sz w:val="22"/>
          <w:szCs w:val="20"/>
        </w:rPr>
        <w:t xml:space="preserve">2 </w:t>
      </w:r>
      <w:r>
        <w:rPr>
          <w:rFonts w:hint="eastAsia"/>
          <w:sz w:val="22"/>
          <w:szCs w:val="20"/>
        </w:rPr>
        <w:t>电源质量</w:t>
      </w:r>
      <w:r>
        <w:rPr>
          <w:sz w:val="22"/>
          <w:szCs w:val="20"/>
        </w:rPr>
        <w:tab/>
      </w:r>
      <w:r>
        <w:rPr>
          <w:sz w:val="22"/>
          <w:szCs w:val="20"/>
        </w:rPr>
        <w:fldChar w:fldCharType="begin"/>
      </w:r>
      <w:r>
        <w:rPr>
          <w:sz w:val="22"/>
          <w:szCs w:val="20"/>
        </w:rPr>
        <w:instrText xml:space="preserve"> PAGEREF _Toc24110 \h </w:instrText>
      </w:r>
      <w:r>
        <w:rPr>
          <w:sz w:val="22"/>
          <w:szCs w:val="20"/>
        </w:rPr>
        <w:fldChar w:fldCharType="separate"/>
      </w:r>
      <w:r>
        <w:rPr>
          <w:sz w:val="22"/>
          <w:szCs w:val="20"/>
        </w:rPr>
        <w:t>68</w:t>
      </w:r>
      <w:r>
        <w:rPr>
          <w:sz w:val="22"/>
          <w:szCs w:val="20"/>
        </w:rPr>
        <w:fldChar w:fldCharType="end"/>
      </w:r>
      <w:r>
        <w:rPr>
          <w:sz w:val="22"/>
          <w:szCs w:val="20"/>
        </w:rPr>
        <w:fldChar w:fldCharType="end"/>
      </w:r>
    </w:p>
    <w:p w14:paraId="2740DAB4">
      <w:pPr>
        <w:pStyle w:val="13"/>
        <w:tabs>
          <w:tab w:val="right" w:leader="dot" w:pos="9072"/>
        </w:tabs>
        <w:ind w:left="560"/>
        <w:rPr>
          <w:sz w:val="22"/>
          <w:szCs w:val="20"/>
        </w:rPr>
      </w:pPr>
      <w:r>
        <w:fldChar w:fldCharType="begin"/>
      </w:r>
      <w:r>
        <w:instrText xml:space="preserve"> HYPERLINK \l "_Toc5228" </w:instrText>
      </w:r>
      <w:r>
        <w:fldChar w:fldCharType="separate"/>
      </w:r>
      <w:r>
        <w:rPr>
          <w:sz w:val="22"/>
          <w:szCs w:val="20"/>
        </w:rPr>
        <w:t xml:space="preserve">3 </w:t>
      </w:r>
      <w:r>
        <w:rPr>
          <w:rFonts w:hint="eastAsia"/>
          <w:sz w:val="22"/>
          <w:szCs w:val="20"/>
        </w:rPr>
        <w:t>变压器、配电要求</w:t>
      </w:r>
      <w:r>
        <w:rPr>
          <w:sz w:val="22"/>
          <w:szCs w:val="20"/>
        </w:rPr>
        <w:tab/>
      </w:r>
      <w:r>
        <w:rPr>
          <w:sz w:val="22"/>
          <w:szCs w:val="20"/>
        </w:rPr>
        <w:fldChar w:fldCharType="begin"/>
      </w:r>
      <w:r>
        <w:rPr>
          <w:sz w:val="22"/>
          <w:szCs w:val="20"/>
        </w:rPr>
        <w:instrText xml:space="preserve"> PAGEREF _Toc5228 \h </w:instrText>
      </w:r>
      <w:r>
        <w:rPr>
          <w:sz w:val="22"/>
          <w:szCs w:val="20"/>
        </w:rPr>
        <w:fldChar w:fldCharType="separate"/>
      </w:r>
      <w:r>
        <w:rPr>
          <w:sz w:val="22"/>
          <w:szCs w:val="20"/>
        </w:rPr>
        <w:t>69</w:t>
      </w:r>
      <w:r>
        <w:rPr>
          <w:sz w:val="22"/>
          <w:szCs w:val="20"/>
        </w:rPr>
        <w:fldChar w:fldCharType="end"/>
      </w:r>
      <w:r>
        <w:rPr>
          <w:sz w:val="22"/>
          <w:szCs w:val="20"/>
        </w:rPr>
        <w:fldChar w:fldCharType="end"/>
      </w:r>
    </w:p>
    <w:p w14:paraId="4DA84FD3">
      <w:pPr>
        <w:pStyle w:val="13"/>
        <w:tabs>
          <w:tab w:val="right" w:leader="dot" w:pos="9072"/>
        </w:tabs>
        <w:ind w:left="560"/>
        <w:rPr>
          <w:sz w:val="22"/>
          <w:szCs w:val="20"/>
        </w:rPr>
      </w:pPr>
      <w:r>
        <w:fldChar w:fldCharType="begin"/>
      </w:r>
      <w:r>
        <w:instrText xml:space="preserve"> HYPERLINK \l "_Toc18107" </w:instrText>
      </w:r>
      <w:r>
        <w:fldChar w:fldCharType="separate"/>
      </w:r>
      <w:r>
        <w:rPr>
          <w:sz w:val="22"/>
          <w:szCs w:val="20"/>
        </w:rPr>
        <w:t xml:space="preserve">4 </w:t>
      </w:r>
      <w:r>
        <w:rPr>
          <w:rFonts w:hint="eastAsia"/>
          <w:sz w:val="22"/>
          <w:szCs w:val="20"/>
        </w:rPr>
        <w:t>继电保护、和电力自动化综合监控系统</w:t>
      </w:r>
      <w:r>
        <w:rPr>
          <w:sz w:val="22"/>
          <w:szCs w:val="20"/>
        </w:rPr>
        <w:tab/>
      </w:r>
      <w:r>
        <w:rPr>
          <w:sz w:val="22"/>
          <w:szCs w:val="20"/>
        </w:rPr>
        <w:fldChar w:fldCharType="begin"/>
      </w:r>
      <w:r>
        <w:rPr>
          <w:sz w:val="22"/>
          <w:szCs w:val="20"/>
        </w:rPr>
        <w:instrText xml:space="preserve"> PAGEREF _Toc18107 \h </w:instrText>
      </w:r>
      <w:r>
        <w:rPr>
          <w:sz w:val="22"/>
          <w:szCs w:val="20"/>
        </w:rPr>
        <w:fldChar w:fldCharType="separate"/>
      </w:r>
      <w:r>
        <w:rPr>
          <w:sz w:val="22"/>
          <w:szCs w:val="20"/>
        </w:rPr>
        <w:t>70</w:t>
      </w:r>
      <w:r>
        <w:rPr>
          <w:sz w:val="22"/>
          <w:szCs w:val="20"/>
        </w:rPr>
        <w:fldChar w:fldCharType="end"/>
      </w:r>
      <w:r>
        <w:rPr>
          <w:sz w:val="22"/>
          <w:szCs w:val="20"/>
        </w:rPr>
        <w:fldChar w:fldCharType="end"/>
      </w:r>
    </w:p>
    <w:p w14:paraId="6D2713E0">
      <w:pPr>
        <w:pStyle w:val="13"/>
        <w:tabs>
          <w:tab w:val="right" w:leader="dot" w:pos="9072"/>
        </w:tabs>
        <w:ind w:left="560"/>
        <w:rPr>
          <w:sz w:val="22"/>
          <w:szCs w:val="20"/>
        </w:rPr>
      </w:pPr>
      <w:r>
        <w:fldChar w:fldCharType="begin"/>
      </w:r>
      <w:r>
        <w:instrText xml:space="preserve"> HYPERLINK \l "_Toc21348" </w:instrText>
      </w:r>
      <w:r>
        <w:fldChar w:fldCharType="separate"/>
      </w:r>
      <w:r>
        <w:rPr>
          <w:sz w:val="22"/>
          <w:szCs w:val="20"/>
        </w:rPr>
        <w:t xml:space="preserve">5 </w:t>
      </w:r>
      <w:r>
        <w:rPr>
          <w:rFonts w:hint="eastAsia"/>
          <w:sz w:val="22"/>
          <w:szCs w:val="20"/>
        </w:rPr>
        <w:t>6kV配电系统的消弧线圈由投标方依据配电系统容流确定。</w:t>
      </w:r>
      <w:r>
        <w:rPr>
          <w:sz w:val="22"/>
          <w:szCs w:val="20"/>
        </w:rPr>
        <w:tab/>
      </w:r>
      <w:r>
        <w:rPr>
          <w:sz w:val="22"/>
          <w:szCs w:val="20"/>
        </w:rPr>
        <w:fldChar w:fldCharType="begin"/>
      </w:r>
      <w:r>
        <w:rPr>
          <w:sz w:val="22"/>
          <w:szCs w:val="20"/>
        </w:rPr>
        <w:instrText xml:space="preserve"> PAGEREF _Toc21348 \h </w:instrText>
      </w:r>
      <w:r>
        <w:rPr>
          <w:sz w:val="22"/>
          <w:szCs w:val="20"/>
        </w:rPr>
        <w:fldChar w:fldCharType="separate"/>
      </w:r>
      <w:r>
        <w:rPr>
          <w:sz w:val="22"/>
          <w:szCs w:val="20"/>
        </w:rPr>
        <w:t>70</w:t>
      </w:r>
      <w:r>
        <w:rPr>
          <w:sz w:val="22"/>
          <w:szCs w:val="20"/>
        </w:rPr>
        <w:fldChar w:fldCharType="end"/>
      </w:r>
      <w:r>
        <w:rPr>
          <w:sz w:val="22"/>
          <w:szCs w:val="20"/>
        </w:rPr>
        <w:fldChar w:fldCharType="end"/>
      </w:r>
    </w:p>
    <w:p w14:paraId="6A1E94A7">
      <w:pPr>
        <w:pStyle w:val="12"/>
        <w:tabs>
          <w:tab w:val="right" w:leader="dot" w:pos="9072"/>
        </w:tabs>
        <w:ind w:left="280" w:leftChars="100"/>
        <w:rPr>
          <w:sz w:val="22"/>
          <w:szCs w:val="20"/>
        </w:rPr>
      </w:pPr>
      <w:r>
        <w:fldChar w:fldCharType="begin"/>
      </w:r>
      <w:r>
        <w:instrText xml:space="preserve"> HYPERLINK \l "_Toc6812" </w:instrText>
      </w:r>
      <w:r>
        <w:fldChar w:fldCharType="separate"/>
      </w:r>
      <w:r>
        <w:rPr>
          <w:rFonts w:hint="eastAsia"/>
          <w:sz w:val="22"/>
          <w:szCs w:val="20"/>
        </w:rPr>
        <w:t>三、主要设备选择</w:t>
      </w:r>
      <w:r>
        <w:rPr>
          <w:sz w:val="22"/>
          <w:szCs w:val="20"/>
        </w:rPr>
        <w:tab/>
      </w:r>
      <w:r>
        <w:rPr>
          <w:sz w:val="22"/>
          <w:szCs w:val="20"/>
        </w:rPr>
        <w:fldChar w:fldCharType="begin"/>
      </w:r>
      <w:r>
        <w:rPr>
          <w:sz w:val="22"/>
          <w:szCs w:val="20"/>
        </w:rPr>
        <w:instrText xml:space="preserve"> PAGEREF _Toc6812 \h </w:instrText>
      </w:r>
      <w:r>
        <w:rPr>
          <w:sz w:val="22"/>
          <w:szCs w:val="20"/>
        </w:rPr>
        <w:fldChar w:fldCharType="separate"/>
      </w:r>
      <w:r>
        <w:rPr>
          <w:sz w:val="22"/>
          <w:szCs w:val="20"/>
        </w:rPr>
        <w:t>70</w:t>
      </w:r>
      <w:r>
        <w:rPr>
          <w:sz w:val="22"/>
          <w:szCs w:val="20"/>
        </w:rPr>
        <w:fldChar w:fldCharType="end"/>
      </w:r>
      <w:r>
        <w:rPr>
          <w:sz w:val="22"/>
          <w:szCs w:val="20"/>
        </w:rPr>
        <w:fldChar w:fldCharType="end"/>
      </w:r>
    </w:p>
    <w:p w14:paraId="271A6939">
      <w:pPr>
        <w:pStyle w:val="12"/>
        <w:tabs>
          <w:tab w:val="right" w:leader="dot" w:pos="9072"/>
        </w:tabs>
        <w:ind w:left="280" w:leftChars="100"/>
        <w:rPr>
          <w:sz w:val="22"/>
          <w:szCs w:val="20"/>
        </w:rPr>
      </w:pPr>
      <w:r>
        <w:fldChar w:fldCharType="begin"/>
      </w:r>
      <w:r>
        <w:instrText xml:space="preserve"> HYPERLINK \l "_Toc13715" </w:instrText>
      </w:r>
      <w:r>
        <w:fldChar w:fldCharType="separate"/>
      </w:r>
      <w:r>
        <w:rPr>
          <w:rFonts w:hint="eastAsia"/>
          <w:sz w:val="22"/>
          <w:szCs w:val="20"/>
        </w:rPr>
        <w:t>四、电气设备安装要求</w:t>
      </w:r>
      <w:r>
        <w:rPr>
          <w:sz w:val="22"/>
          <w:szCs w:val="20"/>
        </w:rPr>
        <w:tab/>
      </w:r>
      <w:r>
        <w:rPr>
          <w:sz w:val="22"/>
          <w:szCs w:val="20"/>
        </w:rPr>
        <w:fldChar w:fldCharType="begin"/>
      </w:r>
      <w:r>
        <w:rPr>
          <w:sz w:val="22"/>
          <w:szCs w:val="20"/>
        </w:rPr>
        <w:instrText xml:space="preserve"> PAGEREF _Toc13715 \h </w:instrText>
      </w:r>
      <w:r>
        <w:rPr>
          <w:sz w:val="22"/>
          <w:szCs w:val="20"/>
        </w:rPr>
        <w:fldChar w:fldCharType="separate"/>
      </w:r>
      <w:r>
        <w:rPr>
          <w:sz w:val="22"/>
          <w:szCs w:val="20"/>
        </w:rPr>
        <w:t>72</w:t>
      </w:r>
      <w:r>
        <w:rPr>
          <w:sz w:val="22"/>
          <w:szCs w:val="20"/>
        </w:rPr>
        <w:fldChar w:fldCharType="end"/>
      </w:r>
      <w:r>
        <w:rPr>
          <w:sz w:val="22"/>
          <w:szCs w:val="20"/>
        </w:rPr>
        <w:fldChar w:fldCharType="end"/>
      </w:r>
    </w:p>
    <w:p w14:paraId="5F2DCF0B">
      <w:pPr>
        <w:pStyle w:val="12"/>
        <w:tabs>
          <w:tab w:val="right" w:leader="dot" w:pos="9072"/>
        </w:tabs>
        <w:ind w:left="280" w:leftChars="100"/>
        <w:rPr>
          <w:sz w:val="22"/>
          <w:szCs w:val="20"/>
        </w:rPr>
      </w:pPr>
      <w:r>
        <w:fldChar w:fldCharType="begin"/>
      </w:r>
      <w:r>
        <w:instrText xml:space="preserve"> HYPERLINK \l "_Toc10816" </w:instrText>
      </w:r>
      <w:r>
        <w:fldChar w:fldCharType="separate"/>
      </w:r>
      <w:r>
        <w:rPr>
          <w:rFonts w:hint="eastAsia"/>
          <w:sz w:val="22"/>
          <w:szCs w:val="20"/>
          <w:lang w:val="zh-CN"/>
        </w:rPr>
        <w:t>五、</w:t>
      </w:r>
      <w:r>
        <w:rPr>
          <w:rFonts w:hint="eastAsia"/>
          <w:sz w:val="22"/>
          <w:szCs w:val="20"/>
        </w:rPr>
        <w:t>电气设备技术要求</w:t>
      </w:r>
      <w:r>
        <w:rPr>
          <w:sz w:val="22"/>
          <w:szCs w:val="20"/>
        </w:rPr>
        <w:tab/>
      </w:r>
      <w:r>
        <w:rPr>
          <w:sz w:val="22"/>
          <w:szCs w:val="20"/>
        </w:rPr>
        <w:fldChar w:fldCharType="begin"/>
      </w:r>
      <w:r>
        <w:rPr>
          <w:sz w:val="22"/>
          <w:szCs w:val="20"/>
        </w:rPr>
        <w:instrText xml:space="preserve"> PAGEREF _Toc10816 \h </w:instrText>
      </w:r>
      <w:r>
        <w:rPr>
          <w:sz w:val="22"/>
          <w:szCs w:val="20"/>
        </w:rPr>
        <w:fldChar w:fldCharType="separate"/>
      </w:r>
      <w:r>
        <w:rPr>
          <w:sz w:val="22"/>
          <w:szCs w:val="20"/>
        </w:rPr>
        <w:t>72</w:t>
      </w:r>
      <w:r>
        <w:rPr>
          <w:sz w:val="22"/>
          <w:szCs w:val="20"/>
        </w:rPr>
        <w:fldChar w:fldCharType="end"/>
      </w:r>
      <w:r>
        <w:rPr>
          <w:sz w:val="22"/>
          <w:szCs w:val="20"/>
        </w:rPr>
        <w:fldChar w:fldCharType="end"/>
      </w:r>
    </w:p>
    <w:p w14:paraId="1E956199">
      <w:pPr>
        <w:pStyle w:val="13"/>
        <w:tabs>
          <w:tab w:val="right" w:leader="dot" w:pos="9072"/>
        </w:tabs>
        <w:ind w:left="560"/>
        <w:rPr>
          <w:sz w:val="22"/>
          <w:szCs w:val="20"/>
        </w:rPr>
      </w:pPr>
      <w:r>
        <w:fldChar w:fldCharType="begin"/>
      </w:r>
      <w:r>
        <w:instrText xml:space="preserve"> HYPERLINK \l "_Toc30000" </w:instrText>
      </w:r>
      <w:r>
        <w:fldChar w:fldCharType="separate"/>
      </w:r>
      <w:r>
        <w:rPr>
          <w:sz w:val="22"/>
          <w:szCs w:val="20"/>
        </w:rPr>
        <w:t xml:space="preserve">1 </w:t>
      </w:r>
      <w:r>
        <w:rPr>
          <w:rFonts w:hint="eastAsia"/>
          <w:sz w:val="22"/>
          <w:szCs w:val="20"/>
        </w:rPr>
        <w:t>电动机</w:t>
      </w:r>
      <w:r>
        <w:rPr>
          <w:sz w:val="22"/>
          <w:szCs w:val="20"/>
        </w:rPr>
        <w:tab/>
      </w:r>
      <w:r>
        <w:rPr>
          <w:sz w:val="22"/>
          <w:szCs w:val="20"/>
        </w:rPr>
        <w:fldChar w:fldCharType="begin"/>
      </w:r>
      <w:r>
        <w:rPr>
          <w:sz w:val="22"/>
          <w:szCs w:val="20"/>
        </w:rPr>
        <w:instrText xml:space="preserve"> PAGEREF _Toc30000 \h </w:instrText>
      </w:r>
      <w:r>
        <w:rPr>
          <w:sz w:val="22"/>
          <w:szCs w:val="20"/>
        </w:rPr>
        <w:fldChar w:fldCharType="separate"/>
      </w:r>
      <w:r>
        <w:rPr>
          <w:sz w:val="22"/>
          <w:szCs w:val="20"/>
        </w:rPr>
        <w:t>73</w:t>
      </w:r>
      <w:r>
        <w:rPr>
          <w:sz w:val="22"/>
          <w:szCs w:val="20"/>
        </w:rPr>
        <w:fldChar w:fldCharType="end"/>
      </w:r>
      <w:r>
        <w:rPr>
          <w:sz w:val="22"/>
          <w:szCs w:val="20"/>
        </w:rPr>
        <w:fldChar w:fldCharType="end"/>
      </w:r>
    </w:p>
    <w:p w14:paraId="6F0A7773">
      <w:pPr>
        <w:pStyle w:val="13"/>
        <w:tabs>
          <w:tab w:val="right" w:leader="dot" w:pos="9072"/>
        </w:tabs>
        <w:ind w:left="560"/>
        <w:rPr>
          <w:sz w:val="22"/>
          <w:szCs w:val="20"/>
        </w:rPr>
      </w:pPr>
      <w:r>
        <w:fldChar w:fldCharType="begin"/>
      </w:r>
      <w:r>
        <w:instrText xml:space="preserve"> HYPERLINK \l "_Toc27753" </w:instrText>
      </w:r>
      <w:r>
        <w:fldChar w:fldCharType="separate"/>
      </w:r>
      <w:r>
        <w:rPr>
          <w:sz w:val="22"/>
          <w:szCs w:val="20"/>
        </w:rPr>
        <w:t xml:space="preserve">2 </w:t>
      </w:r>
      <w:r>
        <w:rPr>
          <w:rFonts w:hint="eastAsia"/>
          <w:sz w:val="22"/>
          <w:szCs w:val="20"/>
        </w:rPr>
        <w:t>高低压配电柜、现场三箱、低压变频器、软启动器、低压电容补偿等:</w:t>
      </w:r>
      <w:r>
        <w:rPr>
          <w:sz w:val="22"/>
          <w:szCs w:val="20"/>
        </w:rPr>
        <w:tab/>
      </w:r>
      <w:r>
        <w:rPr>
          <w:sz w:val="22"/>
          <w:szCs w:val="20"/>
        </w:rPr>
        <w:fldChar w:fldCharType="begin"/>
      </w:r>
      <w:r>
        <w:rPr>
          <w:sz w:val="22"/>
          <w:szCs w:val="20"/>
        </w:rPr>
        <w:instrText xml:space="preserve"> PAGEREF _Toc27753 \h </w:instrText>
      </w:r>
      <w:r>
        <w:rPr>
          <w:sz w:val="22"/>
          <w:szCs w:val="20"/>
        </w:rPr>
        <w:fldChar w:fldCharType="separate"/>
      </w:r>
      <w:r>
        <w:rPr>
          <w:sz w:val="22"/>
          <w:szCs w:val="20"/>
        </w:rPr>
        <w:t>74</w:t>
      </w:r>
      <w:r>
        <w:rPr>
          <w:sz w:val="22"/>
          <w:szCs w:val="20"/>
        </w:rPr>
        <w:fldChar w:fldCharType="end"/>
      </w:r>
      <w:r>
        <w:rPr>
          <w:sz w:val="22"/>
          <w:szCs w:val="20"/>
        </w:rPr>
        <w:fldChar w:fldCharType="end"/>
      </w:r>
    </w:p>
    <w:p w14:paraId="6C059BC5">
      <w:pPr>
        <w:pStyle w:val="13"/>
        <w:tabs>
          <w:tab w:val="right" w:leader="dot" w:pos="9072"/>
        </w:tabs>
        <w:ind w:left="560"/>
        <w:rPr>
          <w:sz w:val="22"/>
          <w:szCs w:val="20"/>
        </w:rPr>
      </w:pPr>
      <w:r>
        <w:fldChar w:fldCharType="begin"/>
      </w:r>
      <w:r>
        <w:instrText xml:space="preserve"> HYPERLINK \l "_Toc17876" </w:instrText>
      </w:r>
      <w:r>
        <w:fldChar w:fldCharType="separate"/>
      </w:r>
      <w:r>
        <w:rPr>
          <w:sz w:val="22"/>
          <w:szCs w:val="20"/>
        </w:rPr>
        <w:t xml:space="preserve">3 </w:t>
      </w:r>
      <w:r>
        <w:rPr>
          <w:rFonts w:hint="eastAsia"/>
          <w:sz w:val="22"/>
          <w:szCs w:val="20"/>
        </w:rPr>
        <w:t>电缆、电缆桥架、照明</w:t>
      </w:r>
      <w:r>
        <w:rPr>
          <w:sz w:val="22"/>
          <w:szCs w:val="20"/>
        </w:rPr>
        <w:tab/>
      </w:r>
      <w:r>
        <w:rPr>
          <w:sz w:val="22"/>
          <w:szCs w:val="20"/>
        </w:rPr>
        <w:fldChar w:fldCharType="begin"/>
      </w:r>
      <w:r>
        <w:rPr>
          <w:sz w:val="22"/>
          <w:szCs w:val="20"/>
        </w:rPr>
        <w:instrText xml:space="preserve"> PAGEREF _Toc17876 \h </w:instrText>
      </w:r>
      <w:r>
        <w:rPr>
          <w:sz w:val="22"/>
          <w:szCs w:val="20"/>
        </w:rPr>
        <w:fldChar w:fldCharType="separate"/>
      </w:r>
      <w:r>
        <w:rPr>
          <w:sz w:val="22"/>
          <w:szCs w:val="20"/>
        </w:rPr>
        <w:t>85</w:t>
      </w:r>
      <w:r>
        <w:rPr>
          <w:sz w:val="22"/>
          <w:szCs w:val="20"/>
        </w:rPr>
        <w:fldChar w:fldCharType="end"/>
      </w:r>
      <w:r>
        <w:rPr>
          <w:sz w:val="22"/>
          <w:szCs w:val="20"/>
        </w:rPr>
        <w:fldChar w:fldCharType="end"/>
      </w:r>
    </w:p>
    <w:p w14:paraId="4D1DFEDA">
      <w:pPr>
        <w:pStyle w:val="13"/>
        <w:tabs>
          <w:tab w:val="right" w:leader="dot" w:pos="9072"/>
        </w:tabs>
        <w:ind w:left="560"/>
        <w:rPr>
          <w:sz w:val="22"/>
          <w:szCs w:val="20"/>
        </w:rPr>
      </w:pPr>
      <w:r>
        <w:fldChar w:fldCharType="begin"/>
      </w:r>
      <w:r>
        <w:instrText xml:space="preserve"> HYPERLINK \l "_Toc26301" </w:instrText>
      </w:r>
      <w:r>
        <w:fldChar w:fldCharType="separate"/>
      </w:r>
      <w:r>
        <w:rPr>
          <w:sz w:val="22"/>
          <w:szCs w:val="20"/>
        </w:rPr>
        <w:t xml:space="preserve">4 </w:t>
      </w:r>
      <w:r>
        <w:rPr>
          <w:rFonts w:hint="eastAsia"/>
          <w:sz w:val="22"/>
          <w:szCs w:val="20"/>
        </w:rPr>
        <w:t>综保及自动化装置、直流系统</w:t>
      </w:r>
      <w:r>
        <w:rPr>
          <w:sz w:val="22"/>
          <w:szCs w:val="20"/>
        </w:rPr>
        <w:tab/>
      </w:r>
      <w:r>
        <w:rPr>
          <w:sz w:val="22"/>
          <w:szCs w:val="20"/>
        </w:rPr>
        <w:fldChar w:fldCharType="begin"/>
      </w:r>
      <w:r>
        <w:rPr>
          <w:sz w:val="22"/>
          <w:szCs w:val="20"/>
        </w:rPr>
        <w:instrText xml:space="preserve"> PAGEREF _Toc26301 \h </w:instrText>
      </w:r>
      <w:r>
        <w:rPr>
          <w:sz w:val="22"/>
          <w:szCs w:val="20"/>
        </w:rPr>
        <w:fldChar w:fldCharType="separate"/>
      </w:r>
      <w:r>
        <w:rPr>
          <w:sz w:val="22"/>
          <w:szCs w:val="20"/>
        </w:rPr>
        <w:t>87</w:t>
      </w:r>
      <w:r>
        <w:rPr>
          <w:sz w:val="22"/>
          <w:szCs w:val="20"/>
        </w:rPr>
        <w:fldChar w:fldCharType="end"/>
      </w:r>
      <w:r>
        <w:rPr>
          <w:sz w:val="22"/>
          <w:szCs w:val="20"/>
        </w:rPr>
        <w:fldChar w:fldCharType="end"/>
      </w:r>
    </w:p>
    <w:p w14:paraId="43C29601">
      <w:pPr>
        <w:pStyle w:val="12"/>
        <w:tabs>
          <w:tab w:val="right" w:leader="dot" w:pos="9072"/>
        </w:tabs>
        <w:ind w:left="280" w:leftChars="100"/>
        <w:rPr>
          <w:sz w:val="22"/>
          <w:szCs w:val="20"/>
        </w:rPr>
      </w:pPr>
      <w:r>
        <w:fldChar w:fldCharType="begin"/>
      </w:r>
      <w:r>
        <w:instrText xml:space="preserve"> HYPERLINK \l "_Toc32056" </w:instrText>
      </w:r>
      <w:r>
        <w:fldChar w:fldCharType="separate"/>
      </w:r>
      <w:r>
        <w:rPr>
          <w:rFonts w:hint="eastAsia"/>
          <w:sz w:val="22"/>
          <w:szCs w:val="20"/>
          <w:lang w:val="zh-CN"/>
        </w:rPr>
        <w:t>六、中标后提供的电气部分资料、图纸（</w:t>
      </w:r>
      <w:r>
        <w:rPr>
          <w:rFonts w:hint="eastAsia"/>
          <w:sz w:val="22"/>
          <w:szCs w:val="20"/>
        </w:rPr>
        <w:t>包含但不仅限于以下）</w:t>
      </w:r>
      <w:r>
        <w:rPr>
          <w:sz w:val="22"/>
          <w:szCs w:val="20"/>
        </w:rPr>
        <w:tab/>
      </w:r>
      <w:r>
        <w:rPr>
          <w:sz w:val="22"/>
          <w:szCs w:val="20"/>
        </w:rPr>
        <w:fldChar w:fldCharType="begin"/>
      </w:r>
      <w:r>
        <w:rPr>
          <w:sz w:val="22"/>
          <w:szCs w:val="20"/>
        </w:rPr>
        <w:instrText xml:space="preserve"> PAGEREF _Toc32056 \h </w:instrText>
      </w:r>
      <w:r>
        <w:rPr>
          <w:sz w:val="22"/>
          <w:szCs w:val="20"/>
        </w:rPr>
        <w:fldChar w:fldCharType="separate"/>
      </w:r>
      <w:r>
        <w:rPr>
          <w:sz w:val="22"/>
          <w:szCs w:val="20"/>
        </w:rPr>
        <w:t>100</w:t>
      </w:r>
      <w:r>
        <w:rPr>
          <w:sz w:val="22"/>
          <w:szCs w:val="20"/>
        </w:rPr>
        <w:fldChar w:fldCharType="end"/>
      </w:r>
      <w:r>
        <w:rPr>
          <w:sz w:val="22"/>
          <w:szCs w:val="20"/>
        </w:rPr>
        <w:fldChar w:fldCharType="end"/>
      </w:r>
    </w:p>
    <w:p w14:paraId="1BCC3CA1">
      <w:pPr>
        <w:pStyle w:val="12"/>
        <w:tabs>
          <w:tab w:val="right" w:leader="dot" w:pos="9072"/>
        </w:tabs>
        <w:ind w:left="280" w:leftChars="100"/>
        <w:rPr>
          <w:sz w:val="22"/>
          <w:szCs w:val="20"/>
        </w:rPr>
      </w:pPr>
      <w:r>
        <w:fldChar w:fldCharType="begin"/>
      </w:r>
      <w:r>
        <w:instrText xml:space="preserve"> HYPERLINK \l "_Toc3089" </w:instrText>
      </w:r>
      <w:r>
        <w:fldChar w:fldCharType="separate"/>
      </w:r>
      <w:r>
        <w:rPr>
          <w:rFonts w:hint="eastAsia"/>
          <w:sz w:val="22"/>
          <w:szCs w:val="20"/>
        </w:rPr>
        <w:t>七、专用工具</w:t>
      </w:r>
      <w:r>
        <w:rPr>
          <w:sz w:val="22"/>
          <w:szCs w:val="20"/>
        </w:rPr>
        <w:tab/>
      </w:r>
      <w:r>
        <w:rPr>
          <w:sz w:val="22"/>
          <w:szCs w:val="20"/>
        </w:rPr>
        <w:fldChar w:fldCharType="begin"/>
      </w:r>
      <w:r>
        <w:rPr>
          <w:sz w:val="22"/>
          <w:szCs w:val="20"/>
        </w:rPr>
        <w:instrText xml:space="preserve"> PAGEREF _Toc3089 \h </w:instrText>
      </w:r>
      <w:r>
        <w:rPr>
          <w:sz w:val="22"/>
          <w:szCs w:val="20"/>
        </w:rPr>
        <w:fldChar w:fldCharType="separate"/>
      </w:r>
      <w:r>
        <w:rPr>
          <w:sz w:val="22"/>
          <w:szCs w:val="20"/>
        </w:rPr>
        <w:t>100</w:t>
      </w:r>
      <w:r>
        <w:rPr>
          <w:sz w:val="22"/>
          <w:szCs w:val="20"/>
        </w:rPr>
        <w:fldChar w:fldCharType="end"/>
      </w:r>
      <w:r>
        <w:rPr>
          <w:sz w:val="22"/>
          <w:szCs w:val="20"/>
        </w:rPr>
        <w:fldChar w:fldCharType="end"/>
      </w:r>
    </w:p>
    <w:p w14:paraId="7C084657">
      <w:pPr>
        <w:pStyle w:val="12"/>
        <w:tabs>
          <w:tab w:val="right" w:leader="dot" w:pos="9072"/>
        </w:tabs>
        <w:ind w:left="280" w:leftChars="100"/>
        <w:rPr>
          <w:sz w:val="22"/>
          <w:szCs w:val="20"/>
        </w:rPr>
      </w:pPr>
      <w:r>
        <w:fldChar w:fldCharType="begin"/>
      </w:r>
      <w:r>
        <w:instrText xml:space="preserve"> HYPERLINK \l "_Toc17943" </w:instrText>
      </w:r>
      <w:r>
        <w:fldChar w:fldCharType="separate"/>
      </w:r>
      <w:r>
        <w:rPr>
          <w:rFonts w:hint="eastAsia"/>
          <w:sz w:val="22"/>
          <w:szCs w:val="20"/>
        </w:rPr>
        <w:t>八、技术服务</w:t>
      </w:r>
      <w:r>
        <w:rPr>
          <w:sz w:val="22"/>
          <w:szCs w:val="20"/>
        </w:rPr>
        <w:tab/>
      </w:r>
      <w:r>
        <w:rPr>
          <w:sz w:val="22"/>
          <w:szCs w:val="20"/>
        </w:rPr>
        <w:fldChar w:fldCharType="begin"/>
      </w:r>
      <w:r>
        <w:rPr>
          <w:sz w:val="22"/>
          <w:szCs w:val="20"/>
        </w:rPr>
        <w:instrText xml:space="preserve"> PAGEREF _Toc17943 \h </w:instrText>
      </w:r>
      <w:r>
        <w:rPr>
          <w:sz w:val="22"/>
          <w:szCs w:val="20"/>
        </w:rPr>
        <w:fldChar w:fldCharType="separate"/>
      </w:r>
      <w:r>
        <w:rPr>
          <w:sz w:val="22"/>
          <w:szCs w:val="20"/>
        </w:rPr>
        <w:t>102</w:t>
      </w:r>
      <w:r>
        <w:rPr>
          <w:sz w:val="22"/>
          <w:szCs w:val="20"/>
        </w:rPr>
        <w:fldChar w:fldCharType="end"/>
      </w:r>
      <w:r>
        <w:rPr>
          <w:sz w:val="22"/>
          <w:szCs w:val="20"/>
        </w:rPr>
        <w:fldChar w:fldCharType="end"/>
      </w:r>
    </w:p>
    <w:p w14:paraId="4F65A81F">
      <w:pPr>
        <w:pStyle w:val="12"/>
        <w:tabs>
          <w:tab w:val="right" w:leader="dot" w:pos="9072"/>
        </w:tabs>
        <w:ind w:left="280" w:leftChars="100"/>
        <w:rPr>
          <w:sz w:val="22"/>
          <w:szCs w:val="20"/>
        </w:rPr>
      </w:pPr>
      <w:r>
        <w:fldChar w:fldCharType="begin"/>
      </w:r>
      <w:r>
        <w:instrText xml:space="preserve"> HYPERLINK \l "_Toc31069" </w:instrText>
      </w:r>
      <w:r>
        <w:fldChar w:fldCharType="separate"/>
      </w:r>
      <w:r>
        <w:rPr>
          <w:rFonts w:hint="eastAsia"/>
          <w:sz w:val="22"/>
          <w:szCs w:val="20"/>
        </w:rPr>
        <w:t>九、电气设备</w:t>
      </w:r>
      <w:r>
        <w:rPr>
          <w:rFonts w:hint="eastAsia"/>
          <w:sz w:val="22"/>
          <w:szCs w:val="20"/>
          <w:lang w:val="zh-CN"/>
        </w:rPr>
        <w:t>试验标准</w:t>
      </w:r>
      <w:r>
        <w:rPr>
          <w:sz w:val="22"/>
          <w:szCs w:val="20"/>
        </w:rPr>
        <w:tab/>
      </w:r>
      <w:r>
        <w:rPr>
          <w:sz w:val="22"/>
          <w:szCs w:val="20"/>
        </w:rPr>
        <w:fldChar w:fldCharType="begin"/>
      </w:r>
      <w:r>
        <w:rPr>
          <w:sz w:val="22"/>
          <w:szCs w:val="20"/>
        </w:rPr>
        <w:instrText xml:space="preserve"> PAGEREF _Toc31069 \h </w:instrText>
      </w:r>
      <w:r>
        <w:rPr>
          <w:sz w:val="22"/>
          <w:szCs w:val="20"/>
        </w:rPr>
        <w:fldChar w:fldCharType="separate"/>
      </w:r>
      <w:r>
        <w:rPr>
          <w:sz w:val="22"/>
          <w:szCs w:val="20"/>
        </w:rPr>
        <w:t>102</w:t>
      </w:r>
      <w:r>
        <w:rPr>
          <w:sz w:val="22"/>
          <w:szCs w:val="20"/>
        </w:rPr>
        <w:fldChar w:fldCharType="end"/>
      </w:r>
      <w:r>
        <w:rPr>
          <w:sz w:val="22"/>
          <w:szCs w:val="20"/>
        </w:rPr>
        <w:fldChar w:fldCharType="end"/>
      </w:r>
    </w:p>
    <w:p w14:paraId="4CA9D91E">
      <w:pPr>
        <w:pStyle w:val="12"/>
        <w:tabs>
          <w:tab w:val="right" w:leader="dot" w:pos="9072"/>
        </w:tabs>
        <w:ind w:left="280" w:leftChars="100"/>
        <w:rPr>
          <w:sz w:val="22"/>
          <w:szCs w:val="20"/>
        </w:rPr>
      </w:pPr>
      <w:r>
        <w:fldChar w:fldCharType="begin"/>
      </w:r>
      <w:r>
        <w:instrText xml:space="preserve"> HYPERLINK \l "_Toc19782" </w:instrText>
      </w:r>
      <w:r>
        <w:fldChar w:fldCharType="separate"/>
      </w:r>
      <w:r>
        <w:rPr>
          <w:rFonts w:hint="eastAsia"/>
          <w:sz w:val="22"/>
          <w:szCs w:val="20"/>
          <w:lang w:val="zh-CN"/>
        </w:rPr>
        <w:t>十、质量保证期</w:t>
      </w:r>
      <w:r>
        <w:rPr>
          <w:sz w:val="22"/>
          <w:szCs w:val="20"/>
        </w:rPr>
        <w:tab/>
      </w:r>
      <w:r>
        <w:rPr>
          <w:sz w:val="22"/>
          <w:szCs w:val="20"/>
        </w:rPr>
        <w:fldChar w:fldCharType="begin"/>
      </w:r>
      <w:r>
        <w:rPr>
          <w:sz w:val="22"/>
          <w:szCs w:val="20"/>
        </w:rPr>
        <w:instrText xml:space="preserve"> PAGEREF _Toc19782 \h </w:instrText>
      </w:r>
      <w:r>
        <w:rPr>
          <w:sz w:val="22"/>
          <w:szCs w:val="20"/>
        </w:rPr>
        <w:fldChar w:fldCharType="separate"/>
      </w:r>
      <w:r>
        <w:rPr>
          <w:sz w:val="22"/>
          <w:szCs w:val="20"/>
        </w:rPr>
        <w:t>102</w:t>
      </w:r>
      <w:r>
        <w:rPr>
          <w:sz w:val="22"/>
          <w:szCs w:val="20"/>
        </w:rPr>
        <w:fldChar w:fldCharType="end"/>
      </w:r>
      <w:r>
        <w:rPr>
          <w:sz w:val="22"/>
          <w:szCs w:val="20"/>
        </w:rPr>
        <w:fldChar w:fldCharType="end"/>
      </w:r>
    </w:p>
    <w:p w14:paraId="3CEBDF21">
      <w:pPr>
        <w:pStyle w:val="12"/>
        <w:tabs>
          <w:tab w:val="right" w:leader="dot" w:pos="9072"/>
        </w:tabs>
        <w:rPr>
          <w:sz w:val="22"/>
          <w:szCs w:val="20"/>
        </w:rPr>
      </w:pPr>
      <w:r>
        <w:fldChar w:fldCharType="begin"/>
      </w:r>
      <w:r>
        <w:instrText xml:space="preserve"> HYPERLINK \l "_Toc32137" </w:instrText>
      </w:r>
      <w:r>
        <w:fldChar w:fldCharType="separate"/>
      </w:r>
      <w:r>
        <w:rPr>
          <w:rFonts w:hint="eastAsia" w:ascii="宋体" w:hAnsi="宋体"/>
          <w:sz w:val="22"/>
          <w:szCs w:val="44"/>
          <w:lang w:bidi="he-IL"/>
        </w:rPr>
        <w:t>自动化与信息化工程</w:t>
      </w:r>
      <w:r>
        <w:rPr>
          <w:sz w:val="22"/>
          <w:szCs w:val="20"/>
        </w:rPr>
        <w:tab/>
      </w:r>
      <w:r>
        <w:rPr>
          <w:sz w:val="22"/>
          <w:szCs w:val="20"/>
        </w:rPr>
        <w:fldChar w:fldCharType="begin"/>
      </w:r>
      <w:r>
        <w:rPr>
          <w:sz w:val="22"/>
          <w:szCs w:val="20"/>
        </w:rPr>
        <w:instrText xml:space="preserve"> PAGEREF _Toc32137 \h </w:instrText>
      </w:r>
      <w:r>
        <w:rPr>
          <w:sz w:val="22"/>
          <w:szCs w:val="20"/>
        </w:rPr>
        <w:fldChar w:fldCharType="separate"/>
      </w:r>
      <w:r>
        <w:rPr>
          <w:sz w:val="22"/>
          <w:szCs w:val="20"/>
        </w:rPr>
        <w:t>104</w:t>
      </w:r>
      <w:r>
        <w:rPr>
          <w:sz w:val="22"/>
          <w:szCs w:val="20"/>
        </w:rPr>
        <w:fldChar w:fldCharType="end"/>
      </w:r>
      <w:r>
        <w:rPr>
          <w:sz w:val="22"/>
          <w:szCs w:val="20"/>
        </w:rPr>
        <w:fldChar w:fldCharType="end"/>
      </w:r>
    </w:p>
    <w:p w14:paraId="0CCC2A02">
      <w:pPr>
        <w:pStyle w:val="12"/>
        <w:tabs>
          <w:tab w:val="right" w:leader="dot" w:pos="9072"/>
        </w:tabs>
        <w:ind w:left="280" w:leftChars="100"/>
        <w:rPr>
          <w:sz w:val="22"/>
          <w:szCs w:val="20"/>
        </w:rPr>
      </w:pPr>
      <w:r>
        <w:fldChar w:fldCharType="begin"/>
      </w:r>
      <w:r>
        <w:instrText xml:space="preserve"> HYPERLINK \l "_Toc28532" </w:instrText>
      </w:r>
      <w:r>
        <w:fldChar w:fldCharType="separate"/>
      </w:r>
      <w:r>
        <w:rPr>
          <w:rFonts w:hint="eastAsia" w:ascii="仿宋" w:hAnsi="仿宋" w:eastAsia="仿宋" w:cs="宋体"/>
          <w:sz w:val="22"/>
          <w:szCs w:val="20"/>
        </w:rPr>
        <w:t>一、</w:t>
      </w:r>
      <w:r>
        <w:rPr>
          <w:rFonts w:hint="eastAsia" w:cs="宋体"/>
          <w:sz w:val="22"/>
        </w:rPr>
        <w:t>总则</w:t>
      </w:r>
      <w:r>
        <w:rPr>
          <w:sz w:val="22"/>
          <w:szCs w:val="20"/>
        </w:rPr>
        <w:tab/>
      </w:r>
      <w:r>
        <w:rPr>
          <w:sz w:val="22"/>
          <w:szCs w:val="20"/>
        </w:rPr>
        <w:fldChar w:fldCharType="begin"/>
      </w:r>
      <w:r>
        <w:rPr>
          <w:sz w:val="22"/>
          <w:szCs w:val="20"/>
        </w:rPr>
        <w:instrText xml:space="preserve"> PAGEREF _Toc28532 \h </w:instrText>
      </w:r>
      <w:r>
        <w:rPr>
          <w:sz w:val="22"/>
          <w:szCs w:val="20"/>
        </w:rPr>
        <w:fldChar w:fldCharType="separate"/>
      </w:r>
      <w:r>
        <w:rPr>
          <w:sz w:val="22"/>
          <w:szCs w:val="20"/>
        </w:rPr>
        <w:t>105</w:t>
      </w:r>
      <w:r>
        <w:rPr>
          <w:sz w:val="22"/>
          <w:szCs w:val="20"/>
        </w:rPr>
        <w:fldChar w:fldCharType="end"/>
      </w:r>
      <w:r>
        <w:rPr>
          <w:sz w:val="22"/>
          <w:szCs w:val="20"/>
        </w:rPr>
        <w:fldChar w:fldCharType="end"/>
      </w:r>
    </w:p>
    <w:p w14:paraId="4490B4B6">
      <w:pPr>
        <w:pStyle w:val="12"/>
        <w:tabs>
          <w:tab w:val="right" w:leader="dot" w:pos="9072"/>
        </w:tabs>
        <w:ind w:left="280" w:leftChars="100"/>
        <w:rPr>
          <w:sz w:val="22"/>
          <w:szCs w:val="20"/>
        </w:rPr>
      </w:pPr>
      <w:r>
        <w:fldChar w:fldCharType="begin"/>
      </w:r>
      <w:r>
        <w:instrText xml:space="preserve"> HYPERLINK \l "_Toc17624" </w:instrText>
      </w:r>
      <w:r>
        <w:fldChar w:fldCharType="separate"/>
      </w:r>
      <w:r>
        <w:rPr>
          <w:rFonts w:hint="eastAsia" w:cs="宋体"/>
          <w:sz w:val="22"/>
        </w:rPr>
        <w:t>二、自动化与信息化工程总体方案</w:t>
      </w:r>
      <w:r>
        <w:rPr>
          <w:sz w:val="22"/>
          <w:szCs w:val="20"/>
        </w:rPr>
        <w:tab/>
      </w:r>
      <w:r>
        <w:rPr>
          <w:sz w:val="22"/>
          <w:szCs w:val="20"/>
        </w:rPr>
        <w:fldChar w:fldCharType="begin"/>
      </w:r>
      <w:r>
        <w:rPr>
          <w:sz w:val="22"/>
          <w:szCs w:val="20"/>
        </w:rPr>
        <w:instrText xml:space="preserve"> PAGEREF _Toc17624 \h </w:instrText>
      </w:r>
      <w:r>
        <w:rPr>
          <w:sz w:val="22"/>
          <w:szCs w:val="20"/>
        </w:rPr>
        <w:fldChar w:fldCharType="separate"/>
      </w:r>
      <w:r>
        <w:rPr>
          <w:sz w:val="22"/>
          <w:szCs w:val="20"/>
        </w:rPr>
        <w:t>105</w:t>
      </w:r>
      <w:r>
        <w:rPr>
          <w:sz w:val="22"/>
          <w:szCs w:val="20"/>
        </w:rPr>
        <w:fldChar w:fldCharType="end"/>
      </w:r>
      <w:r>
        <w:rPr>
          <w:sz w:val="22"/>
          <w:szCs w:val="20"/>
        </w:rPr>
        <w:fldChar w:fldCharType="end"/>
      </w:r>
    </w:p>
    <w:p w14:paraId="79EEAA8B">
      <w:pPr>
        <w:pStyle w:val="12"/>
        <w:tabs>
          <w:tab w:val="right" w:leader="dot" w:pos="9072"/>
        </w:tabs>
        <w:ind w:left="280" w:leftChars="100"/>
        <w:rPr>
          <w:sz w:val="22"/>
          <w:szCs w:val="20"/>
        </w:rPr>
      </w:pPr>
      <w:r>
        <w:fldChar w:fldCharType="begin"/>
      </w:r>
      <w:r>
        <w:instrText xml:space="preserve"> HYPERLINK \l "_Toc149" </w:instrText>
      </w:r>
      <w:r>
        <w:fldChar w:fldCharType="separate"/>
      </w:r>
      <w:r>
        <w:rPr>
          <w:rFonts w:hint="eastAsia" w:cs="宋体"/>
          <w:sz w:val="22"/>
        </w:rPr>
        <w:t>三、</w:t>
      </w:r>
      <w:r>
        <w:rPr>
          <w:rFonts w:hint="eastAsia" w:cs="宋体" w:asciiTheme="minorEastAsia" w:hAnsiTheme="minorEastAsia" w:eastAsiaTheme="minorEastAsia"/>
          <w:sz w:val="22"/>
        </w:rPr>
        <w:t>DCS</w:t>
      </w:r>
      <w:r>
        <w:rPr>
          <w:rFonts w:hint="eastAsia" w:cs="宋体"/>
          <w:sz w:val="22"/>
        </w:rPr>
        <w:t>控制系统的技术要求</w:t>
      </w:r>
      <w:r>
        <w:rPr>
          <w:sz w:val="22"/>
          <w:szCs w:val="20"/>
        </w:rPr>
        <w:tab/>
      </w:r>
      <w:r>
        <w:rPr>
          <w:sz w:val="22"/>
          <w:szCs w:val="20"/>
        </w:rPr>
        <w:fldChar w:fldCharType="begin"/>
      </w:r>
      <w:r>
        <w:rPr>
          <w:sz w:val="22"/>
          <w:szCs w:val="20"/>
        </w:rPr>
        <w:instrText xml:space="preserve"> PAGEREF _Toc149 \h </w:instrText>
      </w:r>
      <w:r>
        <w:rPr>
          <w:sz w:val="22"/>
          <w:szCs w:val="20"/>
        </w:rPr>
        <w:fldChar w:fldCharType="separate"/>
      </w:r>
      <w:r>
        <w:rPr>
          <w:sz w:val="22"/>
          <w:szCs w:val="20"/>
        </w:rPr>
        <w:t>106</w:t>
      </w:r>
      <w:r>
        <w:rPr>
          <w:sz w:val="22"/>
          <w:szCs w:val="20"/>
        </w:rPr>
        <w:fldChar w:fldCharType="end"/>
      </w:r>
      <w:r>
        <w:rPr>
          <w:sz w:val="22"/>
          <w:szCs w:val="20"/>
        </w:rPr>
        <w:fldChar w:fldCharType="end"/>
      </w:r>
    </w:p>
    <w:p w14:paraId="217694A4">
      <w:pPr>
        <w:pStyle w:val="13"/>
        <w:tabs>
          <w:tab w:val="right" w:leader="dot" w:pos="9072"/>
        </w:tabs>
        <w:ind w:left="560"/>
        <w:rPr>
          <w:sz w:val="22"/>
          <w:szCs w:val="20"/>
        </w:rPr>
      </w:pPr>
      <w:r>
        <w:fldChar w:fldCharType="begin"/>
      </w:r>
      <w:r>
        <w:instrText xml:space="preserve"> HYPERLINK \l "_Toc7440" </w:instrText>
      </w:r>
      <w:r>
        <w:fldChar w:fldCharType="separate"/>
      </w:r>
      <w:r>
        <w:rPr>
          <w:rFonts w:hint="eastAsia" w:ascii="宋体" w:hAnsi="宋体" w:cs="宋体"/>
          <w:bCs/>
          <w:sz w:val="22"/>
          <w:szCs w:val="21"/>
        </w:rPr>
        <w:t>1 总体方案技术要求</w:t>
      </w:r>
      <w:r>
        <w:rPr>
          <w:sz w:val="22"/>
          <w:szCs w:val="20"/>
        </w:rPr>
        <w:tab/>
      </w:r>
      <w:r>
        <w:rPr>
          <w:sz w:val="22"/>
          <w:szCs w:val="20"/>
        </w:rPr>
        <w:fldChar w:fldCharType="begin"/>
      </w:r>
      <w:r>
        <w:rPr>
          <w:sz w:val="22"/>
          <w:szCs w:val="20"/>
        </w:rPr>
        <w:instrText xml:space="preserve"> PAGEREF _Toc7440 \h </w:instrText>
      </w:r>
      <w:r>
        <w:rPr>
          <w:sz w:val="22"/>
          <w:szCs w:val="20"/>
        </w:rPr>
        <w:fldChar w:fldCharType="separate"/>
      </w:r>
      <w:r>
        <w:rPr>
          <w:sz w:val="22"/>
          <w:szCs w:val="20"/>
        </w:rPr>
        <w:t>106</w:t>
      </w:r>
      <w:r>
        <w:rPr>
          <w:sz w:val="22"/>
          <w:szCs w:val="20"/>
        </w:rPr>
        <w:fldChar w:fldCharType="end"/>
      </w:r>
      <w:r>
        <w:rPr>
          <w:sz w:val="22"/>
          <w:szCs w:val="20"/>
        </w:rPr>
        <w:fldChar w:fldCharType="end"/>
      </w:r>
    </w:p>
    <w:p w14:paraId="1FCD015B">
      <w:pPr>
        <w:pStyle w:val="13"/>
        <w:tabs>
          <w:tab w:val="right" w:leader="dot" w:pos="9072"/>
        </w:tabs>
        <w:ind w:left="560"/>
        <w:rPr>
          <w:sz w:val="22"/>
          <w:szCs w:val="20"/>
        </w:rPr>
      </w:pPr>
      <w:r>
        <w:fldChar w:fldCharType="begin"/>
      </w:r>
      <w:r>
        <w:instrText xml:space="preserve"> HYPERLINK \l "_Toc3643" </w:instrText>
      </w:r>
      <w:r>
        <w:fldChar w:fldCharType="separate"/>
      </w:r>
      <w:r>
        <w:rPr>
          <w:rFonts w:hint="eastAsia" w:ascii="宋体" w:hAnsi="宋体" w:cs="宋体"/>
          <w:bCs/>
          <w:sz w:val="22"/>
          <w:szCs w:val="21"/>
        </w:rPr>
        <w:t>2 DCS人机接口设备的配置</w:t>
      </w:r>
      <w:r>
        <w:rPr>
          <w:sz w:val="22"/>
          <w:szCs w:val="20"/>
        </w:rPr>
        <w:tab/>
      </w:r>
      <w:r>
        <w:rPr>
          <w:sz w:val="22"/>
          <w:szCs w:val="20"/>
        </w:rPr>
        <w:fldChar w:fldCharType="begin"/>
      </w:r>
      <w:r>
        <w:rPr>
          <w:sz w:val="22"/>
          <w:szCs w:val="20"/>
        </w:rPr>
        <w:instrText xml:space="preserve"> PAGEREF _Toc3643 \h </w:instrText>
      </w:r>
      <w:r>
        <w:rPr>
          <w:sz w:val="22"/>
          <w:szCs w:val="20"/>
        </w:rPr>
        <w:fldChar w:fldCharType="separate"/>
      </w:r>
      <w:r>
        <w:rPr>
          <w:sz w:val="22"/>
          <w:szCs w:val="20"/>
        </w:rPr>
        <w:t>106</w:t>
      </w:r>
      <w:r>
        <w:rPr>
          <w:sz w:val="22"/>
          <w:szCs w:val="20"/>
        </w:rPr>
        <w:fldChar w:fldCharType="end"/>
      </w:r>
      <w:r>
        <w:rPr>
          <w:sz w:val="22"/>
          <w:szCs w:val="20"/>
        </w:rPr>
        <w:fldChar w:fldCharType="end"/>
      </w:r>
    </w:p>
    <w:p w14:paraId="66C0D25C">
      <w:pPr>
        <w:pStyle w:val="13"/>
        <w:tabs>
          <w:tab w:val="right" w:leader="dot" w:pos="9072"/>
        </w:tabs>
        <w:ind w:left="560"/>
        <w:rPr>
          <w:sz w:val="22"/>
          <w:szCs w:val="20"/>
        </w:rPr>
      </w:pPr>
      <w:r>
        <w:fldChar w:fldCharType="begin"/>
      </w:r>
      <w:r>
        <w:instrText xml:space="preserve"> HYPERLINK \l "_Toc1496" </w:instrText>
      </w:r>
      <w:r>
        <w:fldChar w:fldCharType="separate"/>
      </w:r>
      <w:r>
        <w:rPr>
          <w:rFonts w:hint="eastAsia" w:ascii="宋体" w:hAnsi="宋体" w:cs="宋体"/>
          <w:bCs/>
          <w:sz w:val="22"/>
          <w:szCs w:val="21"/>
        </w:rPr>
        <w:t>3 控制信号接口</w:t>
      </w:r>
      <w:r>
        <w:rPr>
          <w:sz w:val="22"/>
          <w:szCs w:val="20"/>
        </w:rPr>
        <w:tab/>
      </w:r>
      <w:r>
        <w:rPr>
          <w:sz w:val="22"/>
          <w:szCs w:val="20"/>
        </w:rPr>
        <w:fldChar w:fldCharType="begin"/>
      </w:r>
      <w:r>
        <w:rPr>
          <w:sz w:val="22"/>
          <w:szCs w:val="20"/>
        </w:rPr>
        <w:instrText xml:space="preserve"> PAGEREF _Toc1496 \h </w:instrText>
      </w:r>
      <w:r>
        <w:rPr>
          <w:sz w:val="22"/>
          <w:szCs w:val="20"/>
        </w:rPr>
        <w:fldChar w:fldCharType="separate"/>
      </w:r>
      <w:r>
        <w:rPr>
          <w:sz w:val="22"/>
          <w:szCs w:val="20"/>
        </w:rPr>
        <w:t>107</w:t>
      </w:r>
      <w:r>
        <w:rPr>
          <w:sz w:val="22"/>
          <w:szCs w:val="20"/>
        </w:rPr>
        <w:fldChar w:fldCharType="end"/>
      </w:r>
      <w:r>
        <w:rPr>
          <w:sz w:val="22"/>
          <w:szCs w:val="20"/>
        </w:rPr>
        <w:fldChar w:fldCharType="end"/>
      </w:r>
    </w:p>
    <w:p w14:paraId="515BDADA">
      <w:pPr>
        <w:pStyle w:val="13"/>
        <w:tabs>
          <w:tab w:val="right" w:leader="dot" w:pos="9072"/>
        </w:tabs>
        <w:ind w:left="560"/>
        <w:rPr>
          <w:sz w:val="22"/>
          <w:szCs w:val="20"/>
        </w:rPr>
      </w:pPr>
      <w:r>
        <w:fldChar w:fldCharType="begin"/>
      </w:r>
      <w:r>
        <w:instrText xml:space="preserve"> HYPERLINK \l "_Toc8403" </w:instrText>
      </w:r>
      <w:r>
        <w:fldChar w:fldCharType="separate"/>
      </w:r>
      <w:r>
        <w:rPr>
          <w:rFonts w:hint="eastAsia" w:ascii="宋体" w:hAnsi="宋体" w:cs="宋体"/>
          <w:bCs/>
          <w:sz w:val="22"/>
          <w:szCs w:val="21"/>
        </w:rPr>
        <w:t>4 控制系统的硬件配置</w:t>
      </w:r>
      <w:r>
        <w:rPr>
          <w:sz w:val="22"/>
          <w:szCs w:val="20"/>
        </w:rPr>
        <w:tab/>
      </w:r>
      <w:r>
        <w:rPr>
          <w:sz w:val="22"/>
          <w:szCs w:val="20"/>
        </w:rPr>
        <w:fldChar w:fldCharType="begin"/>
      </w:r>
      <w:r>
        <w:rPr>
          <w:sz w:val="22"/>
          <w:szCs w:val="20"/>
        </w:rPr>
        <w:instrText xml:space="preserve"> PAGEREF _Toc8403 \h </w:instrText>
      </w:r>
      <w:r>
        <w:rPr>
          <w:sz w:val="22"/>
          <w:szCs w:val="20"/>
        </w:rPr>
        <w:fldChar w:fldCharType="separate"/>
      </w:r>
      <w:r>
        <w:rPr>
          <w:sz w:val="22"/>
          <w:szCs w:val="20"/>
        </w:rPr>
        <w:t>107</w:t>
      </w:r>
      <w:r>
        <w:rPr>
          <w:sz w:val="22"/>
          <w:szCs w:val="20"/>
        </w:rPr>
        <w:fldChar w:fldCharType="end"/>
      </w:r>
      <w:r>
        <w:rPr>
          <w:sz w:val="22"/>
          <w:szCs w:val="20"/>
        </w:rPr>
        <w:fldChar w:fldCharType="end"/>
      </w:r>
    </w:p>
    <w:p w14:paraId="56B2B5E3">
      <w:pPr>
        <w:pStyle w:val="13"/>
        <w:tabs>
          <w:tab w:val="right" w:leader="dot" w:pos="9072"/>
        </w:tabs>
        <w:ind w:left="560"/>
        <w:rPr>
          <w:sz w:val="22"/>
          <w:szCs w:val="20"/>
        </w:rPr>
      </w:pPr>
      <w:r>
        <w:fldChar w:fldCharType="begin"/>
      </w:r>
      <w:r>
        <w:instrText xml:space="preserve"> HYPERLINK \l "_Toc24793" </w:instrText>
      </w:r>
      <w:r>
        <w:fldChar w:fldCharType="separate"/>
      </w:r>
      <w:r>
        <w:rPr>
          <w:rFonts w:hint="eastAsia" w:ascii="宋体" w:hAnsi="宋体" w:cs="宋体"/>
          <w:bCs/>
          <w:sz w:val="22"/>
          <w:szCs w:val="21"/>
        </w:rPr>
        <w:t>5 系统功能要求</w:t>
      </w:r>
      <w:r>
        <w:rPr>
          <w:sz w:val="22"/>
          <w:szCs w:val="20"/>
        </w:rPr>
        <w:tab/>
      </w:r>
      <w:r>
        <w:rPr>
          <w:sz w:val="22"/>
          <w:szCs w:val="20"/>
        </w:rPr>
        <w:fldChar w:fldCharType="begin"/>
      </w:r>
      <w:r>
        <w:rPr>
          <w:sz w:val="22"/>
          <w:szCs w:val="20"/>
        </w:rPr>
        <w:instrText xml:space="preserve"> PAGEREF _Toc24793 \h </w:instrText>
      </w:r>
      <w:r>
        <w:rPr>
          <w:sz w:val="22"/>
          <w:szCs w:val="20"/>
        </w:rPr>
        <w:fldChar w:fldCharType="separate"/>
      </w:r>
      <w:r>
        <w:rPr>
          <w:sz w:val="22"/>
          <w:szCs w:val="20"/>
        </w:rPr>
        <w:t>108</w:t>
      </w:r>
      <w:r>
        <w:rPr>
          <w:sz w:val="22"/>
          <w:szCs w:val="20"/>
        </w:rPr>
        <w:fldChar w:fldCharType="end"/>
      </w:r>
      <w:r>
        <w:rPr>
          <w:sz w:val="22"/>
          <w:szCs w:val="20"/>
        </w:rPr>
        <w:fldChar w:fldCharType="end"/>
      </w:r>
    </w:p>
    <w:p w14:paraId="3DCE2507">
      <w:pPr>
        <w:pStyle w:val="13"/>
        <w:tabs>
          <w:tab w:val="right" w:leader="dot" w:pos="9072"/>
        </w:tabs>
        <w:ind w:left="560"/>
        <w:rPr>
          <w:sz w:val="22"/>
          <w:szCs w:val="20"/>
        </w:rPr>
      </w:pPr>
      <w:r>
        <w:fldChar w:fldCharType="begin"/>
      </w:r>
      <w:r>
        <w:instrText xml:space="preserve"> HYPERLINK \l "_Toc27281" </w:instrText>
      </w:r>
      <w:r>
        <w:fldChar w:fldCharType="separate"/>
      </w:r>
      <w:r>
        <w:rPr>
          <w:rFonts w:hint="eastAsia" w:ascii="宋体" w:hAnsi="宋体" w:cs="宋体"/>
          <w:bCs/>
          <w:sz w:val="22"/>
          <w:szCs w:val="21"/>
        </w:rPr>
        <w:t>6 DCS操作室及机柜室</w:t>
      </w:r>
      <w:r>
        <w:rPr>
          <w:sz w:val="22"/>
          <w:szCs w:val="20"/>
        </w:rPr>
        <w:tab/>
      </w:r>
      <w:r>
        <w:rPr>
          <w:sz w:val="22"/>
          <w:szCs w:val="20"/>
        </w:rPr>
        <w:fldChar w:fldCharType="begin"/>
      </w:r>
      <w:r>
        <w:rPr>
          <w:sz w:val="22"/>
          <w:szCs w:val="20"/>
        </w:rPr>
        <w:instrText xml:space="preserve"> PAGEREF _Toc27281 \h </w:instrText>
      </w:r>
      <w:r>
        <w:rPr>
          <w:sz w:val="22"/>
          <w:szCs w:val="20"/>
        </w:rPr>
        <w:fldChar w:fldCharType="separate"/>
      </w:r>
      <w:r>
        <w:rPr>
          <w:sz w:val="22"/>
          <w:szCs w:val="20"/>
        </w:rPr>
        <w:t>109</w:t>
      </w:r>
      <w:r>
        <w:rPr>
          <w:sz w:val="22"/>
          <w:szCs w:val="20"/>
        </w:rPr>
        <w:fldChar w:fldCharType="end"/>
      </w:r>
      <w:r>
        <w:rPr>
          <w:sz w:val="22"/>
          <w:szCs w:val="20"/>
        </w:rPr>
        <w:fldChar w:fldCharType="end"/>
      </w:r>
    </w:p>
    <w:p w14:paraId="545AD2D7">
      <w:pPr>
        <w:pStyle w:val="13"/>
        <w:tabs>
          <w:tab w:val="right" w:leader="dot" w:pos="9072"/>
        </w:tabs>
        <w:ind w:left="560"/>
        <w:rPr>
          <w:sz w:val="22"/>
          <w:szCs w:val="20"/>
        </w:rPr>
      </w:pPr>
      <w:r>
        <w:fldChar w:fldCharType="begin"/>
      </w:r>
      <w:r>
        <w:instrText xml:space="preserve"> HYPERLINK \l "_Toc14845" </w:instrText>
      </w:r>
      <w:r>
        <w:fldChar w:fldCharType="separate"/>
      </w:r>
      <w:r>
        <w:rPr>
          <w:rFonts w:hint="eastAsia" w:ascii="宋体" w:hAnsi="宋体" w:cs="宋体"/>
          <w:bCs/>
          <w:sz w:val="22"/>
          <w:szCs w:val="21"/>
        </w:rPr>
        <w:t>7 系统配电</w:t>
      </w:r>
      <w:r>
        <w:rPr>
          <w:sz w:val="22"/>
          <w:szCs w:val="20"/>
        </w:rPr>
        <w:tab/>
      </w:r>
      <w:r>
        <w:rPr>
          <w:sz w:val="22"/>
          <w:szCs w:val="20"/>
        </w:rPr>
        <w:fldChar w:fldCharType="begin"/>
      </w:r>
      <w:r>
        <w:rPr>
          <w:sz w:val="22"/>
          <w:szCs w:val="20"/>
        </w:rPr>
        <w:instrText xml:space="preserve"> PAGEREF _Toc14845 \h </w:instrText>
      </w:r>
      <w:r>
        <w:rPr>
          <w:sz w:val="22"/>
          <w:szCs w:val="20"/>
        </w:rPr>
        <w:fldChar w:fldCharType="separate"/>
      </w:r>
      <w:r>
        <w:rPr>
          <w:sz w:val="22"/>
          <w:szCs w:val="20"/>
        </w:rPr>
        <w:t>109</w:t>
      </w:r>
      <w:r>
        <w:rPr>
          <w:sz w:val="22"/>
          <w:szCs w:val="20"/>
        </w:rPr>
        <w:fldChar w:fldCharType="end"/>
      </w:r>
      <w:r>
        <w:rPr>
          <w:sz w:val="22"/>
          <w:szCs w:val="20"/>
        </w:rPr>
        <w:fldChar w:fldCharType="end"/>
      </w:r>
    </w:p>
    <w:p w14:paraId="3BBDD054">
      <w:pPr>
        <w:pStyle w:val="13"/>
        <w:tabs>
          <w:tab w:val="right" w:leader="dot" w:pos="9072"/>
        </w:tabs>
        <w:ind w:left="560"/>
        <w:rPr>
          <w:sz w:val="22"/>
          <w:szCs w:val="20"/>
        </w:rPr>
      </w:pPr>
      <w:r>
        <w:fldChar w:fldCharType="begin"/>
      </w:r>
      <w:r>
        <w:instrText xml:space="preserve"> HYPERLINK \l "_Toc26672" </w:instrText>
      </w:r>
      <w:r>
        <w:fldChar w:fldCharType="separate"/>
      </w:r>
      <w:r>
        <w:rPr>
          <w:rFonts w:hint="eastAsia" w:ascii="宋体" w:hAnsi="宋体" w:cs="宋体"/>
          <w:bCs/>
          <w:sz w:val="22"/>
          <w:szCs w:val="21"/>
        </w:rPr>
        <w:t>8 蒸煮安全保护系统技术要求</w:t>
      </w:r>
      <w:r>
        <w:rPr>
          <w:sz w:val="22"/>
          <w:szCs w:val="20"/>
        </w:rPr>
        <w:tab/>
      </w:r>
      <w:r>
        <w:rPr>
          <w:sz w:val="22"/>
          <w:szCs w:val="20"/>
        </w:rPr>
        <w:fldChar w:fldCharType="begin"/>
      </w:r>
      <w:r>
        <w:rPr>
          <w:sz w:val="22"/>
          <w:szCs w:val="20"/>
        </w:rPr>
        <w:instrText xml:space="preserve"> PAGEREF _Toc26672 \h </w:instrText>
      </w:r>
      <w:r>
        <w:rPr>
          <w:sz w:val="22"/>
          <w:szCs w:val="20"/>
        </w:rPr>
        <w:fldChar w:fldCharType="separate"/>
      </w:r>
      <w:r>
        <w:rPr>
          <w:sz w:val="22"/>
          <w:szCs w:val="20"/>
        </w:rPr>
        <w:t>110</w:t>
      </w:r>
      <w:r>
        <w:rPr>
          <w:sz w:val="22"/>
          <w:szCs w:val="20"/>
        </w:rPr>
        <w:fldChar w:fldCharType="end"/>
      </w:r>
      <w:r>
        <w:rPr>
          <w:sz w:val="22"/>
          <w:szCs w:val="20"/>
        </w:rPr>
        <w:fldChar w:fldCharType="end"/>
      </w:r>
    </w:p>
    <w:p w14:paraId="008EA67F">
      <w:pPr>
        <w:pStyle w:val="13"/>
        <w:tabs>
          <w:tab w:val="right" w:leader="dot" w:pos="9072"/>
        </w:tabs>
        <w:ind w:left="560"/>
        <w:rPr>
          <w:sz w:val="22"/>
          <w:szCs w:val="20"/>
        </w:rPr>
      </w:pPr>
      <w:r>
        <w:fldChar w:fldCharType="begin"/>
      </w:r>
      <w:r>
        <w:instrText xml:space="preserve"> HYPERLINK \l "_Toc8608" </w:instrText>
      </w:r>
      <w:r>
        <w:fldChar w:fldCharType="separate"/>
      </w:r>
      <w:r>
        <w:rPr>
          <w:rFonts w:hint="eastAsia" w:ascii="宋体" w:hAnsi="宋体" w:cs="宋体"/>
          <w:sz w:val="22"/>
          <w:szCs w:val="21"/>
        </w:rPr>
        <w:t>9 工厂验收试验和要求（FAT）</w:t>
      </w:r>
      <w:r>
        <w:rPr>
          <w:sz w:val="22"/>
          <w:szCs w:val="20"/>
        </w:rPr>
        <w:tab/>
      </w:r>
      <w:r>
        <w:rPr>
          <w:sz w:val="22"/>
          <w:szCs w:val="20"/>
        </w:rPr>
        <w:fldChar w:fldCharType="begin"/>
      </w:r>
      <w:r>
        <w:rPr>
          <w:sz w:val="22"/>
          <w:szCs w:val="20"/>
        </w:rPr>
        <w:instrText xml:space="preserve"> PAGEREF _Toc8608 \h </w:instrText>
      </w:r>
      <w:r>
        <w:rPr>
          <w:sz w:val="22"/>
          <w:szCs w:val="20"/>
        </w:rPr>
        <w:fldChar w:fldCharType="separate"/>
      </w:r>
      <w:r>
        <w:rPr>
          <w:sz w:val="22"/>
          <w:szCs w:val="20"/>
        </w:rPr>
        <w:t>110</w:t>
      </w:r>
      <w:r>
        <w:rPr>
          <w:sz w:val="22"/>
          <w:szCs w:val="20"/>
        </w:rPr>
        <w:fldChar w:fldCharType="end"/>
      </w:r>
      <w:r>
        <w:rPr>
          <w:sz w:val="22"/>
          <w:szCs w:val="20"/>
        </w:rPr>
        <w:fldChar w:fldCharType="end"/>
      </w:r>
    </w:p>
    <w:p w14:paraId="745A918D">
      <w:pPr>
        <w:pStyle w:val="13"/>
        <w:tabs>
          <w:tab w:val="right" w:leader="dot" w:pos="9072"/>
        </w:tabs>
        <w:ind w:left="560"/>
        <w:rPr>
          <w:sz w:val="22"/>
          <w:szCs w:val="20"/>
        </w:rPr>
      </w:pPr>
      <w:r>
        <w:fldChar w:fldCharType="begin"/>
      </w:r>
      <w:r>
        <w:instrText xml:space="preserve"> HYPERLINK \l "_Toc7398" </w:instrText>
      </w:r>
      <w:r>
        <w:fldChar w:fldCharType="separate"/>
      </w:r>
      <w:r>
        <w:rPr>
          <w:rFonts w:hint="eastAsia" w:ascii="宋体" w:hAnsi="宋体" w:cs="宋体"/>
          <w:bCs/>
          <w:sz w:val="22"/>
          <w:szCs w:val="21"/>
        </w:rPr>
        <w:t>10 DCS供货要求</w:t>
      </w:r>
      <w:r>
        <w:rPr>
          <w:sz w:val="22"/>
          <w:szCs w:val="20"/>
        </w:rPr>
        <w:tab/>
      </w:r>
      <w:r>
        <w:rPr>
          <w:sz w:val="22"/>
          <w:szCs w:val="20"/>
        </w:rPr>
        <w:fldChar w:fldCharType="begin"/>
      </w:r>
      <w:r>
        <w:rPr>
          <w:sz w:val="22"/>
          <w:szCs w:val="20"/>
        </w:rPr>
        <w:instrText xml:space="preserve"> PAGEREF _Toc7398 \h </w:instrText>
      </w:r>
      <w:r>
        <w:rPr>
          <w:sz w:val="22"/>
          <w:szCs w:val="20"/>
        </w:rPr>
        <w:fldChar w:fldCharType="separate"/>
      </w:r>
      <w:r>
        <w:rPr>
          <w:sz w:val="22"/>
          <w:szCs w:val="20"/>
        </w:rPr>
        <w:t>110</w:t>
      </w:r>
      <w:r>
        <w:rPr>
          <w:sz w:val="22"/>
          <w:szCs w:val="20"/>
        </w:rPr>
        <w:fldChar w:fldCharType="end"/>
      </w:r>
      <w:r>
        <w:rPr>
          <w:sz w:val="22"/>
          <w:szCs w:val="20"/>
        </w:rPr>
        <w:fldChar w:fldCharType="end"/>
      </w:r>
    </w:p>
    <w:p w14:paraId="4D922F5C">
      <w:pPr>
        <w:pStyle w:val="13"/>
        <w:tabs>
          <w:tab w:val="right" w:leader="dot" w:pos="9072"/>
        </w:tabs>
        <w:ind w:left="560"/>
        <w:rPr>
          <w:sz w:val="22"/>
          <w:szCs w:val="20"/>
        </w:rPr>
      </w:pPr>
      <w:r>
        <w:fldChar w:fldCharType="begin"/>
      </w:r>
      <w:r>
        <w:instrText xml:space="preserve"> HYPERLINK \l "_Toc6470" </w:instrText>
      </w:r>
      <w:r>
        <w:fldChar w:fldCharType="separate"/>
      </w:r>
      <w:r>
        <w:rPr>
          <w:rFonts w:hint="eastAsia" w:ascii="宋体" w:hAnsi="宋体" w:cs="宋体"/>
          <w:bCs/>
          <w:sz w:val="22"/>
          <w:szCs w:val="21"/>
        </w:rPr>
        <w:t>11 DCS系统现场服务</w:t>
      </w:r>
      <w:r>
        <w:rPr>
          <w:sz w:val="22"/>
          <w:szCs w:val="20"/>
        </w:rPr>
        <w:tab/>
      </w:r>
      <w:r>
        <w:rPr>
          <w:sz w:val="22"/>
          <w:szCs w:val="20"/>
        </w:rPr>
        <w:fldChar w:fldCharType="begin"/>
      </w:r>
      <w:r>
        <w:rPr>
          <w:sz w:val="22"/>
          <w:szCs w:val="20"/>
        </w:rPr>
        <w:instrText xml:space="preserve"> PAGEREF _Toc6470 \h </w:instrText>
      </w:r>
      <w:r>
        <w:rPr>
          <w:sz w:val="22"/>
          <w:szCs w:val="20"/>
        </w:rPr>
        <w:fldChar w:fldCharType="separate"/>
      </w:r>
      <w:r>
        <w:rPr>
          <w:sz w:val="22"/>
          <w:szCs w:val="20"/>
        </w:rPr>
        <w:t>111</w:t>
      </w:r>
      <w:r>
        <w:rPr>
          <w:sz w:val="22"/>
          <w:szCs w:val="20"/>
        </w:rPr>
        <w:fldChar w:fldCharType="end"/>
      </w:r>
      <w:r>
        <w:rPr>
          <w:sz w:val="22"/>
          <w:szCs w:val="20"/>
        </w:rPr>
        <w:fldChar w:fldCharType="end"/>
      </w:r>
    </w:p>
    <w:p w14:paraId="7D8018E2">
      <w:pPr>
        <w:pStyle w:val="13"/>
        <w:tabs>
          <w:tab w:val="right" w:leader="dot" w:pos="9072"/>
        </w:tabs>
        <w:ind w:left="560"/>
        <w:rPr>
          <w:sz w:val="22"/>
          <w:szCs w:val="20"/>
        </w:rPr>
      </w:pPr>
      <w:r>
        <w:fldChar w:fldCharType="begin"/>
      </w:r>
      <w:r>
        <w:instrText xml:space="preserve"> HYPERLINK \l "_Toc27325" </w:instrText>
      </w:r>
      <w:r>
        <w:fldChar w:fldCharType="separate"/>
      </w:r>
      <w:r>
        <w:rPr>
          <w:rFonts w:hint="eastAsia" w:ascii="宋体" w:hAnsi="宋体" w:cs="宋体"/>
          <w:bCs/>
          <w:sz w:val="22"/>
          <w:szCs w:val="21"/>
        </w:rPr>
        <w:t>12 系统培训</w:t>
      </w:r>
      <w:r>
        <w:rPr>
          <w:sz w:val="22"/>
          <w:szCs w:val="20"/>
        </w:rPr>
        <w:tab/>
      </w:r>
      <w:r>
        <w:rPr>
          <w:sz w:val="22"/>
          <w:szCs w:val="20"/>
        </w:rPr>
        <w:fldChar w:fldCharType="begin"/>
      </w:r>
      <w:r>
        <w:rPr>
          <w:sz w:val="22"/>
          <w:szCs w:val="20"/>
        </w:rPr>
        <w:instrText xml:space="preserve"> PAGEREF _Toc27325 \h </w:instrText>
      </w:r>
      <w:r>
        <w:rPr>
          <w:sz w:val="22"/>
          <w:szCs w:val="20"/>
        </w:rPr>
        <w:fldChar w:fldCharType="separate"/>
      </w:r>
      <w:r>
        <w:rPr>
          <w:sz w:val="22"/>
          <w:szCs w:val="20"/>
        </w:rPr>
        <w:t>111</w:t>
      </w:r>
      <w:r>
        <w:rPr>
          <w:sz w:val="22"/>
          <w:szCs w:val="20"/>
        </w:rPr>
        <w:fldChar w:fldCharType="end"/>
      </w:r>
      <w:r>
        <w:rPr>
          <w:sz w:val="22"/>
          <w:szCs w:val="20"/>
        </w:rPr>
        <w:fldChar w:fldCharType="end"/>
      </w:r>
    </w:p>
    <w:p w14:paraId="5D9E476B">
      <w:pPr>
        <w:pStyle w:val="12"/>
        <w:tabs>
          <w:tab w:val="right" w:leader="dot" w:pos="9072"/>
        </w:tabs>
        <w:ind w:left="280" w:leftChars="100"/>
        <w:rPr>
          <w:sz w:val="22"/>
          <w:szCs w:val="20"/>
        </w:rPr>
      </w:pPr>
      <w:r>
        <w:fldChar w:fldCharType="begin"/>
      </w:r>
      <w:r>
        <w:instrText xml:space="preserve"> HYPERLINK \l "_Toc12033" </w:instrText>
      </w:r>
      <w:r>
        <w:fldChar w:fldCharType="separate"/>
      </w:r>
      <w:r>
        <w:rPr>
          <w:rFonts w:hint="eastAsia" w:cs="宋体"/>
          <w:sz w:val="22"/>
        </w:rPr>
        <w:t>四</w:t>
      </w:r>
      <w:r>
        <w:rPr>
          <w:rFonts w:hint="eastAsia" w:cs="宋体"/>
          <w:sz w:val="22"/>
          <w:szCs w:val="20"/>
        </w:rPr>
        <w:t>、蒸煮工段安全保护系统技术要求</w:t>
      </w:r>
      <w:r>
        <w:rPr>
          <w:sz w:val="22"/>
          <w:szCs w:val="20"/>
        </w:rPr>
        <w:tab/>
      </w:r>
      <w:r>
        <w:rPr>
          <w:sz w:val="22"/>
          <w:szCs w:val="20"/>
        </w:rPr>
        <w:fldChar w:fldCharType="begin"/>
      </w:r>
      <w:r>
        <w:rPr>
          <w:sz w:val="22"/>
          <w:szCs w:val="20"/>
        </w:rPr>
        <w:instrText xml:space="preserve"> PAGEREF _Toc12033 \h </w:instrText>
      </w:r>
      <w:r>
        <w:rPr>
          <w:sz w:val="22"/>
          <w:szCs w:val="20"/>
        </w:rPr>
        <w:fldChar w:fldCharType="separate"/>
      </w:r>
      <w:r>
        <w:rPr>
          <w:sz w:val="22"/>
          <w:szCs w:val="20"/>
        </w:rPr>
        <w:t>111</w:t>
      </w:r>
      <w:r>
        <w:rPr>
          <w:sz w:val="22"/>
          <w:szCs w:val="20"/>
        </w:rPr>
        <w:fldChar w:fldCharType="end"/>
      </w:r>
      <w:r>
        <w:rPr>
          <w:sz w:val="22"/>
          <w:szCs w:val="20"/>
        </w:rPr>
        <w:fldChar w:fldCharType="end"/>
      </w:r>
    </w:p>
    <w:p w14:paraId="5F1C4D45">
      <w:pPr>
        <w:pStyle w:val="12"/>
        <w:tabs>
          <w:tab w:val="right" w:leader="dot" w:pos="9072"/>
        </w:tabs>
        <w:ind w:left="280" w:leftChars="100"/>
        <w:rPr>
          <w:sz w:val="22"/>
          <w:szCs w:val="20"/>
        </w:rPr>
      </w:pPr>
      <w:r>
        <w:fldChar w:fldCharType="begin"/>
      </w:r>
      <w:r>
        <w:instrText xml:space="preserve"> HYPERLINK \l "_Toc21232" </w:instrText>
      </w:r>
      <w:r>
        <w:fldChar w:fldCharType="separate"/>
      </w:r>
      <w:r>
        <w:rPr>
          <w:rFonts w:hint="eastAsia" w:cs="宋体"/>
          <w:sz w:val="22"/>
        </w:rPr>
        <w:t>五、过程控制阀及仪表系统基本技术要求</w:t>
      </w:r>
      <w:r>
        <w:rPr>
          <w:sz w:val="22"/>
          <w:szCs w:val="20"/>
        </w:rPr>
        <w:tab/>
      </w:r>
      <w:r>
        <w:rPr>
          <w:sz w:val="22"/>
          <w:szCs w:val="20"/>
        </w:rPr>
        <w:fldChar w:fldCharType="begin"/>
      </w:r>
      <w:r>
        <w:rPr>
          <w:sz w:val="22"/>
          <w:szCs w:val="20"/>
        </w:rPr>
        <w:instrText xml:space="preserve"> PAGEREF _Toc21232 \h </w:instrText>
      </w:r>
      <w:r>
        <w:rPr>
          <w:sz w:val="22"/>
          <w:szCs w:val="20"/>
        </w:rPr>
        <w:fldChar w:fldCharType="separate"/>
      </w:r>
      <w:r>
        <w:rPr>
          <w:sz w:val="22"/>
          <w:szCs w:val="20"/>
        </w:rPr>
        <w:t>111</w:t>
      </w:r>
      <w:r>
        <w:rPr>
          <w:sz w:val="22"/>
          <w:szCs w:val="20"/>
        </w:rPr>
        <w:fldChar w:fldCharType="end"/>
      </w:r>
      <w:r>
        <w:rPr>
          <w:sz w:val="22"/>
          <w:szCs w:val="20"/>
        </w:rPr>
        <w:fldChar w:fldCharType="end"/>
      </w:r>
    </w:p>
    <w:p w14:paraId="23A19F65">
      <w:pPr>
        <w:pStyle w:val="13"/>
        <w:tabs>
          <w:tab w:val="right" w:leader="dot" w:pos="9072"/>
        </w:tabs>
        <w:ind w:left="560"/>
        <w:rPr>
          <w:sz w:val="22"/>
          <w:szCs w:val="20"/>
        </w:rPr>
      </w:pPr>
      <w:r>
        <w:fldChar w:fldCharType="begin"/>
      </w:r>
      <w:r>
        <w:instrText xml:space="preserve"> HYPERLINK \l "_Toc1249" </w:instrText>
      </w:r>
      <w:r>
        <w:fldChar w:fldCharType="separate"/>
      </w:r>
      <w:r>
        <w:rPr>
          <w:rFonts w:hint="eastAsia" w:ascii="宋体" w:hAnsi="宋体"/>
          <w:sz w:val="22"/>
          <w:szCs w:val="21"/>
        </w:rPr>
        <w:t xml:space="preserve">1 </w:t>
      </w:r>
      <w:r>
        <w:rPr>
          <w:rFonts w:hint="eastAsia" w:ascii="宋体" w:hAnsi="宋体" w:cs="宋体"/>
          <w:bCs/>
          <w:sz w:val="22"/>
          <w:szCs w:val="21"/>
        </w:rPr>
        <w:t>设计与选型原则</w:t>
      </w:r>
      <w:r>
        <w:rPr>
          <w:sz w:val="22"/>
          <w:szCs w:val="20"/>
        </w:rPr>
        <w:tab/>
      </w:r>
      <w:r>
        <w:rPr>
          <w:sz w:val="22"/>
          <w:szCs w:val="20"/>
        </w:rPr>
        <w:fldChar w:fldCharType="begin"/>
      </w:r>
      <w:r>
        <w:rPr>
          <w:sz w:val="22"/>
          <w:szCs w:val="20"/>
        </w:rPr>
        <w:instrText xml:space="preserve"> PAGEREF _Toc1249 \h </w:instrText>
      </w:r>
      <w:r>
        <w:rPr>
          <w:sz w:val="22"/>
          <w:szCs w:val="20"/>
        </w:rPr>
        <w:fldChar w:fldCharType="separate"/>
      </w:r>
      <w:r>
        <w:rPr>
          <w:sz w:val="22"/>
          <w:szCs w:val="20"/>
        </w:rPr>
        <w:t>111</w:t>
      </w:r>
      <w:r>
        <w:rPr>
          <w:sz w:val="22"/>
          <w:szCs w:val="20"/>
        </w:rPr>
        <w:fldChar w:fldCharType="end"/>
      </w:r>
      <w:r>
        <w:rPr>
          <w:sz w:val="22"/>
          <w:szCs w:val="20"/>
        </w:rPr>
        <w:fldChar w:fldCharType="end"/>
      </w:r>
    </w:p>
    <w:p w14:paraId="5D9E68E1">
      <w:pPr>
        <w:pStyle w:val="13"/>
        <w:tabs>
          <w:tab w:val="right" w:leader="dot" w:pos="9072"/>
        </w:tabs>
        <w:ind w:left="560"/>
        <w:rPr>
          <w:sz w:val="22"/>
          <w:szCs w:val="20"/>
        </w:rPr>
      </w:pPr>
      <w:r>
        <w:fldChar w:fldCharType="begin"/>
      </w:r>
      <w:r>
        <w:instrText xml:space="preserve"> HYPERLINK \l "_Toc1538" </w:instrText>
      </w:r>
      <w:r>
        <w:fldChar w:fldCharType="separate"/>
      </w:r>
      <w:r>
        <w:rPr>
          <w:rFonts w:hint="eastAsia" w:ascii="宋体" w:hAnsi="宋体" w:cs="宋体"/>
          <w:bCs/>
          <w:sz w:val="22"/>
          <w:szCs w:val="21"/>
        </w:rPr>
        <w:t>2 装锅阀及附件配置基本要求</w:t>
      </w:r>
      <w:r>
        <w:rPr>
          <w:sz w:val="22"/>
          <w:szCs w:val="20"/>
        </w:rPr>
        <w:tab/>
      </w:r>
      <w:r>
        <w:rPr>
          <w:sz w:val="22"/>
          <w:szCs w:val="20"/>
        </w:rPr>
        <w:fldChar w:fldCharType="begin"/>
      </w:r>
      <w:r>
        <w:rPr>
          <w:sz w:val="22"/>
          <w:szCs w:val="20"/>
        </w:rPr>
        <w:instrText xml:space="preserve"> PAGEREF _Toc1538 \h </w:instrText>
      </w:r>
      <w:r>
        <w:rPr>
          <w:sz w:val="22"/>
          <w:szCs w:val="20"/>
        </w:rPr>
        <w:fldChar w:fldCharType="separate"/>
      </w:r>
      <w:r>
        <w:rPr>
          <w:sz w:val="22"/>
          <w:szCs w:val="20"/>
        </w:rPr>
        <w:t>114</w:t>
      </w:r>
      <w:r>
        <w:rPr>
          <w:sz w:val="22"/>
          <w:szCs w:val="20"/>
        </w:rPr>
        <w:fldChar w:fldCharType="end"/>
      </w:r>
      <w:r>
        <w:rPr>
          <w:sz w:val="22"/>
          <w:szCs w:val="20"/>
        </w:rPr>
        <w:fldChar w:fldCharType="end"/>
      </w:r>
    </w:p>
    <w:p w14:paraId="5CA864D2">
      <w:pPr>
        <w:pStyle w:val="13"/>
        <w:tabs>
          <w:tab w:val="right" w:leader="dot" w:pos="9072"/>
        </w:tabs>
        <w:ind w:left="560"/>
        <w:rPr>
          <w:sz w:val="22"/>
          <w:szCs w:val="20"/>
        </w:rPr>
      </w:pPr>
      <w:r>
        <w:fldChar w:fldCharType="begin"/>
      </w:r>
      <w:r>
        <w:instrText xml:space="preserve"> HYPERLINK \l "_Toc11570" </w:instrText>
      </w:r>
      <w:r>
        <w:fldChar w:fldCharType="separate"/>
      </w:r>
      <w:r>
        <w:rPr>
          <w:rFonts w:hint="eastAsia" w:ascii="宋体" w:hAnsi="宋体" w:cs="宋体"/>
          <w:bCs/>
          <w:sz w:val="22"/>
          <w:szCs w:val="21"/>
        </w:rPr>
        <w:t xml:space="preserve">3 </w:t>
      </w:r>
      <w:r>
        <w:rPr>
          <w:rFonts w:hint="eastAsia" w:ascii="宋体" w:hAnsi="宋体" w:cs="宋体"/>
          <w:bCs/>
          <w:sz w:val="22"/>
          <w:szCs w:val="21"/>
          <w:lang w:val="zh-CN"/>
        </w:rPr>
        <w:t>放锅阀</w:t>
      </w:r>
      <w:r>
        <w:rPr>
          <w:rFonts w:hint="eastAsia" w:ascii="宋体" w:hAnsi="宋体" w:cs="宋体"/>
          <w:bCs/>
          <w:sz w:val="22"/>
          <w:szCs w:val="21"/>
        </w:rPr>
        <w:t>及附件配置基本要求</w:t>
      </w:r>
      <w:r>
        <w:rPr>
          <w:sz w:val="22"/>
          <w:szCs w:val="20"/>
        </w:rPr>
        <w:tab/>
      </w:r>
      <w:r>
        <w:rPr>
          <w:sz w:val="22"/>
          <w:szCs w:val="20"/>
        </w:rPr>
        <w:fldChar w:fldCharType="begin"/>
      </w:r>
      <w:r>
        <w:rPr>
          <w:sz w:val="22"/>
          <w:szCs w:val="20"/>
        </w:rPr>
        <w:instrText xml:space="preserve"> PAGEREF _Toc11570 \h </w:instrText>
      </w:r>
      <w:r>
        <w:rPr>
          <w:sz w:val="22"/>
          <w:szCs w:val="20"/>
        </w:rPr>
        <w:fldChar w:fldCharType="separate"/>
      </w:r>
      <w:r>
        <w:rPr>
          <w:sz w:val="22"/>
          <w:szCs w:val="20"/>
        </w:rPr>
        <w:t>115</w:t>
      </w:r>
      <w:r>
        <w:rPr>
          <w:sz w:val="22"/>
          <w:szCs w:val="20"/>
        </w:rPr>
        <w:fldChar w:fldCharType="end"/>
      </w:r>
      <w:r>
        <w:rPr>
          <w:sz w:val="22"/>
          <w:szCs w:val="20"/>
        </w:rPr>
        <w:fldChar w:fldCharType="end"/>
      </w:r>
    </w:p>
    <w:p w14:paraId="0AB5BE43">
      <w:pPr>
        <w:pStyle w:val="13"/>
        <w:tabs>
          <w:tab w:val="right" w:leader="dot" w:pos="9072"/>
        </w:tabs>
        <w:ind w:left="560"/>
        <w:rPr>
          <w:sz w:val="22"/>
          <w:szCs w:val="20"/>
        </w:rPr>
      </w:pPr>
      <w:r>
        <w:fldChar w:fldCharType="begin"/>
      </w:r>
      <w:r>
        <w:instrText xml:space="preserve"> HYPERLINK \l "_Toc10655" </w:instrText>
      </w:r>
      <w:r>
        <w:fldChar w:fldCharType="separate"/>
      </w:r>
      <w:r>
        <w:rPr>
          <w:rFonts w:hint="eastAsia" w:ascii="宋体" w:hAnsi="宋体" w:cs="宋体"/>
          <w:bCs/>
          <w:sz w:val="22"/>
          <w:szCs w:val="21"/>
        </w:rPr>
        <w:t>4 蒸煮工段控制阀及附件配置基本要求</w:t>
      </w:r>
      <w:r>
        <w:rPr>
          <w:sz w:val="22"/>
          <w:szCs w:val="20"/>
        </w:rPr>
        <w:tab/>
      </w:r>
      <w:r>
        <w:rPr>
          <w:sz w:val="22"/>
          <w:szCs w:val="20"/>
        </w:rPr>
        <w:fldChar w:fldCharType="begin"/>
      </w:r>
      <w:r>
        <w:rPr>
          <w:sz w:val="22"/>
          <w:szCs w:val="20"/>
        </w:rPr>
        <w:instrText xml:space="preserve"> PAGEREF _Toc10655 \h </w:instrText>
      </w:r>
      <w:r>
        <w:rPr>
          <w:sz w:val="22"/>
          <w:szCs w:val="20"/>
        </w:rPr>
        <w:fldChar w:fldCharType="separate"/>
      </w:r>
      <w:r>
        <w:rPr>
          <w:sz w:val="22"/>
          <w:szCs w:val="20"/>
        </w:rPr>
        <w:t>115</w:t>
      </w:r>
      <w:r>
        <w:rPr>
          <w:sz w:val="22"/>
          <w:szCs w:val="20"/>
        </w:rPr>
        <w:fldChar w:fldCharType="end"/>
      </w:r>
      <w:r>
        <w:rPr>
          <w:sz w:val="22"/>
          <w:szCs w:val="20"/>
        </w:rPr>
        <w:fldChar w:fldCharType="end"/>
      </w:r>
    </w:p>
    <w:p w14:paraId="41D5E9C7">
      <w:pPr>
        <w:pStyle w:val="13"/>
        <w:tabs>
          <w:tab w:val="right" w:leader="dot" w:pos="9072"/>
        </w:tabs>
        <w:ind w:left="560"/>
        <w:rPr>
          <w:sz w:val="22"/>
          <w:szCs w:val="20"/>
        </w:rPr>
      </w:pPr>
      <w:r>
        <w:fldChar w:fldCharType="begin"/>
      </w:r>
      <w:r>
        <w:instrText xml:space="preserve"> HYPERLINK \l "_Toc18764" </w:instrText>
      </w:r>
      <w:r>
        <w:fldChar w:fldCharType="separate"/>
      </w:r>
      <w:r>
        <w:rPr>
          <w:rFonts w:hint="eastAsia" w:ascii="宋体" w:hAnsi="宋体" w:cs="宋体"/>
          <w:bCs/>
          <w:sz w:val="22"/>
          <w:szCs w:val="21"/>
        </w:rPr>
        <w:t>5 洗选和备料工段控制阀基本技术要求</w:t>
      </w:r>
      <w:r>
        <w:rPr>
          <w:sz w:val="22"/>
          <w:szCs w:val="20"/>
        </w:rPr>
        <w:tab/>
      </w:r>
      <w:r>
        <w:rPr>
          <w:sz w:val="22"/>
          <w:szCs w:val="20"/>
        </w:rPr>
        <w:fldChar w:fldCharType="begin"/>
      </w:r>
      <w:r>
        <w:rPr>
          <w:sz w:val="22"/>
          <w:szCs w:val="20"/>
        </w:rPr>
        <w:instrText xml:space="preserve"> PAGEREF _Toc18764 \h </w:instrText>
      </w:r>
      <w:r>
        <w:rPr>
          <w:sz w:val="22"/>
          <w:szCs w:val="20"/>
        </w:rPr>
        <w:fldChar w:fldCharType="separate"/>
      </w:r>
      <w:r>
        <w:rPr>
          <w:sz w:val="22"/>
          <w:szCs w:val="20"/>
        </w:rPr>
        <w:t>115</w:t>
      </w:r>
      <w:r>
        <w:rPr>
          <w:sz w:val="22"/>
          <w:szCs w:val="20"/>
        </w:rPr>
        <w:fldChar w:fldCharType="end"/>
      </w:r>
      <w:r>
        <w:rPr>
          <w:sz w:val="22"/>
          <w:szCs w:val="20"/>
        </w:rPr>
        <w:fldChar w:fldCharType="end"/>
      </w:r>
    </w:p>
    <w:p w14:paraId="38618C6A">
      <w:pPr>
        <w:pStyle w:val="13"/>
        <w:tabs>
          <w:tab w:val="right" w:leader="dot" w:pos="9072"/>
        </w:tabs>
        <w:ind w:left="560"/>
        <w:rPr>
          <w:sz w:val="22"/>
          <w:szCs w:val="20"/>
        </w:rPr>
      </w:pPr>
      <w:r>
        <w:fldChar w:fldCharType="begin"/>
      </w:r>
      <w:r>
        <w:instrText xml:space="preserve"> HYPERLINK \l "_Toc10900" </w:instrText>
      </w:r>
      <w:r>
        <w:fldChar w:fldCharType="separate"/>
      </w:r>
      <w:r>
        <w:rPr>
          <w:rFonts w:hint="eastAsia" w:ascii="宋体" w:hAnsi="宋体" w:cs="宋体"/>
          <w:bCs/>
          <w:sz w:val="22"/>
          <w:szCs w:val="21"/>
        </w:rPr>
        <w:t>6 电磁流量计及附件配置技术要求</w:t>
      </w:r>
      <w:r>
        <w:rPr>
          <w:sz w:val="22"/>
          <w:szCs w:val="20"/>
        </w:rPr>
        <w:tab/>
      </w:r>
      <w:r>
        <w:rPr>
          <w:sz w:val="22"/>
          <w:szCs w:val="20"/>
        </w:rPr>
        <w:fldChar w:fldCharType="begin"/>
      </w:r>
      <w:r>
        <w:rPr>
          <w:sz w:val="22"/>
          <w:szCs w:val="20"/>
        </w:rPr>
        <w:instrText xml:space="preserve"> PAGEREF _Toc10900 \h </w:instrText>
      </w:r>
      <w:r>
        <w:rPr>
          <w:sz w:val="22"/>
          <w:szCs w:val="20"/>
        </w:rPr>
        <w:fldChar w:fldCharType="separate"/>
      </w:r>
      <w:r>
        <w:rPr>
          <w:sz w:val="22"/>
          <w:szCs w:val="20"/>
        </w:rPr>
        <w:t>116</w:t>
      </w:r>
      <w:r>
        <w:rPr>
          <w:sz w:val="22"/>
          <w:szCs w:val="20"/>
        </w:rPr>
        <w:fldChar w:fldCharType="end"/>
      </w:r>
      <w:r>
        <w:rPr>
          <w:sz w:val="22"/>
          <w:szCs w:val="20"/>
        </w:rPr>
        <w:fldChar w:fldCharType="end"/>
      </w:r>
    </w:p>
    <w:p w14:paraId="540240DD">
      <w:pPr>
        <w:pStyle w:val="13"/>
        <w:tabs>
          <w:tab w:val="right" w:leader="dot" w:pos="9072"/>
        </w:tabs>
        <w:ind w:left="560"/>
        <w:rPr>
          <w:sz w:val="22"/>
          <w:szCs w:val="20"/>
        </w:rPr>
      </w:pPr>
      <w:r>
        <w:fldChar w:fldCharType="begin"/>
      </w:r>
      <w:r>
        <w:instrText xml:space="preserve"> HYPERLINK \l "_Toc2115" </w:instrText>
      </w:r>
      <w:r>
        <w:fldChar w:fldCharType="separate"/>
      </w:r>
      <w:r>
        <w:rPr>
          <w:rFonts w:hint="eastAsia" w:ascii="宋体" w:hAnsi="宋体" w:cs="宋体"/>
          <w:bCs/>
          <w:sz w:val="22"/>
          <w:szCs w:val="21"/>
        </w:rPr>
        <w:t>7 涡街流量计</w:t>
      </w:r>
      <w:r>
        <w:rPr>
          <w:sz w:val="22"/>
          <w:szCs w:val="20"/>
        </w:rPr>
        <w:tab/>
      </w:r>
      <w:r>
        <w:rPr>
          <w:sz w:val="22"/>
          <w:szCs w:val="20"/>
        </w:rPr>
        <w:fldChar w:fldCharType="begin"/>
      </w:r>
      <w:r>
        <w:rPr>
          <w:sz w:val="22"/>
          <w:szCs w:val="20"/>
        </w:rPr>
        <w:instrText xml:space="preserve"> PAGEREF _Toc2115 \h </w:instrText>
      </w:r>
      <w:r>
        <w:rPr>
          <w:sz w:val="22"/>
          <w:szCs w:val="20"/>
        </w:rPr>
        <w:fldChar w:fldCharType="separate"/>
      </w:r>
      <w:r>
        <w:rPr>
          <w:sz w:val="22"/>
          <w:szCs w:val="20"/>
        </w:rPr>
        <w:t>116</w:t>
      </w:r>
      <w:r>
        <w:rPr>
          <w:sz w:val="22"/>
          <w:szCs w:val="20"/>
        </w:rPr>
        <w:fldChar w:fldCharType="end"/>
      </w:r>
      <w:r>
        <w:rPr>
          <w:sz w:val="22"/>
          <w:szCs w:val="20"/>
        </w:rPr>
        <w:fldChar w:fldCharType="end"/>
      </w:r>
    </w:p>
    <w:p w14:paraId="25070D24">
      <w:pPr>
        <w:pStyle w:val="13"/>
        <w:tabs>
          <w:tab w:val="right" w:leader="dot" w:pos="9072"/>
        </w:tabs>
        <w:ind w:left="560"/>
        <w:rPr>
          <w:sz w:val="22"/>
          <w:szCs w:val="20"/>
        </w:rPr>
      </w:pPr>
      <w:r>
        <w:fldChar w:fldCharType="begin"/>
      </w:r>
      <w:r>
        <w:instrText xml:space="preserve"> HYPERLINK \l "_Toc25428" </w:instrText>
      </w:r>
      <w:r>
        <w:fldChar w:fldCharType="separate"/>
      </w:r>
      <w:r>
        <w:rPr>
          <w:rFonts w:hint="eastAsia" w:ascii="宋体" w:hAnsi="宋体" w:cs="宋体"/>
          <w:bCs/>
          <w:sz w:val="22"/>
          <w:szCs w:val="21"/>
        </w:rPr>
        <w:t>8 平衡孔板</w:t>
      </w:r>
      <w:r>
        <w:rPr>
          <w:sz w:val="22"/>
          <w:szCs w:val="20"/>
        </w:rPr>
        <w:tab/>
      </w:r>
      <w:r>
        <w:rPr>
          <w:sz w:val="22"/>
          <w:szCs w:val="20"/>
        </w:rPr>
        <w:fldChar w:fldCharType="begin"/>
      </w:r>
      <w:r>
        <w:rPr>
          <w:sz w:val="22"/>
          <w:szCs w:val="20"/>
        </w:rPr>
        <w:instrText xml:space="preserve"> PAGEREF _Toc25428 \h </w:instrText>
      </w:r>
      <w:r>
        <w:rPr>
          <w:sz w:val="22"/>
          <w:szCs w:val="20"/>
        </w:rPr>
        <w:fldChar w:fldCharType="separate"/>
      </w:r>
      <w:r>
        <w:rPr>
          <w:sz w:val="22"/>
          <w:szCs w:val="20"/>
        </w:rPr>
        <w:t>117</w:t>
      </w:r>
      <w:r>
        <w:rPr>
          <w:sz w:val="22"/>
          <w:szCs w:val="20"/>
        </w:rPr>
        <w:fldChar w:fldCharType="end"/>
      </w:r>
      <w:r>
        <w:rPr>
          <w:sz w:val="22"/>
          <w:szCs w:val="20"/>
        </w:rPr>
        <w:fldChar w:fldCharType="end"/>
      </w:r>
    </w:p>
    <w:p w14:paraId="50C0CBDA">
      <w:pPr>
        <w:pStyle w:val="13"/>
        <w:tabs>
          <w:tab w:val="right" w:leader="dot" w:pos="9072"/>
        </w:tabs>
        <w:ind w:left="560"/>
        <w:rPr>
          <w:sz w:val="22"/>
          <w:szCs w:val="20"/>
        </w:rPr>
      </w:pPr>
      <w:r>
        <w:fldChar w:fldCharType="begin"/>
      </w:r>
      <w:r>
        <w:instrText xml:space="preserve"> HYPERLINK \l "_Toc19386" </w:instrText>
      </w:r>
      <w:r>
        <w:fldChar w:fldCharType="separate"/>
      </w:r>
      <w:r>
        <w:rPr>
          <w:rFonts w:hint="eastAsia" w:ascii="宋体" w:hAnsi="宋体" w:cs="宋体"/>
          <w:bCs/>
          <w:sz w:val="22"/>
          <w:szCs w:val="21"/>
        </w:rPr>
        <w:t>9 压力（差压）变送器：</w:t>
      </w:r>
      <w:r>
        <w:rPr>
          <w:sz w:val="22"/>
          <w:szCs w:val="20"/>
        </w:rPr>
        <w:tab/>
      </w:r>
      <w:r>
        <w:rPr>
          <w:sz w:val="22"/>
          <w:szCs w:val="20"/>
        </w:rPr>
        <w:fldChar w:fldCharType="begin"/>
      </w:r>
      <w:r>
        <w:rPr>
          <w:sz w:val="22"/>
          <w:szCs w:val="20"/>
        </w:rPr>
        <w:instrText xml:space="preserve"> PAGEREF _Toc19386 \h </w:instrText>
      </w:r>
      <w:r>
        <w:rPr>
          <w:sz w:val="22"/>
          <w:szCs w:val="20"/>
        </w:rPr>
        <w:fldChar w:fldCharType="separate"/>
      </w:r>
      <w:r>
        <w:rPr>
          <w:sz w:val="22"/>
          <w:szCs w:val="20"/>
        </w:rPr>
        <w:t>117</w:t>
      </w:r>
      <w:r>
        <w:rPr>
          <w:sz w:val="22"/>
          <w:szCs w:val="20"/>
        </w:rPr>
        <w:fldChar w:fldCharType="end"/>
      </w:r>
      <w:r>
        <w:rPr>
          <w:sz w:val="22"/>
          <w:szCs w:val="20"/>
        </w:rPr>
        <w:fldChar w:fldCharType="end"/>
      </w:r>
    </w:p>
    <w:p w14:paraId="550838E0">
      <w:pPr>
        <w:pStyle w:val="13"/>
        <w:tabs>
          <w:tab w:val="right" w:leader="dot" w:pos="9072"/>
        </w:tabs>
        <w:ind w:left="560"/>
        <w:rPr>
          <w:sz w:val="22"/>
          <w:szCs w:val="20"/>
        </w:rPr>
      </w:pPr>
      <w:r>
        <w:fldChar w:fldCharType="begin"/>
      </w:r>
      <w:r>
        <w:instrText xml:space="preserve"> HYPERLINK \l "_Toc25578" </w:instrText>
      </w:r>
      <w:r>
        <w:fldChar w:fldCharType="separate"/>
      </w:r>
      <w:r>
        <w:rPr>
          <w:rFonts w:hint="eastAsia" w:ascii="宋体" w:hAnsi="宋体" w:cs="宋体"/>
          <w:bCs/>
          <w:sz w:val="22"/>
          <w:szCs w:val="21"/>
        </w:rPr>
        <w:t>10 液位变送器</w:t>
      </w:r>
      <w:r>
        <w:rPr>
          <w:sz w:val="22"/>
          <w:szCs w:val="20"/>
        </w:rPr>
        <w:tab/>
      </w:r>
      <w:r>
        <w:rPr>
          <w:sz w:val="22"/>
          <w:szCs w:val="20"/>
        </w:rPr>
        <w:fldChar w:fldCharType="begin"/>
      </w:r>
      <w:r>
        <w:rPr>
          <w:sz w:val="22"/>
          <w:szCs w:val="20"/>
        </w:rPr>
        <w:instrText xml:space="preserve"> PAGEREF _Toc25578 \h </w:instrText>
      </w:r>
      <w:r>
        <w:rPr>
          <w:sz w:val="22"/>
          <w:szCs w:val="20"/>
        </w:rPr>
        <w:fldChar w:fldCharType="separate"/>
      </w:r>
      <w:r>
        <w:rPr>
          <w:sz w:val="22"/>
          <w:szCs w:val="20"/>
        </w:rPr>
        <w:t>117</w:t>
      </w:r>
      <w:r>
        <w:rPr>
          <w:sz w:val="22"/>
          <w:szCs w:val="20"/>
        </w:rPr>
        <w:fldChar w:fldCharType="end"/>
      </w:r>
      <w:r>
        <w:rPr>
          <w:sz w:val="22"/>
          <w:szCs w:val="20"/>
        </w:rPr>
        <w:fldChar w:fldCharType="end"/>
      </w:r>
    </w:p>
    <w:p w14:paraId="53E43399">
      <w:pPr>
        <w:pStyle w:val="13"/>
        <w:tabs>
          <w:tab w:val="right" w:leader="dot" w:pos="9072"/>
        </w:tabs>
        <w:ind w:left="560"/>
        <w:rPr>
          <w:sz w:val="22"/>
          <w:szCs w:val="20"/>
        </w:rPr>
      </w:pPr>
      <w:r>
        <w:fldChar w:fldCharType="begin"/>
      </w:r>
      <w:r>
        <w:instrText xml:space="preserve"> HYPERLINK \l "_Toc11427" </w:instrText>
      </w:r>
      <w:r>
        <w:fldChar w:fldCharType="separate"/>
      </w:r>
      <w:r>
        <w:rPr>
          <w:rFonts w:hint="eastAsia" w:ascii="宋体" w:hAnsi="宋体" w:cs="宋体"/>
          <w:bCs/>
          <w:sz w:val="22"/>
          <w:szCs w:val="21"/>
        </w:rPr>
        <w:t>11 温度变送器及热电阻</w:t>
      </w:r>
      <w:r>
        <w:rPr>
          <w:sz w:val="22"/>
          <w:szCs w:val="20"/>
        </w:rPr>
        <w:tab/>
      </w:r>
      <w:r>
        <w:rPr>
          <w:sz w:val="22"/>
          <w:szCs w:val="20"/>
        </w:rPr>
        <w:fldChar w:fldCharType="begin"/>
      </w:r>
      <w:r>
        <w:rPr>
          <w:sz w:val="22"/>
          <w:szCs w:val="20"/>
        </w:rPr>
        <w:instrText xml:space="preserve"> PAGEREF _Toc11427 \h </w:instrText>
      </w:r>
      <w:r>
        <w:rPr>
          <w:sz w:val="22"/>
          <w:szCs w:val="20"/>
        </w:rPr>
        <w:fldChar w:fldCharType="separate"/>
      </w:r>
      <w:r>
        <w:rPr>
          <w:sz w:val="22"/>
          <w:szCs w:val="20"/>
        </w:rPr>
        <w:t>117</w:t>
      </w:r>
      <w:r>
        <w:rPr>
          <w:sz w:val="22"/>
          <w:szCs w:val="20"/>
        </w:rPr>
        <w:fldChar w:fldCharType="end"/>
      </w:r>
      <w:r>
        <w:rPr>
          <w:sz w:val="22"/>
          <w:szCs w:val="20"/>
        </w:rPr>
        <w:fldChar w:fldCharType="end"/>
      </w:r>
    </w:p>
    <w:p w14:paraId="119CDE60">
      <w:pPr>
        <w:pStyle w:val="13"/>
        <w:tabs>
          <w:tab w:val="right" w:leader="dot" w:pos="9072"/>
        </w:tabs>
        <w:ind w:left="560"/>
        <w:rPr>
          <w:sz w:val="22"/>
          <w:szCs w:val="20"/>
        </w:rPr>
      </w:pPr>
      <w:r>
        <w:fldChar w:fldCharType="begin"/>
      </w:r>
      <w:r>
        <w:instrText xml:space="preserve"> HYPERLINK \l "_Toc20046" </w:instrText>
      </w:r>
      <w:r>
        <w:fldChar w:fldCharType="separate"/>
      </w:r>
      <w:r>
        <w:rPr>
          <w:rFonts w:hint="eastAsia" w:ascii="宋体" w:hAnsi="宋体" w:cs="宋体"/>
          <w:bCs/>
          <w:sz w:val="22"/>
          <w:szCs w:val="21"/>
        </w:rPr>
        <w:t>12 料位开关</w:t>
      </w:r>
      <w:r>
        <w:rPr>
          <w:sz w:val="22"/>
          <w:szCs w:val="20"/>
        </w:rPr>
        <w:tab/>
      </w:r>
      <w:r>
        <w:rPr>
          <w:sz w:val="22"/>
          <w:szCs w:val="20"/>
        </w:rPr>
        <w:fldChar w:fldCharType="begin"/>
      </w:r>
      <w:r>
        <w:rPr>
          <w:sz w:val="22"/>
          <w:szCs w:val="20"/>
        </w:rPr>
        <w:instrText xml:space="preserve"> PAGEREF _Toc20046 \h </w:instrText>
      </w:r>
      <w:r>
        <w:rPr>
          <w:sz w:val="22"/>
          <w:szCs w:val="20"/>
        </w:rPr>
        <w:fldChar w:fldCharType="separate"/>
      </w:r>
      <w:r>
        <w:rPr>
          <w:sz w:val="22"/>
          <w:szCs w:val="20"/>
        </w:rPr>
        <w:t>117</w:t>
      </w:r>
      <w:r>
        <w:rPr>
          <w:sz w:val="22"/>
          <w:szCs w:val="20"/>
        </w:rPr>
        <w:fldChar w:fldCharType="end"/>
      </w:r>
      <w:r>
        <w:rPr>
          <w:sz w:val="22"/>
          <w:szCs w:val="20"/>
        </w:rPr>
        <w:fldChar w:fldCharType="end"/>
      </w:r>
    </w:p>
    <w:p w14:paraId="390611B7">
      <w:pPr>
        <w:pStyle w:val="13"/>
        <w:tabs>
          <w:tab w:val="right" w:leader="dot" w:pos="9072"/>
        </w:tabs>
        <w:ind w:left="560"/>
        <w:rPr>
          <w:sz w:val="22"/>
          <w:szCs w:val="20"/>
        </w:rPr>
      </w:pPr>
      <w:r>
        <w:fldChar w:fldCharType="begin"/>
      </w:r>
      <w:r>
        <w:instrText xml:space="preserve"> HYPERLINK \l "_Toc9912" </w:instrText>
      </w:r>
      <w:r>
        <w:fldChar w:fldCharType="separate"/>
      </w:r>
      <w:r>
        <w:rPr>
          <w:rFonts w:hint="eastAsia" w:ascii="宋体" w:hAnsi="宋体" w:cs="宋体"/>
          <w:bCs/>
          <w:sz w:val="22"/>
          <w:szCs w:val="21"/>
        </w:rPr>
        <w:t>13 蒸煮锅物料计量器</w:t>
      </w:r>
      <w:r>
        <w:rPr>
          <w:sz w:val="22"/>
          <w:szCs w:val="20"/>
        </w:rPr>
        <w:tab/>
      </w:r>
      <w:r>
        <w:rPr>
          <w:sz w:val="22"/>
          <w:szCs w:val="20"/>
        </w:rPr>
        <w:fldChar w:fldCharType="begin"/>
      </w:r>
      <w:r>
        <w:rPr>
          <w:sz w:val="22"/>
          <w:szCs w:val="20"/>
        </w:rPr>
        <w:instrText xml:space="preserve"> PAGEREF _Toc9912 \h </w:instrText>
      </w:r>
      <w:r>
        <w:rPr>
          <w:sz w:val="22"/>
          <w:szCs w:val="20"/>
        </w:rPr>
        <w:fldChar w:fldCharType="separate"/>
      </w:r>
      <w:r>
        <w:rPr>
          <w:sz w:val="22"/>
          <w:szCs w:val="20"/>
        </w:rPr>
        <w:t>118</w:t>
      </w:r>
      <w:r>
        <w:rPr>
          <w:sz w:val="22"/>
          <w:szCs w:val="20"/>
        </w:rPr>
        <w:fldChar w:fldCharType="end"/>
      </w:r>
      <w:r>
        <w:rPr>
          <w:sz w:val="22"/>
          <w:szCs w:val="20"/>
        </w:rPr>
        <w:fldChar w:fldCharType="end"/>
      </w:r>
    </w:p>
    <w:p w14:paraId="50DF451E">
      <w:pPr>
        <w:pStyle w:val="13"/>
        <w:tabs>
          <w:tab w:val="right" w:leader="dot" w:pos="9072"/>
        </w:tabs>
        <w:ind w:left="560"/>
        <w:rPr>
          <w:sz w:val="22"/>
          <w:szCs w:val="20"/>
        </w:rPr>
      </w:pPr>
      <w:r>
        <w:fldChar w:fldCharType="begin"/>
      </w:r>
      <w:r>
        <w:instrText xml:space="preserve"> HYPERLINK \l "_Toc4716" </w:instrText>
      </w:r>
      <w:r>
        <w:fldChar w:fldCharType="separate"/>
      </w:r>
      <w:r>
        <w:rPr>
          <w:rFonts w:hint="eastAsia" w:ascii="宋体" w:hAnsi="宋体" w:cs="宋体"/>
          <w:bCs/>
          <w:sz w:val="22"/>
          <w:szCs w:val="21"/>
        </w:rPr>
        <w:t>14 雷达料位计</w:t>
      </w:r>
      <w:r>
        <w:rPr>
          <w:sz w:val="22"/>
          <w:szCs w:val="20"/>
        </w:rPr>
        <w:tab/>
      </w:r>
      <w:r>
        <w:rPr>
          <w:sz w:val="22"/>
          <w:szCs w:val="20"/>
        </w:rPr>
        <w:fldChar w:fldCharType="begin"/>
      </w:r>
      <w:r>
        <w:rPr>
          <w:sz w:val="22"/>
          <w:szCs w:val="20"/>
        </w:rPr>
        <w:instrText xml:space="preserve"> PAGEREF _Toc4716 \h </w:instrText>
      </w:r>
      <w:r>
        <w:rPr>
          <w:sz w:val="22"/>
          <w:szCs w:val="20"/>
        </w:rPr>
        <w:fldChar w:fldCharType="separate"/>
      </w:r>
      <w:r>
        <w:rPr>
          <w:sz w:val="22"/>
          <w:szCs w:val="20"/>
        </w:rPr>
        <w:t>118</w:t>
      </w:r>
      <w:r>
        <w:rPr>
          <w:sz w:val="22"/>
          <w:szCs w:val="20"/>
        </w:rPr>
        <w:fldChar w:fldCharType="end"/>
      </w:r>
      <w:r>
        <w:rPr>
          <w:sz w:val="22"/>
          <w:szCs w:val="20"/>
        </w:rPr>
        <w:fldChar w:fldCharType="end"/>
      </w:r>
    </w:p>
    <w:p w14:paraId="1DA74109">
      <w:pPr>
        <w:pStyle w:val="13"/>
        <w:tabs>
          <w:tab w:val="right" w:leader="dot" w:pos="9072"/>
        </w:tabs>
        <w:ind w:left="560"/>
        <w:rPr>
          <w:sz w:val="22"/>
          <w:szCs w:val="20"/>
        </w:rPr>
      </w:pPr>
      <w:r>
        <w:fldChar w:fldCharType="begin"/>
      </w:r>
      <w:r>
        <w:instrText xml:space="preserve"> HYPERLINK \l "_Toc10471" </w:instrText>
      </w:r>
      <w:r>
        <w:fldChar w:fldCharType="separate"/>
      </w:r>
      <w:r>
        <w:rPr>
          <w:rFonts w:hint="eastAsia" w:ascii="宋体" w:hAnsi="宋体" w:cs="宋体"/>
          <w:bCs/>
          <w:sz w:val="22"/>
          <w:szCs w:val="21"/>
        </w:rPr>
        <w:t>15 智能皮带流量监控系统</w:t>
      </w:r>
      <w:r>
        <w:rPr>
          <w:sz w:val="22"/>
          <w:szCs w:val="20"/>
        </w:rPr>
        <w:tab/>
      </w:r>
      <w:r>
        <w:rPr>
          <w:sz w:val="22"/>
          <w:szCs w:val="20"/>
        </w:rPr>
        <w:fldChar w:fldCharType="begin"/>
      </w:r>
      <w:r>
        <w:rPr>
          <w:sz w:val="22"/>
          <w:szCs w:val="20"/>
        </w:rPr>
        <w:instrText xml:space="preserve"> PAGEREF _Toc10471 \h </w:instrText>
      </w:r>
      <w:r>
        <w:rPr>
          <w:sz w:val="22"/>
          <w:szCs w:val="20"/>
        </w:rPr>
        <w:fldChar w:fldCharType="separate"/>
      </w:r>
      <w:r>
        <w:rPr>
          <w:sz w:val="22"/>
          <w:szCs w:val="20"/>
        </w:rPr>
        <w:t>118</w:t>
      </w:r>
      <w:r>
        <w:rPr>
          <w:sz w:val="22"/>
          <w:szCs w:val="20"/>
        </w:rPr>
        <w:fldChar w:fldCharType="end"/>
      </w:r>
      <w:r>
        <w:rPr>
          <w:sz w:val="22"/>
          <w:szCs w:val="20"/>
        </w:rPr>
        <w:fldChar w:fldCharType="end"/>
      </w:r>
    </w:p>
    <w:p w14:paraId="31AB6DCC">
      <w:pPr>
        <w:pStyle w:val="13"/>
        <w:tabs>
          <w:tab w:val="right" w:leader="dot" w:pos="9072"/>
        </w:tabs>
        <w:ind w:left="560"/>
        <w:rPr>
          <w:sz w:val="22"/>
          <w:szCs w:val="20"/>
        </w:rPr>
      </w:pPr>
      <w:r>
        <w:fldChar w:fldCharType="begin"/>
      </w:r>
      <w:r>
        <w:instrText xml:space="preserve"> HYPERLINK \l "_Toc28516" </w:instrText>
      </w:r>
      <w:r>
        <w:fldChar w:fldCharType="separate"/>
      </w:r>
      <w:r>
        <w:rPr>
          <w:rFonts w:hint="eastAsia" w:ascii="宋体" w:hAnsi="宋体" w:cs="宋体"/>
          <w:bCs/>
          <w:sz w:val="22"/>
          <w:szCs w:val="21"/>
        </w:rPr>
        <w:t>16 在线分析仪</w:t>
      </w:r>
      <w:r>
        <w:rPr>
          <w:sz w:val="22"/>
          <w:szCs w:val="20"/>
        </w:rPr>
        <w:tab/>
      </w:r>
      <w:r>
        <w:rPr>
          <w:sz w:val="22"/>
          <w:szCs w:val="20"/>
        </w:rPr>
        <w:fldChar w:fldCharType="begin"/>
      </w:r>
      <w:r>
        <w:rPr>
          <w:sz w:val="22"/>
          <w:szCs w:val="20"/>
        </w:rPr>
        <w:instrText xml:space="preserve"> PAGEREF _Toc28516 \h </w:instrText>
      </w:r>
      <w:r>
        <w:rPr>
          <w:sz w:val="22"/>
          <w:szCs w:val="20"/>
        </w:rPr>
        <w:fldChar w:fldCharType="separate"/>
      </w:r>
      <w:r>
        <w:rPr>
          <w:sz w:val="22"/>
          <w:szCs w:val="20"/>
        </w:rPr>
        <w:t>118</w:t>
      </w:r>
      <w:r>
        <w:rPr>
          <w:sz w:val="22"/>
          <w:szCs w:val="20"/>
        </w:rPr>
        <w:fldChar w:fldCharType="end"/>
      </w:r>
      <w:r>
        <w:rPr>
          <w:sz w:val="22"/>
          <w:szCs w:val="20"/>
        </w:rPr>
        <w:fldChar w:fldCharType="end"/>
      </w:r>
    </w:p>
    <w:p w14:paraId="6536CB84">
      <w:pPr>
        <w:pStyle w:val="13"/>
        <w:tabs>
          <w:tab w:val="right" w:leader="dot" w:pos="9072"/>
        </w:tabs>
        <w:ind w:left="560"/>
        <w:rPr>
          <w:sz w:val="22"/>
          <w:szCs w:val="20"/>
        </w:rPr>
      </w:pPr>
      <w:r>
        <w:fldChar w:fldCharType="begin"/>
      </w:r>
      <w:r>
        <w:instrText xml:space="preserve"> HYPERLINK \l "_Toc31248" </w:instrText>
      </w:r>
      <w:r>
        <w:fldChar w:fldCharType="separate"/>
      </w:r>
      <w:r>
        <w:rPr>
          <w:rFonts w:hint="eastAsia" w:ascii="宋体" w:hAnsi="宋体" w:cs="宋体"/>
          <w:bCs/>
          <w:sz w:val="22"/>
          <w:szCs w:val="21"/>
        </w:rPr>
        <w:t>17 浓度计</w:t>
      </w:r>
      <w:r>
        <w:rPr>
          <w:sz w:val="22"/>
          <w:szCs w:val="20"/>
        </w:rPr>
        <w:tab/>
      </w:r>
      <w:r>
        <w:rPr>
          <w:sz w:val="22"/>
          <w:szCs w:val="20"/>
        </w:rPr>
        <w:fldChar w:fldCharType="begin"/>
      </w:r>
      <w:r>
        <w:rPr>
          <w:sz w:val="22"/>
          <w:szCs w:val="20"/>
        </w:rPr>
        <w:instrText xml:space="preserve"> PAGEREF _Toc31248 \h </w:instrText>
      </w:r>
      <w:r>
        <w:rPr>
          <w:sz w:val="22"/>
          <w:szCs w:val="20"/>
        </w:rPr>
        <w:fldChar w:fldCharType="separate"/>
      </w:r>
      <w:r>
        <w:rPr>
          <w:sz w:val="22"/>
          <w:szCs w:val="20"/>
        </w:rPr>
        <w:t>118</w:t>
      </w:r>
      <w:r>
        <w:rPr>
          <w:sz w:val="22"/>
          <w:szCs w:val="20"/>
        </w:rPr>
        <w:fldChar w:fldCharType="end"/>
      </w:r>
      <w:r>
        <w:rPr>
          <w:sz w:val="22"/>
          <w:szCs w:val="20"/>
        </w:rPr>
        <w:fldChar w:fldCharType="end"/>
      </w:r>
    </w:p>
    <w:p w14:paraId="264FB89E">
      <w:pPr>
        <w:pStyle w:val="13"/>
        <w:tabs>
          <w:tab w:val="right" w:leader="dot" w:pos="9072"/>
        </w:tabs>
        <w:ind w:left="560"/>
        <w:rPr>
          <w:sz w:val="22"/>
          <w:szCs w:val="20"/>
        </w:rPr>
      </w:pPr>
      <w:r>
        <w:fldChar w:fldCharType="begin"/>
      </w:r>
      <w:r>
        <w:instrText xml:space="preserve"> HYPERLINK \l "_Toc3021" </w:instrText>
      </w:r>
      <w:r>
        <w:fldChar w:fldCharType="separate"/>
      </w:r>
      <w:r>
        <w:rPr>
          <w:rFonts w:hint="eastAsia" w:ascii="宋体" w:hAnsi="宋体" w:cs="宋体"/>
          <w:bCs/>
          <w:sz w:val="22"/>
          <w:szCs w:val="21"/>
        </w:rPr>
        <w:t>18 接近开关</w:t>
      </w:r>
      <w:r>
        <w:rPr>
          <w:sz w:val="22"/>
          <w:szCs w:val="20"/>
        </w:rPr>
        <w:tab/>
      </w:r>
      <w:r>
        <w:rPr>
          <w:sz w:val="22"/>
          <w:szCs w:val="20"/>
        </w:rPr>
        <w:fldChar w:fldCharType="begin"/>
      </w:r>
      <w:r>
        <w:rPr>
          <w:sz w:val="22"/>
          <w:szCs w:val="20"/>
        </w:rPr>
        <w:instrText xml:space="preserve"> PAGEREF _Toc3021 \h </w:instrText>
      </w:r>
      <w:r>
        <w:rPr>
          <w:sz w:val="22"/>
          <w:szCs w:val="20"/>
        </w:rPr>
        <w:fldChar w:fldCharType="separate"/>
      </w:r>
      <w:r>
        <w:rPr>
          <w:sz w:val="22"/>
          <w:szCs w:val="20"/>
        </w:rPr>
        <w:t>119</w:t>
      </w:r>
      <w:r>
        <w:rPr>
          <w:sz w:val="22"/>
          <w:szCs w:val="20"/>
        </w:rPr>
        <w:fldChar w:fldCharType="end"/>
      </w:r>
      <w:r>
        <w:rPr>
          <w:sz w:val="22"/>
          <w:szCs w:val="20"/>
        </w:rPr>
        <w:fldChar w:fldCharType="end"/>
      </w:r>
    </w:p>
    <w:p w14:paraId="3B9838EF">
      <w:pPr>
        <w:pStyle w:val="13"/>
        <w:tabs>
          <w:tab w:val="right" w:leader="dot" w:pos="9072"/>
        </w:tabs>
        <w:ind w:left="560"/>
        <w:rPr>
          <w:sz w:val="22"/>
          <w:szCs w:val="20"/>
        </w:rPr>
      </w:pPr>
      <w:r>
        <w:fldChar w:fldCharType="begin"/>
      </w:r>
      <w:r>
        <w:instrText xml:space="preserve"> HYPERLINK \l "_Toc7367" </w:instrText>
      </w:r>
      <w:r>
        <w:fldChar w:fldCharType="separate"/>
      </w:r>
      <w:r>
        <w:rPr>
          <w:rFonts w:hint="eastAsia" w:ascii="宋体" w:hAnsi="宋体" w:cs="宋体"/>
          <w:bCs/>
          <w:sz w:val="22"/>
          <w:szCs w:val="21"/>
        </w:rPr>
        <w:t>19 信号电缆</w:t>
      </w:r>
      <w:r>
        <w:rPr>
          <w:sz w:val="22"/>
          <w:szCs w:val="20"/>
        </w:rPr>
        <w:tab/>
      </w:r>
      <w:r>
        <w:rPr>
          <w:sz w:val="22"/>
          <w:szCs w:val="20"/>
        </w:rPr>
        <w:fldChar w:fldCharType="begin"/>
      </w:r>
      <w:r>
        <w:rPr>
          <w:sz w:val="22"/>
          <w:szCs w:val="20"/>
        </w:rPr>
        <w:instrText xml:space="preserve"> PAGEREF _Toc7367 \h </w:instrText>
      </w:r>
      <w:r>
        <w:rPr>
          <w:sz w:val="22"/>
          <w:szCs w:val="20"/>
        </w:rPr>
        <w:fldChar w:fldCharType="separate"/>
      </w:r>
      <w:r>
        <w:rPr>
          <w:sz w:val="22"/>
          <w:szCs w:val="20"/>
        </w:rPr>
        <w:t>119</w:t>
      </w:r>
      <w:r>
        <w:rPr>
          <w:sz w:val="22"/>
          <w:szCs w:val="20"/>
        </w:rPr>
        <w:fldChar w:fldCharType="end"/>
      </w:r>
      <w:r>
        <w:rPr>
          <w:sz w:val="22"/>
          <w:szCs w:val="20"/>
        </w:rPr>
        <w:fldChar w:fldCharType="end"/>
      </w:r>
    </w:p>
    <w:p w14:paraId="4E0B2993">
      <w:pPr>
        <w:pStyle w:val="13"/>
        <w:tabs>
          <w:tab w:val="right" w:leader="dot" w:pos="9072"/>
        </w:tabs>
        <w:ind w:left="560"/>
        <w:rPr>
          <w:sz w:val="22"/>
          <w:szCs w:val="20"/>
        </w:rPr>
      </w:pPr>
      <w:r>
        <w:fldChar w:fldCharType="begin"/>
      </w:r>
      <w:r>
        <w:instrText xml:space="preserve"> HYPERLINK \l "_Toc17658" </w:instrText>
      </w:r>
      <w:r>
        <w:fldChar w:fldCharType="separate"/>
      </w:r>
      <w:r>
        <w:rPr>
          <w:rFonts w:hint="eastAsia" w:ascii="宋体" w:hAnsi="宋体" w:cs="宋体"/>
          <w:bCs/>
          <w:sz w:val="22"/>
          <w:szCs w:val="21"/>
        </w:rPr>
        <w:t>20 现场FB箱</w:t>
      </w:r>
      <w:r>
        <w:rPr>
          <w:sz w:val="22"/>
          <w:szCs w:val="20"/>
        </w:rPr>
        <w:tab/>
      </w:r>
      <w:r>
        <w:rPr>
          <w:sz w:val="22"/>
          <w:szCs w:val="20"/>
        </w:rPr>
        <w:fldChar w:fldCharType="begin"/>
      </w:r>
      <w:r>
        <w:rPr>
          <w:sz w:val="22"/>
          <w:szCs w:val="20"/>
        </w:rPr>
        <w:instrText xml:space="preserve"> PAGEREF _Toc17658 \h </w:instrText>
      </w:r>
      <w:r>
        <w:rPr>
          <w:sz w:val="22"/>
          <w:szCs w:val="20"/>
        </w:rPr>
        <w:fldChar w:fldCharType="separate"/>
      </w:r>
      <w:r>
        <w:rPr>
          <w:sz w:val="22"/>
          <w:szCs w:val="20"/>
        </w:rPr>
        <w:t>119</w:t>
      </w:r>
      <w:r>
        <w:rPr>
          <w:sz w:val="22"/>
          <w:szCs w:val="20"/>
        </w:rPr>
        <w:fldChar w:fldCharType="end"/>
      </w:r>
      <w:r>
        <w:rPr>
          <w:sz w:val="22"/>
          <w:szCs w:val="20"/>
        </w:rPr>
        <w:fldChar w:fldCharType="end"/>
      </w:r>
    </w:p>
    <w:p w14:paraId="665FFB0C">
      <w:pPr>
        <w:pStyle w:val="13"/>
        <w:tabs>
          <w:tab w:val="right" w:leader="dot" w:pos="9072"/>
        </w:tabs>
        <w:ind w:left="560"/>
        <w:rPr>
          <w:sz w:val="22"/>
          <w:szCs w:val="20"/>
        </w:rPr>
      </w:pPr>
      <w:r>
        <w:fldChar w:fldCharType="begin"/>
      </w:r>
      <w:r>
        <w:instrText xml:space="preserve"> HYPERLINK \l "_Toc29166" </w:instrText>
      </w:r>
      <w:r>
        <w:fldChar w:fldCharType="separate"/>
      </w:r>
      <w:r>
        <w:rPr>
          <w:rFonts w:hint="eastAsia" w:ascii="宋体" w:hAnsi="宋体" w:cs="宋体"/>
          <w:bCs/>
          <w:sz w:val="22"/>
          <w:szCs w:val="21"/>
        </w:rPr>
        <w:t>21 本项目仪表用气和工艺用气</w:t>
      </w:r>
      <w:r>
        <w:rPr>
          <w:sz w:val="22"/>
          <w:szCs w:val="20"/>
        </w:rPr>
        <w:tab/>
      </w:r>
      <w:r>
        <w:rPr>
          <w:sz w:val="22"/>
          <w:szCs w:val="20"/>
        </w:rPr>
        <w:fldChar w:fldCharType="begin"/>
      </w:r>
      <w:r>
        <w:rPr>
          <w:sz w:val="22"/>
          <w:szCs w:val="20"/>
        </w:rPr>
        <w:instrText xml:space="preserve"> PAGEREF _Toc29166 \h </w:instrText>
      </w:r>
      <w:r>
        <w:rPr>
          <w:sz w:val="22"/>
          <w:szCs w:val="20"/>
        </w:rPr>
        <w:fldChar w:fldCharType="separate"/>
      </w:r>
      <w:r>
        <w:rPr>
          <w:sz w:val="22"/>
          <w:szCs w:val="20"/>
        </w:rPr>
        <w:t>119</w:t>
      </w:r>
      <w:r>
        <w:rPr>
          <w:sz w:val="22"/>
          <w:szCs w:val="20"/>
        </w:rPr>
        <w:fldChar w:fldCharType="end"/>
      </w:r>
      <w:r>
        <w:rPr>
          <w:sz w:val="22"/>
          <w:szCs w:val="20"/>
        </w:rPr>
        <w:fldChar w:fldCharType="end"/>
      </w:r>
    </w:p>
    <w:p w14:paraId="5A8A2AF1">
      <w:pPr>
        <w:pStyle w:val="13"/>
        <w:tabs>
          <w:tab w:val="right" w:leader="dot" w:pos="9072"/>
        </w:tabs>
        <w:ind w:left="560"/>
        <w:rPr>
          <w:sz w:val="22"/>
          <w:szCs w:val="20"/>
        </w:rPr>
      </w:pPr>
      <w:r>
        <w:fldChar w:fldCharType="begin"/>
      </w:r>
      <w:r>
        <w:instrText xml:space="preserve"> HYPERLINK \l "_Toc5531" </w:instrText>
      </w:r>
      <w:r>
        <w:fldChar w:fldCharType="separate"/>
      </w:r>
      <w:r>
        <w:rPr>
          <w:rFonts w:hint="eastAsia" w:ascii="宋体" w:hAnsi="宋体" w:cs="宋体"/>
          <w:sz w:val="22"/>
          <w:szCs w:val="21"/>
        </w:rPr>
        <w:t xml:space="preserve">22 </w:t>
      </w:r>
      <w:r>
        <w:rPr>
          <w:rFonts w:hint="eastAsia" w:cs="宋体"/>
          <w:sz w:val="22"/>
          <w:szCs w:val="15"/>
        </w:rPr>
        <w:t>臭气处理系统仪控设备技术要求</w:t>
      </w:r>
      <w:r>
        <w:rPr>
          <w:sz w:val="22"/>
          <w:szCs w:val="20"/>
        </w:rPr>
        <w:tab/>
      </w:r>
      <w:r>
        <w:rPr>
          <w:sz w:val="22"/>
          <w:szCs w:val="20"/>
        </w:rPr>
        <w:fldChar w:fldCharType="begin"/>
      </w:r>
      <w:r>
        <w:rPr>
          <w:sz w:val="22"/>
          <w:szCs w:val="20"/>
        </w:rPr>
        <w:instrText xml:space="preserve"> PAGEREF _Toc5531 \h </w:instrText>
      </w:r>
      <w:r>
        <w:rPr>
          <w:sz w:val="22"/>
          <w:szCs w:val="20"/>
        </w:rPr>
        <w:fldChar w:fldCharType="separate"/>
      </w:r>
      <w:r>
        <w:rPr>
          <w:sz w:val="22"/>
          <w:szCs w:val="20"/>
        </w:rPr>
        <w:t>120</w:t>
      </w:r>
      <w:r>
        <w:rPr>
          <w:sz w:val="22"/>
          <w:szCs w:val="20"/>
        </w:rPr>
        <w:fldChar w:fldCharType="end"/>
      </w:r>
      <w:r>
        <w:rPr>
          <w:sz w:val="22"/>
          <w:szCs w:val="20"/>
        </w:rPr>
        <w:fldChar w:fldCharType="end"/>
      </w:r>
    </w:p>
    <w:p w14:paraId="035CF321">
      <w:pPr>
        <w:pStyle w:val="13"/>
        <w:tabs>
          <w:tab w:val="right" w:leader="dot" w:pos="9072"/>
        </w:tabs>
        <w:ind w:left="560"/>
        <w:rPr>
          <w:sz w:val="22"/>
          <w:szCs w:val="20"/>
        </w:rPr>
      </w:pPr>
      <w:r>
        <w:fldChar w:fldCharType="begin"/>
      </w:r>
      <w:r>
        <w:instrText xml:space="preserve"> HYPERLINK \l "_Toc6505" </w:instrText>
      </w:r>
      <w:r>
        <w:fldChar w:fldCharType="separate"/>
      </w:r>
      <w:r>
        <w:rPr>
          <w:rFonts w:hint="eastAsia" w:ascii="宋体" w:hAnsi="宋体" w:cs="宋体"/>
          <w:bCs/>
          <w:spacing w:val="20"/>
          <w:sz w:val="22"/>
          <w:szCs w:val="21"/>
        </w:rPr>
        <w:t xml:space="preserve">23 </w:t>
      </w:r>
      <w:r>
        <w:rPr>
          <w:rFonts w:hint="eastAsia" w:ascii="宋体" w:hAnsi="宋体" w:cs="宋体"/>
          <w:bCs/>
          <w:spacing w:val="20"/>
          <w:sz w:val="22"/>
          <w:lang w:val="zh-CN"/>
        </w:rPr>
        <w:t>仪控设备（系统）安装技术要求</w:t>
      </w:r>
      <w:r>
        <w:rPr>
          <w:sz w:val="22"/>
          <w:szCs w:val="20"/>
        </w:rPr>
        <w:tab/>
      </w:r>
      <w:r>
        <w:rPr>
          <w:sz w:val="22"/>
          <w:szCs w:val="20"/>
        </w:rPr>
        <w:fldChar w:fldCharType="begin"/>
      </w:r>
      <w:r>
        <w:rPr>
          <w:sz w:val="22"/>
          <w:szCs w:val="20"/>
        </w:rPr>
        <w:instrText xml:space="preserve"> PAGEREF _Toc6505 \h </w:instrText>
      </w:r>
      <w:r>
        <w:rPr>
          <w:sz w:val="22"/>
          <w:szCs w:val="20"/>
        </w:rPr>
        <w:fldChar w:fldCharType="separate"/>
      </w:r>
      <w:r>
        <w:rPr>
          <w:sz w:val="22"/>
          <w:szCs w:val="20"/>
        </w:rPr>
        <w:t>120</w:t>
      </w:r>
      <w:r>
        <w:rPr>
          <w:sz w:val="22"/>
          <w:szCs w:val="20"/>
        </w:rPr>
        <w:fldChar w:fldCharType="end"/>
      </w:r>
      <w:r>
        <w:rPr>
          <w:sz w:val="22"/>
          <w:szCs w:val="20"/>
        </w:rPr>
        <w:fldChar w:fldCharType="end"/>
      </w:r>
    </w:p>
    <w:p w14:paraId="4FCB6EBC">
      <w:pPr>
        <w:pStyle w:val="12"/>
        <w:tabs>
          <w:tab w:val="right" w:leader="dot" w:pos="9072"/>
        </w:tabs>
        <w:ind w:left="280" w:leftChars="100"/>
        <w:rPr>
          <w:sz w:val="22"/>
          <w:szCs w:val="20"/>
        </w:rPr>
      </w:pPr>
      <w:r>
        <w:fldChar w:fldCharType="begin"/>
      </w:r>
      <w:r>
        <w:instrText xml:space="preserve"> HYPERLINK \l "_Toc13870" </w:instrText>
      </w:r>
      <w:r>
        <w:fldChar w:fldCharType="separate"/>
      </w:r>
      <w:r>
        <w:rPr>
          <w:rFonts w:hint="eastAsia" w:ascii="宋体" w:hAnsi="宋体" w:cs="宋体"/>
          <w:bCs/>
          <w:spacing w:val="20"/>
          <w:sz w:val="22"/>
        </w:rPr>
        <w:t>六、工业监控系统</w:t>
      </w:r>
      <w:r>
        <w:rPr>
          <w:sz w:val="22"/>
          <w:szCs w:val="20"/>
        </w:rPr>
        <w:tab/>
      </w:r>
      <w:r>
        <w:rPr>
          <w:sz w:val="22"/>
          <w:szCs w:val="20"/>
        </w:rPr>
        <w:fldChar w:fldCharType="begin"/>
      </w:r>
      <w:r>
        <w:rPr>
          <w:sz w:val="22"/>
          <w:szCs w:val="20"/>
        </w:rPr>
        <w:instrText xml:space="preserve"> PAGEREF _Toc13870 \h </w:instrText>
      </w:r>
      <w:r>
        <w:rPr>
          <w:sz w:val="22"/>
          <w:szCs w:val="20"/>
        </w:rPr>
        <w:fldChar w:fldCharType="separate"/>
      </w:r>
      <w:r>
        <w:rPr>
          <w:sz w:val="22"/>
          <w:szCs w:val="20"/>
        </w:rPr>
        <w:t>121</w:t>
      </w:r>
      <w:r>
        <w:rPr>
          <w:sz w:val="22"/>
          <w:szCs w:val="20"/>
        </w:rPr>
        <w:fldChar w:fldCharType="end"/>
      </w:r>
      <w:r>
        <w:rPr>
          <w:sz w:val="22"/>
          <w:szCs w:val="20"/>
        </w:rPr>
        <w:fldChar w:fldCharType="end"/>
      </w:r>
    </w:p>
    <w:p w14:paraId="7FD367D7">
      <w:pPr>
        <w:pStyle w:val="12"/>
        <w:tabs>
          <w:tab w:val="right" w:leader="dot" w:pos="9072"/>
        </w:tabs>
        <w:ind w:left="280" w:leftChars="100"/>
        <w:rPr>
          <w:sz w:val="22"/>
          <w:szCs w:val="20"/>
        </w:rPr>
      </w:pPr>
      <w:r>
        <w:fldChar w:fldCharType="begin"/>
      </w:r>
      <w:r>
        <w:instrText xml:space="preserve"> HYPERLINK \l "_Toc18753" </w:instrText>
      </w:r>
      <w:r>
        <w:fldChar w:fldCharType="separate"/>
      </w:r>
      <w:r>
        <w:rPr>
          <w:rFonts w:hint="eastAsia" w:ascii="宋体" w:hAnsi="宋体" w:cs="仿宋"/>
          <w:sz w:val="22"/>
        </w:rPr>
        <w:t>七、火灾自动报警系统</w:t>
      </w:r>
      <w:r>
        <w:rPr>
          <w:sz w:val="22"/>
          <w:szCs w:val="20"/>
        </w:rPr>
        <w:tab/>
      </w:r>
      <w:r>
        <w:rPr>
          <w:sz w:val="22"/>
          <w:szCs w:val="20"/>
        </w:rPr>
        <w:fldChar w:fldCharType="begin"/>
      </w:r>
      <w:r>
        <w:rPr>
          <w:sz w:val="22"/>
          <w:szCs w:val="20"/>
        </w:rPr>
        <w:instrText xml:space="preserve"> PAGEREF _Toc18753 \h </w:instrText>
      </w:r>
      <w:r>
        <w:rPr>
          <w:sz w:val="22"/>
          <w:szCs w:val="20"/>
        </w:rPr>
        <w:fldChar w:fldCharType="separate"/>
      </w:r>
      <w:r>
        <w:rPr>
          <w:sz w:val="22"/>
          <w:szCs w:val="20"/>
        </w:rPr>
        <w:t>122</w:t>
      </w:r>
      <w:r>
        <w:rPr>
          <w:sz w:val="22"/>
          <w:szCs w:val="20"/>
        </w:rPr>
        <w:fldChar w:fldCharType="end"/>
      </w:r>
      <w:r>
        <w:rPr>
          <w:sz w:val="22"/>
          <w:szCs w:val="20"/>
        </w:rPr>
        <w:fldChar w:fldCharType="end"/>
      </w:r>
    </w:p>
    <w:p w14:paraId="1C7116DA">
      <w:pPr>
        <w:pStyle w:val="12"/>
        <w:tabs>
          <w:tab w:val="right" w:leader="dot" w:pos="9072"/>
        </w:tabs>
        <w:ind w:left="280" w:leftChars="100"/>
        <w:rPr>
          <w:sz w:val="22"/>
          <w:szCs w:val="20"/>
        </w:rPr>
      </w:pPr>
      <w:r>
        <w:fldChar w:fldCharType="begin"/>
      </w:r>
      <w:r>
        <w:instrText xml:space="preserve"> HYPERLINK \l "_Toc28180" </w:instrText>
      </w:r>
      <w:r>
        <w:fldChar w:fldCharType="separate"/>
      </w:r>
      <w:r>
        <w:rPr>
          <w:rFonts w:hint="eastAsia" w:ascii="宋体" w:hAnsi="宋体" w:cs="宋体"/>
          <w:bCs/>
          <w:spacing w:val="20"/>
          <w:sz w:val="22"/>
        </w:rPr>
        <w:t>八、臭气检测报警系统（G</w:t>
      </w:r>
      <w:r>
        <w:rPr>
          <w:rFonts w:ascii="宋体" w:hAnsi="宋体" w:cs="宋体"/>
          <w:bCs/>
          <w:spacing w:val="20"/>
          <w:sz w:val="22"/>
        </w:rPr>
        <w:t>DS</w:t>
      </w:r>
      <w:r>
        <w:rPr>
          <w:rFonts w:hint="eastAsia" w:ascii="宋体" w:hAnsi="宋体" w:cs="宋体"/>
          <w:bCs/>
          <w:spacing w:val="20"/>
          <w:sz w:val="22"/>
        </w:rPr>
        <w:t>）</w:t>
      </w:r>
      <w:r>
        <w:rPr>
          <w:sz w:val="22"/>
          <w:szCs w:val="20"/>
        </w:rPr>
        <w:tab/>
      </w:r>
      <w:r>
        <w:rPr>
          <w:sz w:val="22"/>
          <w:szCs w:val="20"/>
        </w:rPr>
        <w:fldChar w:fldCharType="begin"/>
      </w:r>
      <w:r>
        <w:rPr>
          <w:sz w:val="22"/>
          <w:szCs w:val="20"/>
        </w:rPr>
        <w:instrText xml:space="preserve"> PAGEREF _Toc28180 \h </w:instrText>
      </w:r>
      <w:r>
        <w:rPr>
          <w:sz w:val="22"/>
          <w:szCs w:val="20"/>
        </w:rPr>
        <w:fldChar w:fldCharType="separate"/>
      </w:r>
      <w:r>
        <w:rPr>
          <w:sz w:val="22"/>
          <w:szCs w:val="20"/>
        </w:rPr>
        <w:t>122</w:t>
      </w:r>
      <w:r>
        <w:rPr>
          <w:sz w:val="22"/>
          <w:szCs w:val="20"/>
        </w:rPr>
        <w:fldChar w:fldCharType="end"/>
      </w:r>
      <w:r>
        <w:rPr>
          <w:sz w:val="22"/>
          <w:szCs w:val="20"/>
        </w:rPr>
        <w:fldChar w:fldCharType="end"/>
      </w:r>
    </w:p>
    <w:p w14:paraId="0B49410D">
      <w:pPr>
        <w:pStyle w:val="12"/>
        <w:tabs>
          <w:tab w:val="right" w:leader="dot" w:pos="9072"/>
        </w:tabs>
        <w:ind w:left="280" w:leftChars="100"/>
        <w:rPr>
          <w:sz w:val="22"/>
          <w:szCs w:val="20"/>
        </w:rPr>
      </w:pPr>
      <w:r>
        <w:fldChar w:fldCharType="begin"/>
      </w:r>
      <w:r>
        <w:instrText xml:space="preserve"> HYPERLINK \l "_Toc22243" </w:instrText>
      </w:r>
      <w:r>
        <w:fldChar w:fldCharType="separate"/>
      </w:r>
      <w:r>
        <w:rPr>
          <w:rFonts w:hint="eastAsia"/>
          <w:bCs/>
          <w:sz w:val="22"/>
          <w:szCs w:val="20"/>
        </w:rPr>
        <w:t>九、</w:t>
      </w:r>
      <w:r>
        <w:rPr>
          <w:rFonts w:hint="eastAsia" w:ascii="宋体" w:hAnsi="宋体" w:cs="仿宋"/>
          <w:bCs/>
          <w:sz w:val="22"/>
          <w:szCs w:val="20"/>
        </w:rPr>
        <w:t>MES信息采集系统</w:t>
      </w:r>
      <w:r>
        <w:rPr>
          <w:sz w:val="22"/>
          <w:szCs w:val="20"/>
        </w:rPr>
        <w:tab/>
      </w:r>
      <w:r>
        <w:rPr>
          <w:sz w:val="22"/>
          <w:szCs w:val="20"/>
        </w:rPr>
        <w:fldChar w:fldCharType="begin"/>
      </w:r>
      <w:r>
        <w:rPr>
          <w:sz w:val="22"/>
          <w:szCs w:val="20"/>
        </w:rPr>
        <w:instrText xml:space="preserve"> PAGEREF _Toc22243 \h </w:instrText>
      </w:r>
      <w:r>
        <w:rPr>
          <w:sz w:val="22"/>
          <w:szCs w:val="20"/>
        </w:rPr>
        <w:fldChar w:fldCharType="separate"/>
      </w:r>
      <w:r>
        <w:rPr>
          <w:sz w:val="22"/>
          <w:szCs w:val="20"/>
        </w:rPr>
        <w:t>122</w:t>
      </w:r>
      <w:r>
        <w:rPr>
          <w:sz w:val="22"/>
          <w:szCs w:val="20"/>
        </w:rPr>
        <w:fldChar w:fldCharType="end"/>
      </w:r>
      <w:r>
        <w:rPr>
          <w:sz w:val="22"/>
          <w:szCs w:val="20"/>
        </w:rPr>
        <w:fldChar w:fldCharType="end"/>
      </w:r>
    </w:p>
    <w:p w14:paraId="323CCFB3">
      <w:pPr>
        <w:pStyle w:val="12"/>
        <w:tabs>
          <w:tab w:val="right" w:leader="dot" w:pos="9072"/>
        </w:tabs>
        <w:ind w:left="280" w:leftChars="100"/>
        <w:rPr>
          <w:sz w:val="22"/>
          <w:szCs w:val="20"/>
        </w:rPr>
      </w:pPr>
      <w:r>
        <w:fldChar w:fldCharType="begin"/>
      </w:r>
      <w:r>
        <w:instrText xml:space="preserve"> HYPERLINK \l "_Toc594" </w:instrText>
      </w:r>
      <w:r>
        <w:fldChar w:fldCharType="separate"/>
      </w:r>
      <w:r>
        <w:rPr>
          <w:rFonts w:hint="eastAsia" w:ascii="宋体" w:hAnsi="宋体" w:cs="宋体"/>
          <w:bCs/>
          <w:spacing w:val="20"/>
          <w:sz w:val="22"/>
          <w:szCs w:val="21"/>
        </w:rPr>
        <w:t>十、涉及3</w:t>
      </w:r>
      <w:r>
        <w:rPr>
          <w:rFonts w:ascii="宋体" w:hAnsi="宋体" w:cs="宋体"/>
          <w:bCs/>
          <w:spacing w:val="20"/>
          <w:sz w:val="22"/>
          <w:szCs w:val="21"/>
        </w:rPr>
        <w:t>#</w:t>
      </w:r>
      <w:r>
        <w:rPr>
          <w:rFonts w:hint="eastAsia" w:ascii="宋体" w:hAnsi="宋体" w:cs="宋体"/>
          <w:bCs/>
          <w:spacing w:val="20"/>
          <w:sz w:val="22"/>
          <w:szCs w:val="21"/>
        </w:rPr>
        <w:t>洗选相关的工程</w:t>
      </w:r>
      <w:r>
        <w:rPr>
          <w:sz w:val="22"/>
          <w:szCs w:val="20"/>
        </w:rPr>
        <w:tab/>
      </w:r>
      <w:r>
        <w:rPr>
          <w:sz w:val="22"/>
          <w:szCs w:val="20"/>
        </w:rPr>
        <w:fldChar w:fldCharType="begin"/>
      </w:r>
      <w:r>
        <w:rPr>
          <w:sz w:val="22"/>
          <w:szCs w:val="20"/>
        </w:rPr>
        <w:instrText xml:space="preserve"> PAGEREF _Toc594 \h </w:instrText>
      </w:r>
      <w:r>
        <w:rPr>
          <w:sz w:val="22"/>
          <w:szCs w:val="20"/>
        </w:rPr>
        <w:fldChar w:fldCharType="separate"/>
      </w:r>
      <w:r>
        <w:rPr>
          <w:sz w:val="22"/>
          <w:szCs w:val="20"/>
        </w:rPr>
        <w:t>122</w:t>
      </w:r>
      <w:r>
        <w:rPr>
          <w:sz w:val="22"/>
          <w:szCs w:val="20"/>
        </w:rPr>
        <w:fldChar w:fldCharType="end"/>
      </w:r>
      <w:r>
        <w:rPr>
          <w:sz w:val="22"/>
          <w:szCs w:val="20"/>
        </w:rPr>
        <w:fldChar w:fldCharType="end"/>
      </w:r>
    </w:p>
    <w:p w14:paraId="754EA8A8">
      <w:pPr>
        <w:pStyle w:val="12"/>
        <w:tabs>
          <w:tab w:val="right" w:leader="dot" w:pos="9072"/>
        </w:tabs>
        <w:rPr>
          <w:sz w:val="22"/>
          <w:szCs w:val="20"/>
        </w:rPr>
      </w:pPr>
      <w:r>
        <w:fldChar w:fldCharType="begin"/>
      </w:r>
      <w:r>
        <w:instrText xml:space="preserve"> HYPERLINK \l "_Toc19300" </w:instrText>
      </w:r>
      <w:r>
        <w:fldChar w:fldCharType="separate"/>
      </w:r>
      <w:r>
        <w:rPr>
          <w:rFonts w:hint="eastAsia" w:ascii="宋体" w:hAnsi="宋体"/>
          <w:sz w:val="22"/>
          <w:szCs w:val="44"/>
        </w:rPr>
        <w:t>土建</w:t>
      </w:r>
      <w:r>
        <w:rPr>
          <w:sz w:val="22"/>
          <w:szCs w:val="20"/>
        </w:rPr>
        <w:tab/>
      </w:r>
      <w:r>
        <w:rPr>
          <w:sz w:val="22"/>
          <w:szCs w:val="20"/>
        </w:rPr>
        <w:fldChar w:fldCharType="begin"/>
      </w:r>
      <w:r>
        <w:rPr>
          <w:sz w:val="22"/>
          <w:szCs w:val="20"/>
        </w:rPr>
        <w:instrText xml:space="preserve"> PAGEREF _Toc19300 \h </w:instrText>
      </w:r>
      <w:r>
        <w:rPr>
          <w:sz w:val="22"/>
          <w:szCs w:val="20"/>
        </w:rPr>
        <w:fldChar w:fldCharType="separate"/>
      </w:r>
      <w:r>
        <w:rPr>
          <w:sz w:val="22"/>
          <w:szCs w:val="20"/>
        </w:rPr>
        <w:t>123</w:t>
      </w:r>
      <w:r>
        <w:rPr>
          <w:sz w:val="22"/>
          <w:szCs w:val="20"/>
        </w:rPr>
        <w:fldChar w:fldCharType="end"/>
      </w:r>
      <w:r>
        <w:rPr>
          <w:sz w:val="22"/>
          <w:szCs w:val="20"/>
        </w:rPr>
        <w:fldChar w:fldCharType="end"/>
      </w:r>
    </w:p>
    <w:p w14:paraId="706AE9AE">
      <w:pPr>
        <w:pStyle w:val="12"/>
        <w:tabs>
          <w:tab w:val="right" w:leader="dot" w:pos="9072"/>
        </w:tabs>
        <w:ind w:left="280" w:leftChars="100"/>
        <w:rPr>
          <w:sz w:val="22"/>
          <w:szCs w:val="20"/>
        </w:rPr>
      </w:pPr>
      <w:r>
        <w:fldChar w:fldCharType="begin"/>
      </w:r>
      <w:r>
        <w:instrText xml:space="preserve"> HYPERLINK \l "_Toc22332" </w:instrText>
      </w:r>
      <w:r>
        <w:fldChar w:fldCharType="separate"/>
      </w:r>
      <w:r>
        <w:rPr>
          <w:rFonts w:hint="eastAsia"/>
          <w:sz w:val="22"/>
          <w:szCs w:val="20"/>
        </w:rPr>
        <w:t>一、设计准则</w:t>
      </w:r>
      <w:r>
        <w:rPr>
          <w:sz w:val="22"/>
          <w:szCs w:val="20"/>
        </w:rPr>
        <w:tab/>
      </w:r>
      <w:r>
        <w:rPr>
          <w:sz w:val="22"/>
          <w:szCs w:val="20"/>
        </w:rPr>
        <w:fldChar w:fldCharType="begin"/>
      </w:r>
      <w:r>
        <w:rPr>
          <w:sz w:val="22"/>
          <w:szCs w:val="20"/>
        </w:rPr>
        <w:instrText xml:space="preserve"> PAGEREF _Toc22332 \h </w:instrText>
      </w:r>
      <w:r>
        <w:rPr>
          <w:sz w:val="22"/>
          <w:szCs w:val="20"/>
        </w:rPr>
        <w:fldChar w:fldCharType="separate"/>
      </w:r>
      <w:r>
        <w:rPr>
          <w:sz w:val="22"/>
          <w:szCs w:val="20"/>
        </w:rPr>
        <w:t>124</w:t>
      </w:r>
      <w:r>
        <w:rPr>
          <w:sz w:val="22"/>
          <w:szCs w:val="20"/>
        </w:rPr>
        <w:fldChar w:fldCharType="end"/>
      </w:r>
      <w:r>
        <w:rPr>
          <w:sz w:val="22"/>
          <w:szCs w:val="20"/>
        </w:rPr>
        <w:fldChar w:fldCharType="end"/>
      </w:r>
    </w:p>
    <w:p w14:paraId="5C51A4FC">
      <w:pPr>
        <w:pStyle w:val="13"/>
        <w:tabs>
          <w:tab w:val="right" w:leader="dot" w:pos="9072"/>
        </w:tabs>
        <w:ind w:left="560"/>
        <w:rPr>
          <w:sz w:val="22"/>
          <w:szCs w:val="20"/>
        </w:rPr>
      </w:pPr>
      <w:r>
        <w:fldChar w:fldCharType="begin"/>
      </w:r>
      <w:r>
        <w:instrText xml:space="preserve"> HYPERLINK \l "_Toc25339" </w:instrText>
      </w:r>
      <w:r>
        <w:fldChar w:fldCharType="separate"/>
      </w:r>
      <w:r>
        <w:rPr>
          <w:rFonts w:asciiTheme="minorEastAsia" w:hAnsiTheme="minorEastAsia" w:eastAsiaTheme="minorEastAsia" w:cstheme="minorEastAsia"/>
          <w:sz w:val="22"/>
          <w:szCs w:val="21"/>
        </w:rPr>
        <w:t xml:space="preserve">1.1 </w:t>
      </w:r>
      <w:r>
        <w:rPr>
          <w:rFonts w:hint="eastAsia"/>
          <w:sz w:val="22"/>
          <w:szCs w:val="20"/>
        </w:rPr>
        <w:t>设计实施准则</w:t>
      </w:r>
      <w:r>
        <w:rPr>
          <w:sz w:val="22"/>
          <w:szCs w:val="20"/>
        </w:rPr>
        <w:tab/>
      </w:r>
      <w:r>
        <w:rPr>
          <w:sz w:val="22"/>
          <w:szCs w:val="20"/>
        </w:rPr>
        <w:fldChar w:fldCharType="begin"/>
      </w:r>
      <w:r>
        <w:rPr>
          <w:sz w:val="22"/>
          <w:szCs w:val="20"/>
        </w:rPr>
        <w:instrText xml:space="preserve"> PAGEREF _Toc25339 \h </w:instrText>
      </w:r>
      <w:r>
        <w:rPr>
          <w:sz w:val="22"/>
          <w:szCs w:val="20"/>
        </w:rPr>
        <w:fldChar w:fldCharType="separate"/>
      </w:r>
      <w:r>
        <w:rPr>
          <w:sz w:val="22"/>
          <w:szCs w:val="20"/>
        </w:rPr>
        <w:t>124</w:t>
      </w:r>
      <w:r>
        <w:rPr>
          <w:sz w:val="22"/>
          <w:szCs w:val="20"/>
        </w:rPr>
        <w:fldChar w:fldCharType="end"/>
      </w:r>
      <w:r>
        <w:rPr>
          <w:sz w:val="22"/>
          <w:szCs w:val="20"/>
        </w:rPr>
        <w:fldChar w:fldCharType="end"/>
      </w:r>
    </w:p>
    <w:p w14:paraId="4E8F05DE">
      <w:pPr>
        <w:pStyle w:val="12"/>
        <w:tabs>
          <w:tab w:val="right" w:leader="dot" w:pos="9072"/>
        </w:tabs>
        <w:ind w:left="280" w:leftChars="100"/>
        <w:rPr>
          <w:sz w:val="22"/>
          <w:szCs w:val="20"/>
        </w:rPr>
      </w:pPr>
      <w:r>
        <w:fldChar w:fldCharType="begin"/>
      </w:r>
      <w:r>
        <w:instrText xml:space="preserve"> HYPERLINK \l "_Toc17567" </w:instrText>
      </w:r>
      <w:r>
        <w:fldChar w:fldCharType="separate"/>
      </w:r>
      <w:r>
        <w:rPr>
          <w:rFonts w:hint="eastAsia"/>
          <w:sz w:val="22"/>
          <w:szCs w:val="20"/>
        </w:rPr>
        <w:t>二、施工管理</w:t>
      </w:r>
      <w:r>
        <w:rPr>
          <w:sz w:val="22"/>
          <w:szCs w:val="20"/>
        </w:rPr>
        <w:tab/>
      </w:r>
      <w:r>
        <w:rPr>
          <w:sz w:val="22"/>
          <w:szCs w:val="20"/>
        </w:rPr>
        <w:fldChar w:fldCharType="begin"/>
      </w:r>
      <w:r>
        <w:rPr>
          <w:sz w:val="22"/>
          <w:szCs w:val="20"/>
        </w:rPr>
        <w:instrText xml:space="preserve"> PAGEREF _Toc17567 \h </w:instrText>
      </w:r>
      <w:r>
        <w:rPr>
          <w:sz w:val="22"/>
          <w:szCs w:val="20"/>
        </w:rPr>
        <w:fldChar w:fldCharType="separate"/>
      </w:r>
      <w:r>
        <w:rPr>
          <w:sz w:val="22"/>
          <w:szCs w:val="20"/>
        </w:rPr>
        <w:t>125</w:t>
      </w:r>
      <w:r>
        <w:rPr>
          <w:sz w:val="22"/>
          <w:szCs w:val="20"/>
        </w:rPr>
        <w:fldChar w:fldCharType="end"/>
      </w:r>
      <w:r>
        <w:rPr>
          <w:sz w:val="22"/>
          <w:szCs w:val="20"/>
        </w:rPr>
        <w:fldChar w:fldCharType="end"/>
      </w:r>
    </w:p>
    <w:p w14:paraId="4D028D18">
      <w:pPr>
        <w:pStyle w:val="13"/>
        <w:tabs>
          <w:tab w:val="right" w:leader="dot" w:pos="9072"/>
        </w:tabs>
        <w:ind w:left="560"/>
        <w:rPr>
          <w:sz w:val="22"/>
          <w:szCs w:val="20"/>
        </w:rPr>
      </w:pPr>
      <w:r>
        <w:fldChar w:fldCharType="begin"/>
      </w:r>
      <w:r>
        <w:instrText xml:space="preserve"> HYPERLINK \l "_Toc6398" </w:instrText>
      </w:r>
      <w:r>
        <w:fldChar w:fldCharType="separate"/>
      </w:r>
      <w:r>
        <w:rPr>
          <w:rFonts w:asciiTheme="majorEastAsia" w:hAnsiTheme="majorEastAsia" w:eastAsiaTheme="majorEastAsia" w:cstheme="majorEastAsia"/>
          <w:sz w:val="22"/>
          <w:szCs w:val="20"/>
        </w:rPr>
        <w:t xml:space="preserve">2.1 </w:t>
      </w:r>
      <w:r>
        <w:rPr>
          <w:rFonts w:hint="eastAsia"/>
          <w:sz w:val="22"/>
          <w:szCs w:val="20"/>
        </w:rPr>
        <w:t>土建工程实施</w:t>
      </w:r>
      <w:r>
        <w:rPr>
          <w:sz w:val="22"/>
          <w:szCs w:val="20"/>
        </w:rPr>
        <w:tab/>
      </w:r>
      <w:r>
        <w:rPr>
          <w:sz w:val="22"/>
          <w:szCs w:val="20"/>
        </w:rPr>
        <w:fldChar w:fldCharType="begin"/>
      </w:r>
      <w:r>
        <w:rPr>
          <w:sz w:val="22"/>
          <w:szCs w:val="20"/>
        </w:rPr>
        <w:instrText xml:space="preserve"> PAGEREF _Toc6398 \h </w:instrText>
      </w:r>
      <w:r>
        <w:rPr>
          <w:sz w:val="22"/>
          <w:szCs w:val="20"/>
        </w:rPr>
        <w:fldChar w:fldCharType="separate"/>
      </w:r>
      <w:r>
        <w:rPr>
          <w:sz w:val="22"/>
          <w:szCs w:val="20"/>
        </w:rPr>
        <w:t>125</w:t>
      </w:r>
      <w:r>
        <w:rPr>
          <w:sz w:val="22"/>
          <w:szCs w:val="20"/>
        </w:rPr>
        <w:fldChar w:fldCharType="end"/>
      </w:r>
      <w:r>
        <w:rPr>
          <w:sz w:val="22"/>
          <w:szCs w:val="20"/>
        </w:rPr>
        <w:fldChar w:fldCharType="end"/>
      </w:r>
    </w:p>
    <w:p w14:paraId="17D827C9">
      <w:pPr>
        <w:pStyle w:val="13"/>
        <w:tabs>
          <w:tab w:val="right" w:leader="dot" w:pos="9072"/>
        </w:tabs>
        <w:ind w:left="560"/>
        <w:rPr>
          <w:sz w:val="22"/>
          <w:szCs w:val="20"/>
        </w:rPr>
      </w:pPr>
      <w:r>
        <w:fldChar w:fldCharType="begin"/>
      </w:r>
      <w:r>
        <w:instrText xml:space="preserve"> HYPERLINK \l "_Toc22572" </w:instrText>
      </w:r>
      <w:r>
        <w:fldChar w:fldCharType="separate"/>
      </w:r>
      <w:r>
        <w:rPr>
          <w:rFonts w:asciiTheme="majorEastAsia" w:hAnsiTheme="majorEastAsia" w:eastAsiaTheme="majorEastAsia" w:cstheme="majorEastAsia"/>
          <w:sz w:val="22"/>
          <w:szCs w:val="20"/>
        </w:rPr>
        <w:t xml:space="preserve">2.2 </w:t>
      </w:r>
      <w:r>
        <w:rPr>
          <w:rFonts w:hint="eastAsia"/>
          <w:sz w:val="22"/>
          <w:szCs w:val="20"/>
        </w:rPr>
        <w:t>施工技术标准</w:t>
      </w:r>
      <w:r>
        <w:rPr>
          <w:sz w:val="22"/>
          <w:szCs w:val="20"/>
        </w:rPr>
        <w:tab/>
      </w:r>
      <w:r>
        <w:rPr>
          <w:sz w:val="22"/>
          <w:szCs w:val="20"/>
        </w:rPr>
        <w:fldChar w:fldCharType="begin"/>
      </w:r>
      <w:r>
        <w:rPr>
          <w:sz w:val="22"/>
          <w:szCs w:val="20"/>
        </w:rPr>
        <w:instrText xml:space="preserve"> PAGEREF _Toc22572 \h </w:instrText>
      </w:r>
      <w:r>
        <w:rPr>
          <w:sz w:val="22"/>
          <w:szCs w:val="20"/>
        </w:rPr>
        <w:fldChar w:fldCharType="separate"/>
      </w:r>
      <w:r>
        <w:rPr>
          <w:sz w:val="22"/>
          <w:szCs w:val="20"/>
        </w:rPr>
        <w:t>126</w:t>
      </w:r>
      <w:r>
        <w:rPr>
          <w:sz w:val="22"/>
          <w:szCs w:val="20"/>
        </w:rPr>
        <w:fldChar w:fldCharType="end"/>
      </w:r>
      <w:r>
        <w:rPr>
          <w:sz w:val="22"/>
          <w:szCs w:val="20"/>
        </w:rPr>
        <w:fldChar w:fldCharType="end"/>
      </w:r>
    </w:p>
    <w:p w14:paraId="05891DAE">
      <w:pPr>
        <w:pStyle w:val="13"/>
        <w:tabs>
          <w:tab w:val="right" w:leader="dot" w:pos="9072"/>
        </w:tabs>
        <w:ind w:left="560"/>
        <w:rPr>
          <w:sz w:val="22"/>
          <w:szCs w:val="20"/>
        </w:rPr>
      </w:pPr>
      <w:r>
        <w:fldChar w:fldCharType="begin"/>
      </w:r>
      <w:r>
        <w:instrText xml:space="preserve"> HYPERLINK \l "_Toc11568" </w:instrText>
      </w:r>
      <w:r>
        <w:fldChar w:fldCharType="separate"/>
      </w:r>
      <w:r>
        <w:rPr>
          <w:rFonts w:asciiTheme="majorEastAsia" w:hAnsiTheme="majorEastAsia" w:eastAsiaTheme="majorEastAsia" w:cstheme="majorEastAsia"/>
          <w:sz w:val="22"/>
          <w:szCs w:val="20"/>
        </w:rPr>
        <w:t xml:space="preserve">2.3 </w:t>
      </w:r>
      <w:r>
        <w:rPr>
          <w:rFonts w:hint="eastAsia"/>
          <w:sz w:val="22"/>
          <w:szCs w:val="20"/>
        </w:rPr>
        <w:t>分包管理</w:t>
      </w:r>
      <w:r>
        <w:rPr>
          <w:sz w:val="22"/>
          <w:szCs w:val="20"/>
        </w:rPr>
        <w:tab/>
      </w:r>
      <w:r>
        <w:rPr>
          <w:sz w:val="22"/>
          <w:szCs w:val="20"/>
        </w:rPr>
        <w:fldChar w:fldCharType="begin"/>
      </w:r>
      <w:r>
        <w:rPr>
          <w:sz w:val="22"/>
          <w:szCs w:val="20"/>
        </w:rPr>
        <w:instrText xml:space="preserve"> PAGEREF _Toc11568 \h </w:instrText>
      </w:r>
      <w:r>
        <w:rPr>
          <w:sz w:val="22"/>
          <w:szCs w:val="20"/>
        </w:rPr>
        <w:fldChar w:fldCharType="separate"/>
      </w:r>
      <w:r>
        <w:rPr>
          <w:sz w:val="22"/>
          <w:szCs w:val="20"/>
        </w:rPr>
        <w:t>127</w:t>
      </w:r>
      <w:r>
        <w:rPr>
          <w:sz w:val="22"/>
          <w:szCs w:val="20"/>
        </w:rPr>
        <w:fldChar w:fldCharType="end"/>
      </w:r>
      <w:r>
        <w:rPr>
          <w:sz w:val="22"/>
          <w:szCs w:val="20"/>
        </w:rPr>
        <w:fldChar w:fldCharType="end"/>
      </w:r>
    </w:p>
    <w:p w14:paraId="31D897DA">
      <w:pPr>
        <w:pStyle w:val="13"/>
        <w:tabs>
          <w:tab w:val="right" w:leader="dot" w:pos="9072"/>
        </w:tabs>
        <w:ind w:left="560"/>
        <w:rPr>
          <w:sz w:val="22"/>
          <w:szCs w:val="20"/>
        </w:rPr>
      </w:pPr>
      <w:r>
        <w:fldChar w:fldCharType="begin"/>
      </w:r>
      <w:r>
        <w:instrText xml:space="preserve"> HYPERLINK \l "_Toc24615" </w:instrText>
      </w:r>
      <w:r>
        <w:fldChar w:fldCharType="separate"/>
      </w:r>
      <w:r>
        <w:rPr>
          <w:rFonts w:asciiTheme="majorEastAsia" w:hAnsiTheme="majorEastAsia" w:eastAsiaTheme="majorEastAsia" w:cstheme="majorEastAsia"/>
          <w:sz w:val="22"/>
          <w:szCs w:val="20"/>
        </w:rPr>
        <w:t xml:space="preserve">2.4 </w:t>
      </w:r>
      <w:r>
        <w:rPr>
          <w:rFonts w:hint="eastAsia"/>
          <w:sz w:val="22"/>
          <w:szCs w:val="20"/>
        </w:rPr>
        <w:t>现场管控</w:t>
      </w:r>
      <w:r>
        <w:rPr>
          <w:sz w:val="22"/>
          <w:szCs w:val="20"/>
        </w:rPr>
        <w:tab/>
      </w:r>
      <w:r>
        <w:rPr>
          <w:sz w:val="22"/>
          <w:szCs w:val="20"/>
        </w:rPr>
        <w:fldChar w:fldCharType="begin"/>
      </w:r>
      <w:r>
        <w:rPr>
          <w:sz w:val="22"/>
          <w:szCs w:val="20"/>
        </w:rPr>
        <w:instrText xml:space="preserve"> PAGEREF _Toc24615 \h </w:instrText>
      </w:r>
      <w:r>
        <w:rPr>
          <w:sz w:val="22"/>
          <w:szCs w:val="20"/>
        </w:rPr>
        <w:fldChar w:fldCharType="separate"/>
      </w:r>
      <w:r>
        <w:rPr>
          <w:sz w:val="22"/>
          <w:szCs w:val="20"/>
        </w:rPr>
        <w:t>127</w:t>
      </w:r>
      <w:r>
        <w:rPr>
          <w:sz w:val="22"/>
          <w:szCs w:val="20"/>
        </w:rPr>
        <w:fldChar w:fldCharType="end"/>
      </w:r>
      <w:r>
        <w:rPr>
          <w:sz w:val="22"/>
          <w:szCs w:val="20"/>
        </w:rPr>
        <w:fldChar w:fldCharType="end"/>
      </w:r>
    </w:p>
    <w:p w14:paraId="485DDBA6">
      <w:pPr>
        <w:pStyle w:val="13"/>
        <w:tabs>
          <w:tab w:val="right" w:leader="dot" w:pos="9072"/>
        </w:tabs>
        <w:ind w:left="560"/>
        <w:rPr>
          <w:sz w:val="22"/>
          <w:szCs w:val="20"/>
        </w:rPr>
      </w:pPr>
      <w:r>
        <w:fldChar w:fldCharType="begin"/>
      </w:r>
      <w:r>
        <w:instrText xml:space="preserve"> HYPERLINK \l "_Toc13351" </w:instrText>
      </w:r>
      <w:r>
        <w:fldChar w:fldCharType="separate"/>
      </w:r>
      <w:r>
        <w:rPr>
          <w:rFonts w:asciiTheme="majorEastAsia" w:hAnsiTheme="majorEastAsia" w:eastAsiaTheme="majorEastAsia" w:cstheme="majorEastAsia"/>
          <w:sz w:val="22"/>
          <w:szCs w:val="20"/>
        </w:rPr>
        <w:t xml:space="preserve">2.5 </w:t>
      </w:r>
      <w:r>
        <w:rPr>
          <w:rFonts w:hint="eastAsia"/>
          <w:sz w:val="22"/>
          <w:szCs w:val="20"/>
        </w:rPr>
        <w:t>工程测量</w:t>
      </w:r>
      <w:r>
        <w:rPr>
          <w:sz w:val="22"/>
          <w:szCs w:val="20"/>
        </w:rPr>
        <w:tab/>
      </w:r>
      <w:r>
        <w:rPr>
          <w:sz w:val="22"/>
          <w:szCs w:val="20"/>
        </w:rPr>
        <w:fldChar w:fldCharType="begin"/>
      </w:r>
      <w:r>
        <w:rPr>
          <w:sz w:val="22"/>
          <w:szCs w:val="20"/>
        </w:rPr>
        <w:instrText xml:space="preserve"> PAGEREF _Toc13351 \h </w:instrText>
      </w:r>
      <w:r>
        <w:rPr>
          <w:sz w:val="22"/>
          <w:szCs w:val="20"/>
        </w:rPr>
        <w:fldChar w:fldCharType="separate"/>
      </w:r>
      <w:r>
        <w:rPr>
          <w:sz w:val="22"/>
          <w:szCs w:val="20"/>
        </w:rPr>
        <w:t>127</w:t>
      </w:r>
      <w:r>
        <w:rPr>
          <w:sz w:val="22"/>
          <w:szCs w:val="20"/>
        </w:rPr>
        <w:fldChar w:fldCharType="end"/>
      </w:r>
      <w:r>
        <w:rPr>
          <w:sz w:val="22"/>
          <w:szCs w:val="20"/>
        </w:rPr>
        <w:fldChar w:fldCharType="end"/>
      </w:r>
    </w:p>
    <w:p w14:paraId="56D5D796">
      <w:pPr>
        <w:pStyle w:val="12"/>
        <w:tabs>
          <w:tab w:val="right" w:leader="dot" w:pos="9072"/>
        </w:tabs>
        <w:ind w:left="280" w:leftChars="100"/>
        <w:rPr>
          <w:sz w:val="22"/>
          <w:szCs w:val="20"/>
        </w:rPr>
      </w:pPr>
      <w:r>
        <w:fldChar w:fldCharType="begin"/>
      </w:r>
      <w:r>
        <w:instrText xml:space="preserve"> HYPERLINK \l "_Toc10413" </w:instrText>
      </w:r>
      <w:r>
        <w:fldChar w:fldCharType="separate"/>
      </w:r>
      <w:r>
        <w:rPr>
          <w:rFonts w:hint="eastAsia"/>
          <w:sz w:val="22"/>
          <w:szCs w:val="20"/>
        </w:rPr>
        <w:t>三、</w:t>
      </w:r>
      <w:r>
        <w:rPr>
          <w:sz w:val="22"/>
          <w:szCs w:val="20"/>
        </w:rPr>
        <w:t>项目管理</w:t>
      </w:r>
      <w:r>
        <w:rPr>
          <w:sz w:val="22"/>
          <w:szCs w:val="20"/>
        </w:rPr>
        <w:tab/>
      </w:r>
      <w:r>
        <w:rPr>
          <w:sz w:val="22"/>
          <w:szCs w:val="20"/>
        </w:rPr>
        <w:fldChar w:fldCharType="begin"/>
      </w:r>
      <w:r>
        <w:rPr>
          <w:sz w:val="22"/>
          <w:szCs w:val="20"/>
        </w:rPr>
        <w:instrText xml:space="preserve"> PAGEREF _Toc10413 \h </w:instrText>
      </w:r>
      <w:r>
        <w:rPr>
          <w:sz w:val="22"/>
          <w:szCs w:val="20"/>
        </w:rPr>
        <w:fldChar w:fldCharType="separate"/>
      </w:r>
      <w:r>
        <w:rPr>
          <w:sz w:val="22"/>
          <w:szCs w:val="20"/>
        </w:rPr>
        <w:t>128</w:t>
      </w:r>
      <w:r>
        <w:rPr>
          <w:sz w:val="22"/>
          <w:szCs w:val="20"/>
        </w:rPr>
        <w:fldChar w:fldCharType="end"/>
      </w:r>
      <w:r>
        <w:rPr>
          <w:sz w:val="22"/>
          <w:szCs w:val="20"/>
        </w:rPr>
        <w:fldChar w:fldCharType="end"/>
      </w:r>
    </w:p>
    <w:p w14:paraId="35B37500">
      <w:pPr>
        <w:pStyle w:val="13"/>
        <w:tabs>
          <w:tab w:val="right" w:leader="dot" w:pos="9072"/>
        </w:tabs>
        <w:ind w:left="560"/>
        <w:rPr>
          <w:sz w:val="22"/>
          <w:szCs w:val="20"/>
        </w:rPr>
      </w:pPr>
      <w:r>
        <w:fldChar w:fldCharType="begin"/>
      </w:r>
      <w:r>
        <w:instrText xml:space="preserve"> HYPERLINK \l "_Toc5119" </w:instrText>
      </w:r>
      <w:r>
        <w:fldChar w:fldCharType="separate"/>
      </w:r>
      <w:r>
        <w:rPr>
          <w:rFonts w:hint="eastAsia" w:ascii="宋体" w:hAnsi="宋体" w:cs="宋体"/>
          <w:sz w:val="22"/>
          <w:szCs w:val="20"/>
        </w:rPr>
        <w:t>3.1</w:t>
      </w:r>
      <w:r>
        <w:rPr>
          <w:sz w:val="22"/>
          <w:szCs w:val="20"/>
        </w:rPr>
        <w:t xml:space="preserve"> 项目管理团队组建与职责</w:t>
      </w:r>
      <w:r>
        <w:rPr>
          <w:sz w:val="22"/>
          <w:szCs w:val="20"/>
        </w:rPr>
        <w:tab/>
      </w:r>
      <w:r>
        <w:rPr>
          <w:sz w:val="22"/>
          <w:szCs w:val="20"/>
        </w:rPr>
        <w:fldChar w:fldCharType="begin"/>
      </w:r>
      <w:r>
        <w:rPr>
          <w:sz w:val="22"/>
          <w:szCs w:val="20"/>
        </w:rPr>
        <w:instrText xml:space="preserve"> PAGEREF _Toc5119 \h </w:instrText>
      </w:r>
      <w:r>
        <w:rPr>
          <w:sz w:val="22"/>
          <w:szCs w:val="20"/>
        </w:rPr>
        <w:fldChar w:fldCharType="separate"/>
      </w:r>
      <w:r>
        <w:rPr>
          <w:sz w:val="22"/>
          <w:szCs w:val="20"/>
        </w:rPr>
        <w:t>128</w:t>
      </w:r>
      <w:r>
        <w:rPr>
          <w:sz w:val="22"/>
          <w:szCs w:val="20"/>
        </w:rPr>
        <w:fldChar w:fldCharType="end"/>
      </w:r>
      <w:r>
        <w:rPr>
          <w:sz w:val="22"/>
          <w:szCs w:val="20"/>
        </w:rPr>
        <w:fldChar w:fldCharType="end"/>
      </w:r>
    </w:p>
    <w:p w14:paraId="7748AC98">
      <w:pPr>
        <w:pStyle w:val="13"/>
        <w:tabs>
          <w:tab w:val="right" w:leader="dot" w:pos="9072"/>
        </w:tabs>
        <w:ind w:left="560"/>
        <w:rPr>
          <w:sz w:val="22"/>
          <w:szCs w:val="20"/>
        </w:rPr>
      </w:pPr>
      <w:r>
        <w:fldChar w:fldCharType="begin"/>
      </w:r>
      <w:r>
        <w:instrText xml:space="preserve"> HYPERLINK \l "_Toc26636" </w:instrText>
      </w:r>
      <w:r>
        <w:fldChar w:fldCharType="separate"/>
      </w:r>
      <w:r>
        <w:rPr>
          <w:rFonts w:hint="eastAsia" w:ascii="宋体" w:hAnsi="宋体" w:cs="宋体"/>
          <w:sz w:val="22"/>
          <w:szCs w:val="20"/>
        </w:rPr>
        <w:t>3.2</w:t>
      </w:r>
      <w:r>
        <w:rPr>
          <w:sz w:val="22"/>
          <w:szCs w:val="20"/>
        </w:rPr>
        <w:t xml:space="preserve"> 管理范畴与管控机制</w:t>
      </w:r>
      <w:r>
        <w:rPr>
          <w:sz w:val="22"/>
          <w:szCs w:val="20"/>
        </w:rPr>
        <w:tab/>
      </w:r>
      <w:r>
        <w:rPr>
          <w:sz w:val="22"/>
          <w:szCs w:val="20"/>
        </w:rPr>
        <w:fldChar w:fldCharType="begin"/>
      </w:r>
      <w:r>
        <w:rPr>
          <w:sz w:val="22"/>
          <w:szCs w:val="20"/>
        </w:rPr>
        <w:instrText xml:space="preserve"> PAGEREF _Toc26636 \h </w:instrText>
      </w:r>
      <w:r>
        <w:rPr>
          <w:sz w:val="22"/>
          <w:szCs w:val="20"/>
        </w:rPr>
        <w:fldChar w:fldCharType="separate"/>
      </w:r>
      <w:r>
        <w:rPr>
          <w:sz w:val="22"/>
          <w:szCs w:val="20"/>
        </w:rPr>
        <w:t>129</w:t>
      </w:r>
      <w:r>
        <w:rPr>
          <w:sz w:val="22"/>
          <w:szCs w:val="20"/>
        </w:rPr>
        <w:fldChar w:fldCharType="end"/>
      </w:r>
      <w:r>
        <w:rPr>
          <w:sz w:val="22"/>
          <w:szCs w:val="20"/>
        </w:rPr>
        <w:fldChar w:fldCharType="end"/>
      </w:r>
    </w:p>
    <w:p w14:paraId="73FBD56B">
      <w:pPr>
        <w:pStyle w:val="12"/>
        <w:tabs>
          <w:tab w:val="right" w:leader="dot" w:pos="9072"/>
        </w:tabs>
        <w:ind w:left="280" w:leftChars="100"/>
        <w:rPr>
          <w:sz w:val="22"/>
          <w:szCs w:val="20"/>
        </w:rPr>
      </w:pPr>
      <w:r>
        <w:fldChar w:fldCharType="begin"/>
      </w:r>
      <w:r>
        <w:instrText xml:space="preserve"> HYPERLINK \l "_Toc6092" </w:instrText>
      </w:r>
      <w:r>
        <w:fldChar w:fldCharType="separate"/>
      </w:r>
      <w:r>
        <w:rPr>
          <w:rFonts w:hint="eastAsia"/>
          <w:sz w:val="22"/>
          <w:szCs w:val="20"/>
        </w:rPr>
        <w:t>四、工程目标</w:t>
      </w:r>
      <w:r>
        <w:rPr>
          <w:sz w:val="22"/>
          <w:szCs w:val="20"/>
        </w:rPr>
        <w:tab/>
      </w:r>
      <w:r>
        <w:rPr>
          <w:sz w:val="22"/>
          <w:szCs w:val="20"/>
        </w:rPr>
        <w:fldChar w:fldCharType="begin"/>
      </w:r>
      <w:r>
        <w:rPr>
          <w:sz w:val="22"/>
          <w:szCs w:val="20"/>
        </w:rPr>
        <w:instrText xml:space="preserve"> PAGEREF _Toc6092 \h </w:instrText>
      </w:r>
      <w:r>
        <w:rPr>
          <w:sz w:val="22"/>
          <w:szCs w:val="20"/>
        </w:rPr>
        <w:fldChar w:fldCharType="separate"/>
      </w:r>
      <w:r>
        <w:rPr>
          <w:sz w:val="22"/>
          <w:szCs w:val="20"/>
        </w:rPr>
        <w:t>130</w:t>
      </w:r>
      <w:r>
        <w:rPr>
          <w:sz w:val="22"/>
          <w:szCs w:val="20"/>
        </w:rPr>
        <w:fldChar w:fldCharType="end"/>
      </w:r>
      <w:r>
        <w:rPr>
          <w:sz w:val="22"/>
          <w:szCs w:val="20"/>
        </w:rPr>
        <w:fldChar w:fldCharType="end"/>
      </w:r>
    </w:p>
    <w:p w14:paraId="4366C0F7">
      <w:pPr>
        <w:pStyle w:val="12"/>
        <w:tabs>
          <w:tab w:val="right" w:leader="dot" w:pos="9072"/>
        </w:tabs>
        <w:ind w:left="280" w:leftChars="100"/>
        <w:rPr>
          <w:sz w:val="22"/>
          <w:szCs w:val="20"/>
        </w:rPr>
      </w:pPr>
      <w:r>
        <w:fldChar w:fldCharType="begin"/>
      </w:r>
      <w:r>
        <w:instrText xml:space="preserve"> HYPERLINK \l "_Toc31493" </w:instrText>
      </w:r>
      <w:r>
        <w:fldChar w:fldCharType="separate"/>
      </w:r>
      <w:r>
        <w:rPr>
          <w:rFonts w:hint="eastAsia"/>
          <w:sz w:val="22"/>
          <w:szCs w:val="20"/>
        </w:rPr>
        <w:t>五、工程资料</w:t>
      </w:r>
      <w:r>
        <w:rPr>
          <w:sz w:val="22"/>
          <w:szCs w:val="20"/>
        </w:rPr>
        <w:tab/>
      </w:r>
      <w:r>
        <w:rPr>
          <w:sz w:val="22"/>
          <w:szCs w:val="20"/>
        </w:rPr>
        <w:fldChar w:fldCharType="begin"/>
      </w:r>
      <w:r>
        <w:rPr>
          <w:sz w:val="22"/>
          <w:szCs w:val="20"/>
        </w:rPr>
        <w:instrText xml:space="preserve"> PAGEREF _Toc31493 \h </w:instrText>
      </w:r>
      <w:r>
        <w:rPr>
          <w:sz w:val="22"/>
          <w:szCs w:val="20"/>
        </w:rPr>
        <w:fldChar w:fldCharType="separate"/>
      </w:r>
      <w:r>
        <w:rPr>
          <w:sz w:val="22"/>
          <w:szCs w:val="20"/>
        </w:rPr>
        <w:t>131</w:t>
      </w:r>
      <w:r>
        <w:rPr>
          <w:sz w:val="22"/>
          <w:szCs w:val="20"/>
        </w:rPr>
        <w:fldChar w:fldCharType="end"/>
      </w:r>
      <w:r>
        <w:rPr>
          <w:sz w:val="22"/>
          <w:szCs w:val="20"/>
        </w:rPr>
        <w:fldChar w:fldCharType="end"/>
      </w:r>
    </w:p>
    <w:p w14:paraId="56FEEE47">
      <w:pPr>
        <w:pStyle w:val="12"/>
        <w:tabs>
          <w:tab w:val="right" w:leader="dot" w:pos="9072"/>
        </w:tabs>
        <w:ind w:left="280" w:leftChars="100"/>
        <w:rPr>
          <w:sz w:val="22"/>
          <w:szCs w:val="20"/>
        </w:rPr>
      </w:pPr>
      <w:r>
        <w:fldChar w:fldCharType="begin"/>
      </w:r>
      <w:r>
        <w:instrText xml:space="preserve"> HYPERLINK \l "_Toc22367" </w:instrText>
      </w:r>
      <w:r>
        <w:fldChar w:fldCharType="separate"/>
      </w:r>
      <w:r>
        <w:rPr>
          <w:rFonts w:hint="eastAsia"/>
          <w:sz w:val="22"/>
          <w:szCs w:val="20"/>
        </w:rPr>
        <w:t>六、质量保修</w:t>
      </w:r>
      <w:r>
        <w:rPr>
          <w:sz w:val="22"/>
          <w:szCs w:val="20"/>
        </w:rPr>
        <w:tab/>
      </w:r>
      <w:r>
        <w:rPr>
          <w:sz w:val="22"/>
          <w:szCs w:val="20"/>
        </w:rPr>
        <w:fldChar w:fldCharType="begin"/>
      </w:r>
      <w:r>
        <w:rPr>
          <w:sz w:val="22"/>
          <w:szCs w:val="20"/>
        </w:rPr>
        <w:instrText xml:space="preserve"> PAGEREF _Toc22367 \h </w:instrText>
      </w:r>
      <w:r>
        <w:rPr>
          <w:sz w:val="22"/>
          <w:szCs w:val="20"/>
        </w:rPr>
        <w:fldChar w:fldCharType="separate"/>
      </w:r>
      <w:r>
        <w:rPr>
          <w:sz w:val="22"/>
          <w:szCs w:val="20"/>
        </w:rPr>
        <w:t>131</w:t>
      </w:r>
      <w:r>
        <w:rPr>
          <w:sz w:val="22"/>
          <w:szCs w:val="20"/>
        </w:rPr>
        <w:fldChar w:fldCharType="end"/>
      </w:r>
      <w:r>
        <w:rPr>
          <w:sz w:val="22"/>
          <w:szCs w:val="20"/>
        </w:rPr>
        <w:fldChar w:fldCharType="end"/>
      </w:r>
    </w:p>
    <w:p w14:paraId="588BCB7D">
      <w:pPr>
        <w:pStyle w:val="12"/>
        <w:tabs>
          <w:tab w:val="right" w:leader="dot" w:pos="9072"/>
        </w:tabs>
        <w:rPr>
          <w:sz w:val="22"/>
          <w:szCs w:val="20"/>
        </w:rPr>
      </w:pPr>
      <w:r>
        <w:fldChar w:fldCharType="begin"/>
      </w:r>
      <w:r>
        <w:instrText xml:space="preserve"> HYPERLINK \l "_Toc22512" </w:instrText>
      </w:r>
      <w:r>
        <w:fldChar w:fldCharType="separate"/>
      </w:r>
      <w:r>
        <w:rPr>
          <w:rFonts w:hint="eastAsia" w:ascii="宋体" w:hAnsi="宋体" w:cs="宋体"/>
          <w:sz w:val="22"/>
          <w:szCs w:val="44"/>
        </w:rPr>
        <w:t>公共部分</w:t>
      </w:r>
      <w:r>
        <w:rPr>
          <w:sz w:val="22"/>
          <w:szCs w:val="20"/>
        </w:rPr>
        <w:tab/>
      </w:r>
      <w:r>
        <w:rPr>
          <w:sz w:val="22"/>
          <w:szCs w:val="20"/>
        </w:rPr>
        <w:fldChar w:fldCharType="begin"/>
      </w:r>
      <w:r>
        <w:rPr>
          <w:sz w:val="22"/>
          <w:szCs w:val="20"/>
        </w:rPr>
        <w:instrText xml:space="preserve"> PAGEREF _Toc22512 \h </w:instrText>
      </w:r>
      <w:r>
        <w:rPr>
          <w:sz w:val="22"/>
          <w:szCs w:val="20"/>
        </w:rPr>
        <w:fldChar w:fldCharType="separate"/>
      </w:r>
      <w:r>
        <w:rPr>
          <w:sz w:val="22"/>
          <w:szCs w:val="20"/>
        </w:rPr>
        <w:t>132</w:t>
      </w:r>
      <w:r>
        <w:rPr>
          <w:sz w:val="22"/>
          <w:szCs w:val="20"/>
        </w:rPr>
        <w:fldChar w:fldCharType="end"/>
      </w:r>
      <w:r>
        <w:rPr>
          <w:sz w:val="22"/>
          <w:szCs w:val="20"/>
        </w:rPr>
        <w:fldChar w:fldCharType="end"/>
      </w:r>
    </w:p>
    <w:p w14:paraId="5FFA352D">
      <w:pPr>
        <w:pStyle w:val="12"/>
        <w:tabs>
          <w:tab w:val="right" w:leader="dot" w:pos="9072"/>
        </w:tabs>
        <w:ind w:left="280" w:leftChars="100"/>
        <w:rPr>
          <w:sz w:val="22"/>
          <w:szCs w:val="20"/>
        </w:rPr>
      </w:pPr>
      <w:r>
        <w:fldChar w:fldCharType="begin"/>
      </w:r>
      <w:r>
        <w:instrText xml:space="preserve"> HYPERLINK \l "_Toc24148" </w:instrText>
      </w:r>
      <w:r>
        <w:fldChar w:fldCharType="separate"/>
      </w:r>
      <w:r>
        <w:rPr>
          <w:rFonts w:hint="eastAsia"/>
          <w:sz w:val="22"/>
          <w:szCs w:val="20"/>
        </w:rPr>
        <w:t>一、总平面布置</w:t>
      </w:r>
      <w:r>
        <w:rPr>
          <w:sz w:val="22"/>
          <w:szCs w:val="20"/>
        </w:rPr>
        <w:tab/>
      </w:r>
      <w:r>
        <w:rPr>
          <w:sz w:val="22"/>
          <w:szCs w:val="20"/>
        </w:rPr>
        <w:fldChar w:fldCharType="begin"/>
      </w:r>
      <w:r>
        <w:rPr>
          <w:sz w:val="22"/>
          <w:szCs w:val="20"/>
        </w:rPr>
        <w:instrText xml:space="preserve"> PAGEREF _Toc24148 \h </w:instrText>
      </w:r>
      <w:r>
        <w:rPr>
          <w:sz w:val="22"/>
          <w:szCs w:val="20"/>
        </w:rPr>
        <w:fldChar w:fldCharType="separate"/>
      </w:r>
      <w:r>
        <w:rPr>
          <w:sz w:val="22"/>
          <w:szCs w:val="20"/>
        </w:rPr>
        <w:t>133</w:t>
      </w:r>
      <w:r>
        <w:rPr>
          <w:sz w:val="22"/>
          <w:szCs w:val="20"/>
        </w:rPr>
        <w:fldChar w:fldCharType="end"/>
      </w:r>
      <w:r>
        <w:rPr>
          <w:sz w:val="22"/>
          <w:szCs w:val="20"/>
        </w:rPr>
        <w:fldChar w:fldCharType="end"/>
      </w:r>
    </w:p>
    <w:p w14:paraId="41673833">
      <w:pPr>
        <w:pStyle w:val="12"/>
        <w:tabs>
          <w:tab w:val="right" w:leader="dot" w:pos="9072"/>
        </w:tabs>
        <w:ind w:left="280" w:leftChars="100"/>
        <w:rPr>
          <w:sz w:val="22"/>
          <w:szCs w:val="20"/>
        </w:rPr>
      </w:pPr>
      <w:r>
        <w:fldChar w:fldCharType="begin"/>
      </w:r>
      <w:r>
        <w:instrText xml:space="preserve"> HYPERLINK \l "_Toc6161" </w:instrText>
      </w:r>
      <w:r>
        <w:fldChar w:fldCharType="separate"/>
      </w:r>
      <w:r>
        <w:rPr>
          <w:rFonts w:hint="eastAsia"/>
          <w:sz w:val="22"/>
          <w:szCs w:val="20"/>
        </w:rPr>
        <w:t>二、采暖、通风、空调、制冷、防排烟工程</w:t>
      </w:r>
      <w:r>
        <w:rPr>
          <w:sz w:val="22"/>
          <w:szCs w:val="20"/>
        </w:rPr>
        <w:tab/>
      </w:r>
      <w:r>
        <w:rPr>
          <w:sz w:val="22"/>
          <w:szCs w:val="20"/>
        </w:rPr>
        <w:fldChar w:fldCharType="begin"/>
      </w:r>
      <w:r>
        <w:rPr>
          <w:sz w:val="22"/>
          <w:szCs w:val="20"/>
        </w:rPr>
        <w:instrText xml:space="preserve"> PAGEREF _Toc6161 \h </w:instrText>
      </w:r>
      <w:r>
        <w:rPr>
          <w:sz w:val="22"/>
          <w:szCs w:val="20"/>
        </w:rPr>
        <w:fldChar w:fldCharType="separate"/>
      </w:r>
      <w:r>
        <w:rPr>
          <w:sz w:val="22"/>
          <w:szCs w:val="20"/>
        </w:rPr>
        <w:t>134</w:t>
      </w:r>
      <w:r>
        <w:rPr>
          <w:sz w:val="22"/>
          <w:szCs w:val="20"/>
        </w:rPr>
        <w:fldChar w:fldCharType="end"/>
      </w:r>
      <w:r>
        <w:rPr>
          <w:sz w:val="22"/>
          <w:szCs w:val="20"/>
        </w:rPr>
        <w:fldChar w:fldCharType="end"/>
      </w:r>
    </w:p>
    <w:p w14:paraId="1898056A">
      <w:pPr>
        <w:pStyle w:val="12"/>
        <w:tabs>
          <w:tab w:val="right" w:leader="dot" w:pos="9072"/>
        </w:tabs>
        <w:ind w:left="280" w:leftChars="100"/>
        <w:rPr>
          <w:sz w:val="22"/>
          <w:szCs w:val="20"/>
        </w:rPr>
      </w:pPr>
      <w:r>
        <w:fldChar w:fldCharType="begin"/>
      </w:r>
      <w:r>
        <w:instrText xml:space="preserve"> HYPERLINK \l "_Toc5262" </w:instrText>
      </w:r>
      <w:r>
        <w:fldChar w:fldCharType="separate"/>
      </w:r>
      <w:r>
        <w:rPr>
          <w:rFonts w:hint="eastAsia"/>
          <w:sz w:val="22"/>
          <w:szCs w:val="20"/>
        </w:rPr>
        <w:t>三、节能、节水措施</w:t>
      </w:r>
      <w:r>
        <w:rPr>
          <w:sz w:val="22"/>
          <w:szCs w:val="20"/>
        </w:rPr>
        <w:tab/>
      </w:r>
      <w:r>
        <w:rPr>
          <w:sz w:val="22"/>
          <w:szCs w:val="20"/>
        </w:rPr>
        <w:fldChar w:fldCharType="begin"/>
      </w:r>
      <w:r>
        <w:rPr>
          <w:sz w:val="22"/>
          <w:szCs w:val="20"/>
        </w:rPr>
        <w:instrText xml:space="preserve"> PAGEREF _Toc5262 \h </w:instrText>
      </w:r>
      <w:r>
        <w:rPr>
          <w:sz w:val="22"/>
          <w:szCs w:val="20"/>
        </w:rPr>
        <w:fldChar w:fldCharType="separate"/>
      </w:r>
      <w:r>
        <w:rPr>
          <w:sz w:val="22"/>
          <w:szCs w:val="20"/>
        </w:rPr>
        <w:t>136</w:t>
      </w:r>
      <w:r>
        <w:rPr>
          <w:sz w:val="22"/>
          <w:szCs w:val="20"/>
        </w:rPr>
        <w:fldChar w:fldCharType="end"/>
      </w:r>
      <w:r>
        <w:rPr>
          <w:sz w:val="22"/>
          <w:szCs w:val="20"/>
        </w:rPr>
        <w:fldChar w:fldCharType="end"/>
      </w:r>
    </w:p>
    <w:p w14:paraId="52408A40">
      <w:pPr>
        <w:pStyle w:val="13"/>
        <w:tabs>
          <w:tab w:val="right" w:leader="dot" w:pos="9072"/>
        </w:tabs>
        <w:ind w:left="560"/>
        <w:rPr>
          <w:sz w:val="22"/>
          <w:szCs w:val="20"/>
        </w:rPr>
      </w:pPr>
      <w:r>
        <w:fldChar w:fldCharType="begin"/>
      </w:r>
      <w:r>
        <w:instrText xml:space="preserve"> HYPERLINK \l "_Toc15235" </w:instrText>
      </w:r>
      <w:r>
        <w:fldChar w:fldCharType="separate"/>
      </w:r>
      <w:r>
        <w:rPr>
          <w:rFonts w:hint="eastAsia" w:ascii="宋体" w:hAnsi="宋体" w:cs="宋体"/>
          <w:sz w:val="22"/>
          <w:szCs w:val="20"/>
        </w:rPr>
        <w:t xml:space="preserve">1 </w:t>
      </w:r>
      <w:r>
        <w:rPr>
          <w:rFonts w:hint="eastAsia"/>
          <w:sz w:val="22"/>
          <w:szCs w:val="20"/>
        </w:rPr>
        <w:t>节能措施</w:t>
      </w:r>
      <w:r>
        <w:rPr>
          <w:sz w:val="22"/>
          <w:szCs w:val="20"/>
        </w:rPr>
        <w:tab/>
      </w:r>
      <w:r>
        <w:rPr>
          <w:sz w:val="22"/>
          <w:szCs w:val="20"/>
        </w:rPr>
        <w:fldChar w:fldCharType="begin"/>
      </w:r>
      <w:r>
        <w:rPr>
          <w:sz w:val="22"/>
          <w:szCs w:val="20"/>
        </w:rPr>
        <w:instrText xml:space="preserve"> PAGEREF _Toc15235 \h </w:instrText>
      </w:r>
      <w:r>
        <w:rPr>
          <w:sz w:val="22"/>
          <w:szCs w:val="20"/>
        </w:rPr>
        <w:fldChar w:fldCharType="separate"/>
      </w:r>
      <w:r>
        <w:rPr>
          <w:sz w:val="22"/>
          <w:szCs w:val="20"/>
        </w:rPr>
        <w:t>136</w:t>
      </w:r>
      <w:r>
        <w:rPr>
          <w:sz w:val="22"/>
          <w:szCs w:val="20"/>
        </w:rPr>
        <w:fldChar w:fldCharType="end"/>
      </w:r>
      <w:r>
        <w:rPr>
          <w:sz w:val="22"/>
          <w:szCs w:val="20"/>
        </w:rPr>
        <w:fldChar w:fldCharType="end"/>
      </w:r>
    </w:p>
    <w:p w14:paraId="719AF610">
      <w:pPr>
        <w:pStyle w:val="13"/>
        <w:tabs>
          <w:tab w:val="right" w:leader="dot" w:pos="9072"/>
        </w:tabs>
        <w:ind w:left="560"/>
        <w:rPr>
          <w:sz w:val="22"/>
          <w:szCs w:val="20"/>
        </w:rPr>
      </w:pPr>
      <w:r>
        <w:fldChar w:fldCharType="begin"/>
      </w:r>
      <w:r>
        <w:instrText xml:space="preserve"> HYPERLINK \l "_Toc404" </w:instrText>
      </w:r>
      <w:r>
        <w:fldChar w:fldCharType="separate"/>
      </w:r>
      <w:r>
        <w:rPr>
          <w:rFonts w:hint="eastAsia" w:ascii="宋体" w:hAnsi="宋体" w:cs="宋体"/>
          <w:sz w:val="22"/>
          <w:szCs w:val="20"/>
        </w:rPr>
        <w:t>2</w:t>
      </w:r>
      <w:r>
        <w:rPr>
          <w:rFonts w:hint="eastAsia"/>
          <w:sz w:val="22"/>
          <w:szCs w:val="20"/>
        </w:rPr>
        <w:t xml:space="preserve"> 节水措施</w:t>
      </w:r>
      <w:r>
        <w:rPr>
          <w:sz w:val="22"/>
          <w:szCs w:val="20"/>
        </w:rPr>
        <w:tab/>
      </w:r>
      <w:r>
        <w:rPr>
          <w:sz w:val="22"/>
          <w:szCs w:val="20"/>
        </w:rPr>
        <w:fldChar w:fldCharType="begin"/>
      </w:r>
      <w:r>
        <w:rPr>
          <w:sz w:val="22"/>
          <w:szCs w:val="20"/>
        </w:rPr>
        <w:instrText xml:space="preserve"> PAGEREF _Toc404 \h </w:instrText>
      </w:r>
      <w:r>
        <w:rPr>
          <w:sz w:val="22"/>
          <w:szCs w:val="20"/>
        </w:rPr>
        <w:fldChar w:fldCharType="separate"/>
      </w:r>
      <w:r>
        <w:rPr>
          <w:sz w:val="22"/>
          <w:szCs w:val="20"/>
        </w:rPr>
        <w:t>137</w:t>
      </w:r>
      <w:r>
        <w:rPr>
          <w:sz w:val="22"/>
          <w:szCs w:val="20"/>
        </w:rPr>
        <w:fldChar w:fldCharType="end"/>
      </w:r>
      <w:r>
        <w:rPr>
          <w:sz w:val="22"/>
          <w:szCs w:val="20"/>
        </w:rPr>
        <w:fldChar w:fldCharType="end"/>
      </w:r>
    </w:p>
    <w:p w14:paraId="44039E16">
      <w:pPr>
        <w:pStyle w:val="12"/>
        <w:tabs>
          <w:tab w:val="right" w:leader="dot" w:pos="9072"/>
        </w:tabs>
        <w:rPr>
          <w:sz w:val="22"/>
          <w:szCs w:val="20"/>
        </w:rPr>
      </w:pPr>
      <w:r>
        <w:fldChar w:fldCharType="begin"/>
      </w:r>
      <w:r>
        <w:instrText xml:space="preserve"> HYPERLINK \l "_Toc19781" </w:instrText>
      </w:r>
      <w:r>
        <w:fldChar w:fldCharType="separate"/>
      </w:r>
      <w:r>
        <w:rPr>
          <w:rFonts w:hint="eastAsia" w:asciiTheme="minorEastAsia" w:hAnsiTheme="minorEastAsia" w:eastAsiaTheme="minorEastAsia" w:cstheme="minorEastAsia"/>
          <w:sz w:val="22"/>
          <w:szCs w:val="40"/>
        </w:rPr>
        <w:t>«相关规范标准»部分</w:t>
      </w:r>
      <w:r>
        <w:rPr>
          <w:sz w:val="22"/>
          <w:szCs w:val="20"/>
        </w:rPr>
        <w:tab/>
      </w:r>
      <w:r>
        <w:rPr>
          <w:sz w:val="22"/>
          <w:szCs w:val="20"/>
        </w:rPr>
        <w:fldChar w:fldCharType="begin"/>
      </w:r>
      <w:r>
        <w:rPr>
          <w:sz w:val="22"/>
          <w:szCs w:val="20"/>
        </w:rPr>
        <w:instrText xml:space="preserve"> PAGEREF _Toc19781 \h </w:instrText>
      </w:r>
      <w:r>
        <w:rPr>
          <w:sz w:val="22"/>
          <w:szCs w:val="20"/>
        </w:rPr>
        <w:fldChar w:fldCharType="separate"/>
      </w:r>
      <w:r>
        <w:rPr>
          <w:sz w:val="22"/>
          <w:szCs w:val="20"/>
        </w:rPr>
        <w:t>139</w:t>
      </w:r>
      <w:r>
        <w:rPr>
          <w:sz w:val="22"/>
          <w:szCs w:val="20"/>
        </w:rPr>
        <w:fldChar w:fldCharType="end"/>
      </w:r>
      <w:r>
        <w:rPr>
          <w:sz w:val="22"/>
          <w:szCs w:val="20"/>
        </w:rPr>
        <w:fldChar w:fldCharType="end"/>
      </w:r>
    </w:p>
    <w:p w14:paraId="17425F93">
      <w:pPr>
        <w:pStyle w:val="12"/>
        <w:tabs>
          <w:tab w:val="right" w:leader="dot" w:pos="9072"/>
        </w:tabs>
        <w:rPr>
          <w:sz w:val="22"/>
          <w:szCs w:val="20"/>
        </w:rPr>
      </w:pPr>
      <w:r>
        <w:fldChar w:fldCharType="begin"/>
      </w:r>
      <w:r>
        <w:instrText xml:space="preserve"> HYPERLINK \l "_Toc19871" </w:instrText>
      </w:r>
      <w:r>
        <w:fldChar w:fldCharType="separate"/>
      </w:r>
      <w:r>
        <w:rPr>
          <w:rFonts w:hint="eastAsia" w:asciiTheme="minorEastAsia" w:hAnsiTheme="minorEastAsia" w:eastAsiaTheme="minorEastAsia" w:cstheme="minorEastAsia"/>
          <w:sz w:val="22"/>
          <w:szCs w:val="40"/>
        </w:rPr>
        <w:t>«备品备件»部分</w:t>
      </w:r>
      <w:r>
        <w:rPr>
          <w:sz w:val="22"/>
          <w:szCs w:val="20"/>
        </w:rPr>
        <w:tab/>
      </w:r>
      <w:r>
        <w:rPr>
          <w:sz w:val="22"/>
          <w:szCs w:val="20"/>
        </w:rPr>
        <w:fldChar w:fldCharType="begin"/>
      </w:r>
      <w:r>
        <w:rPr>
          <w:sz w:val="22"/>
          <w:szCs w:val="20"/>
        </w:rPr>
        <w:instrText xml:space="preserve"> PAGEREF _Toc19871 \h </w:instrText>
      </w:r>
      <w:r>
        <w:rPr>
          <w:sz w:val="22"/>
          <w:szCs w:val="20"/>
        </w:rPr>
        <w:fldChar w:fldCharType="separate"/>
      </w:r>
      <w:r>
        <w:rPr>
          <w:sz w:val="22"/>
          <w:szCs w:val="20"/>
        </w:rPr>
        <w:t>151</w:t>
      </w:r>
      <w:r>
        <w:rPr>
          <w:sz w:val="22"/>
          <w:szCs w:val="20"/>
        </w:rPr>
        <w:fldChar w:fldCharType="end"/>
      </w:r>
      <w:r>
        <w:rPr>
          <w:sz w:val="22"/>
          <w:szCs w:val="20"/>
        </w:rPr>
        <w:fldChar w:fldCharType="end"/>
      </w:r>
    </w:p>
    <w:p w14:paraId="6060F714">
      <w:pPr>
        <w:pStyle w:val="8"/>
        <w:spacing w:line="240" w:lineRule="auto"/>
        <w:sectPr>
          <w:footerReference r:id="rId4" w:type="default"/>
          <w:pgSz w:w="11906" w:h="16838"/>
          <w:pgMar w:top="1440" w:right="1417" w:bottom="1440" w:left="1417" w:header="964" w:footer="992" w:gutter="0"/>
          <w:pgNumType w:start="1"/>
          <w:cols w:space="720" w:num="1"/>
          <w:docGrid w:type="lines" w:linePitch="312" w:charSpace="0"/>
        </w:sectPr>
      </w:pPr>
      <w:r>
        <w:rPr>
          <w:sz w:val="22"/>
          <w:szCs w:val="16"/>
        </w:rPr>
        <w:fldChar w:fldCharType="end"/>
      </w:r>
    </w:p>
    <w:p w14:paraId="7B9AA3CE">
      <w:pPr>
        <w:pStyle w:val="8"/>
      </w:pPr>
    </w:p>
    <w:p w14:paraId="08093355">
      <w:pPr>
        <w:spacing w:line="360" w:lineRule="auto"/>
        <w:jc w:val="center"/>
        <w:rPr>
          <w:rFonts w:ascii="宋体" w:hAnsi="宋体"/>
          <w:b/>
          <w:sz w:val="44"/>
          <w:szCs w:val="44"/>
        </w:rPr>
      </w:pPr>
      <w:r>
        <w:rPr>
          <w:rFonts w:hint="eastAsia" w:ascii="宋体" w:hAnsi="宋体"/>
          <w:b/>
          <w:sz w:val="44"/>
          <w:szCs w:val="44"/>
        </w:rPr>
        <w:t>年产50万吨食品包装原纸技改工程变更项目</w:t>
      </w:r>
    </w:p>
    <w:p w14:paraId="3F0A687A">
      <w:pPr>
        <w:spacing w:line="360" w:lineRule="auto"/>
        <w:jc w:val="center"/>
        <w:rPr>
          <w:rFonts w:ascii="宋体" w:hAnsi="宋体"/>
          <w:b/>
          <w:sz w:val="44"/>
          <w:szCs w:val="44"/>
        </w:rPr>
      </w:pPr>
      <w:r>
        <w:rPr>
          <w:rFonts w:hint="eastAsia" w:ascii="宋体" w:hAnsi="宋体"/>
          <w:b/>
          <w:sz w:val="44"/>
          <w:szCs w:val="44"/>
        </w:rPr>
        <w:t>（年产20万吨竹浆技改项目）</w:t>
      </w:r>
    </w:p>
    <w:p w14:paraId="1C2E9672">
      <w:pPr>
        <w:spacing w:line="360" w:lineRule="auto"/>
        <w:jc w:val="center"/>
        <w:rPr>
          <w:rFonts w:ascii="宋体" w:hAnsi="宋体"/>
          <w:b/>
          <w:sz w:val="44"/>
          <w:szCs w:val="44"/>
        </w:rPr>
      </w:pPr>
      <w:r>
        <w:rPr>
          <w:rFonts w:hint="eastAsia" w:ascii="宋体" w:hAnsi="宋体"/>
          <w:b/>
          <w:sz w:val="44"/>
          <w:szCs w:val="44"/>
        </w:rPr>
        <w:t>EPC工程总承包</w:t>
      </w:r>
    </w:p>
    <w:p w14:paraId="5EB0E873">
      <w:pPr>
        <w:spacing w:line="360" w:lineRule="auto"/>
        <w:jc w:val="center"/>
        <w:rPr>
          <w:rFonts w:ascii="宋体" w:hAnsi="宋体"/>
          <w:b/>
          <w:sz w:val="44"/>
          <w:szCs w:val="44"/>
          <w:lang w:bidi="he-IL"/>
        </w:rPr>
      </w:pPr>
      <w:r>
        <w:rPr>
          <w:rFonts w:hint="eastAsia" w:ascii="宋体" w:hAnsi="宋体"/>
          <w:b/>
          <w:sz w:val="44"/>
          <w:szCs w:val="44"/>
          <w:lang w:bidi="he-IL"/>
        </w:rPr>
        <w:t>技术协议书</w:t>
      </w:r>
    </w:p>
    <w:p w14:paraId="38DE7E32">
      <w:pPr>
        <w:spacing w:line="360" w:lineRule="auto"/>
        <w:jc w:val="center"/>
        <w:rPr>
          <w:rFonts w:ascii="宋体" w:hAnsi="宋体"/>
          <w:b/>
          <w:sz w:val="44"/>
          <w:szCs w:val="44"/>
          <w:lang w:bidi="he-IL"/>
        </w:rPr>
      </w:pPr>
      <w:r>
        <w:rPr>
          <w:rFonts w:hint="eastAsia" w:ascii="宋体" w:hAnsi="宋体"/>
          <w:b/>
          <w:sz w:val="44"/>
          <w:szCs w:val="44"/>
          <w:lang w:bidi="he-IL"/>
        </w:rPr>
        <w:t>第一篇</w:t>
      </w:r>
    </w:p>
    <w:p w14:paraId="65EECA96">
      <w:pPr>
        <w:spacing w:line="360" w:lineRule="auto"/>
        <w:jc w:val="center"/>
        <w:outlineLvl w:val="0"/>
        <w:rPr>
          <w:rFonts w:ascii="宋体" w:hAnsi="宋体" w:eastAsia="等线"/>
          <w:b/>
          <w:sz w:val="44"/>
          <w:szCs w:val="44"/>
        </w:rPr>
      </w:pPr>
      <w:bookmarkStart w:id="0" w:name="_Toc6887"/>
      <w:bookmarkStart w:id="1" w:name="_Toc4011"/>
      <w:bookmarkStart w:id="2" w:name="_Toc27444"/>
      <w:r>
        <w:rPr>
          <w:rFonts w:hint="eastAsia" w:ascii="宋体" w:hAnsi="宋体"/>
          <w:b/>
          <w:sz w:val="44"/>
          <w:szCs w:val="44"/>
        </w:rPr>
        <w:t>设计</w:t>
      </w:r>
      <w:bookmarkEnd w:id="0"/>
      <w:bookmarkEnd w:id="1"/>
      <w:bookmarkEnd w:id="2"/>
    </w:p>
    <w:p w14:paraId="5F934A0D">
      <w:pPr>
        <w:spacing w:line="480" w:lineRule="auto"/>
        <w:jc w:val="center"/>
        <w:rPr>
          <w:rFonts w:ascii="Times New Roman" w:hAnsi="Times New Roman"/>
          <w:b/>
          <w:sz w:val="52"/>
          <w:szCs w:val="52"/>
        </w:rPr>
      </w:pPr>
    </w:p>
    <w:p w14:paraId="0E8C92F1">
      <w:pPr>
        <w:spacing w:line="480" w:lineRule="auto"/>
        <w:jc w:val="center"/>
        <w:rPr>
          <w:rFonts w:ascii="Times New Roman" w:hAnsi="Times New Roman"/>
          <w:b/>
          <w:sz w:val="52"/>
          <w:szCs w:val="52"/>
        </w:rPr>
      </w:pPr>
    </w:p>
    <w:p w14:paraId="72E91837">
      <w:pPr>
        <w:spacing w:line="480" w:lineRule="auto"/>
        <w:jc w:val="center"/>
        <w:rPr>
          <w:rFonts w:ascii="Times New Roman" w:hAnsi="Times New Roman"/>
          <w:b/>
          <w:sz w:val="52"/>
          <w:szCs w:val="52"/>
        </w:rPr>
      </w:pPr>
    </w:p>
    <w:p w14:paraId="445F8916">
      <w:pPr>
        <w:spacing w:line="480" w:lineRule="auto"/>
        <w:rPr>
          <w:rFonts w:ascii="Times New Roman" w:hAnsi="Times New Roman"/>
          <w:b/>
          <w:sz w:val="52"/>
          <w:szCs w:val="52"/>
        </w:rPr>
      </w:pPr>
    </w:p>
    <w:p w14:paraId="7E3CEDEF">
      <w:pPr>
        <w:spacing w:line="480" w:lineRule="auto"/>
        <w:rPr>
          <w:rFonts w:ascii="Times New Roman" w:hAnsi="Times New Roman"/>
          <w:b/>
          <w:sz w:val="72"/>
          <w:szCs w:val="72"/>
        </w:rPr>
      </w:pPr>
    </w:p>
    <w:p w14:paraId="05E4E4B1">
      <w:pPr>
        <w:spacing w:line="500" w:lineRule="exact"/>
        <w:rPr>
          <w:rFonts w:ascii="Times New Roman" w:hAnsi="Times New Roman"/>
          <w:szCs w:val="28"/>
        </w:rPr>
      </w:pPr>
    </w:p>
    <w:p w14:paraId="328A3F6D">
      <w:pPr>
        <w:spacing w:line="500" w:lineRule="exact"/>
        <w:rPr>
          <w:rFonts w:ascii="Times New Roman" w:hAnsi="Times New Roman"/>
          <w:szCs w:val="28"/>
        </w:rPr>
      </w:pPr>
    </w:p>
    <w:p w14:paraId="03C0A394">
      <w:pPr>
        <w:spacing w:line="500" w:lineRule="exact"/>
        <w:rPr>
          <w:rFonts w:ascii="Times New Roman" w:hAnsi="Times New Roman"/>
          <w:szCs w:val="28"/>
        </w:rPr>
      </w:pPr>
    </w:p>
    <w:p w14:paraId="5DF14083">
      <w:pPr>
        <w:spacing w:line="500" w:lineRule="exact"/>
        <w:rPr>
          <w:rFonts w:ascii="Times New Roman" w:hAnsi="Times New Roman"/>
          <w:szCs w:val="28"/>
        </w:rPr>
      </w:pPr>
    </w:p>
    <w:p w14:paraId="6BA19A01">
      <w:pPr>
        <w:spacing w:line="500" w:lineRule="exact"/>
        <w:rPr>
          <w:rFonts w:ascii="Times New Roman" w:hAnsi="Times New Roman"/>
          <w:szCs w:val="28"/>
        </w:rPr>
      </w:pPr>
    </w:p>
    <w:p w14:paraId="567D00CA">
      <w:pPr>
        <w:spacing w:line="500" w:lineRule="exact"/>
        <w:jc w:val="center"/>
        <w:rPr>
          <w:rFonts w:ascii="Times New Roman" w:hAnsi="Times New Roman"/>
          <w:sz w:val="32"/>
          <w:szCs w:val="32"/>
        </w:rPr>
        <w:sectPr>
          <w:footerReference r:id="rId5" w:type="default"/>
          <w:pgSz w:w="11906" w:h="16838"/>
          <w:pgMar w:top="1440" w:right="1417" w:bottom="1440" w:left="1417" w:header="964" w:footer="992" w:gutter="0"/>
          <w:pgNumType w:start="1"/>
          <w:cols w:space="720" w:num="1"/>
          <w:docGrid w:type="lines" w:linePitch="312" w:charSpace="0"/>
        </w:sect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 3 月</w:t>
      </w:r>
    </w:p>
    <w:p w14:paraId="4A5E0BC6">
      <w:pPr>
        <w:pStyle w:val="2"/>
      </w:pPr>
      <w:bookmarkStart w:id="3" w:name="_Ref21321"/>
      <w:bookmarkStart w:id="4" w:name="_Toc2313"/>
      <w:bookmarkStart w:id="5" w:name="_Toc4405"/>
      <w:bookmarkStart w:id="6" w:name="_Toc4334"/>
      <w:r>
        <w:rPr>
          <w:rFonts w:hint="eastAsia"/>
        </w:rPr>
        <w:t>一、工程设计要求</w:t>
      </w:r>
      <w:bookmarkEnd w:id="3"/>
      <w:bookmarkEnd w:id="4"/>
      <w:bookmarkEnd w:id="5"/>
      <w:bookmarkEnd w:id="6"/>
    </w:p>
    <w:p w14:paraId="1631EC2F">
      <w:pPr>
        <w:pStyle w:val="3"/>
        <w:spacing w:before="120" w:after="120"/>
        <w:ind w:firstLine="281"/>
      </w:pPr>
      <w:bookmarkStart w:id="7" w:name="_Toc25025"/>
      <w:bookmarkStart w:id="8" w:name="_Toc26973"/>
      <w:bookmarkStart w:id="9" w:name="_Toc1522"/>
      <w:r>
        <w:rPr>
          <w:rFonts w:hint="eastAsia"/>
        </w:rPr>
        <w:t>1. 设计范围</w:t>
      </w:r>
      <w:bookmarkEnd w:id="7"/>
      <w:bookmarkEnd w:id="8"/>
      <w:bookmarkEnd w:id="9"/>
    </w:p>
    <w:p w14:paraId="192186E5">
      <w:pPr>
        <w:pStyle w:val="5"/>
        <w:ind w:firstLine="480"/>
      </w:pPr>
      <w:r>
        <w:rPr>
          <w:rFonts w:hint="eastAsia"/>
        </w:rPr>
        <w:t>1.1 设计工作主要范围：</w:t>
      </w:r>
    </w:p>
    <w:p w14:paraId="0CF67284">
      <w:pPr>
        <w:pStyle w:val="5"/>
        <w:ind w:firstLine="480"/>
      </w:pPr>
      <w:r>
        <w:rPr>
          <w:rFonts w:hint="eastAsia"/>
        </w:rPr>
        <w:t>完成初步设计、技术设计、施工图设计、结构设计；现场服务及可能产生的设计变更；编制竣工图；配合各设备专业厂商的设计对接；负责编制消防设计专篇、安全设施设计专篇、环保设施设计专篇、职业病防护设施设计专篇等技术文件资料，配合完成有关的报审、报批工作；出具设备材料采购清单、技术规格书等内容；负责编制施工、设备采购与安装采购招标中的技术要求答疑；施工前的技术交底；提出勘察、测量等技术要求，并验收成果；竣工验收、设计总结。</w:t>
      </w:r>
    </w:p>
    <w:p w14:paraId="1ED0E4A4">
      <w:pPr>
        <w:pStyle w:val="5"/>
        <w:ind w:firstLine="480"/>
      </w:pPr>
      <w:r>
        <w:rPr>
          <w:rFonts w:hint="eastAsia"/>
        </w:rPr>
        <w:t>工程范围包括：总图、室外管网（管廊、桥架）、建筑、结构、工艺（含管道）、机械（含非标设备）、电气、自控、仪表以及信息化系统、消防等专业的全部工程设计。项目总图设计，含平面布置总图和竖向总图，排水应遵偱雨污分流的原则。</w:t>
      </w:r>
    </w:p>
    <w:p w14:paraId="76C4D2D1">
      <w:pPr>
        <w:pStyle w:val="5"/>
        <w:ind w:firstLine="480"/>
      </w:pPr>
      <w:r>
        <w:rPr>
          <w:rFonts w:hint="eastAsia"/>
        </w:rPr>
        <w:t>1.2 设计工作的内容</w:t>
      </w:r>
    </w:p>
    <w:p w14:paraId="7BACB216">
      <w:pPr>
        <w:pStyle w:val="23"/>
        <w:ind w:firstLine="720"/>
        <w:rPr>
          <w:rFonts w:hint="default"/>
        </w:rPr>
      </w:pPr>
      <w:r>
        <w:t>1.2.1 对于车间内所有专业（工艺管道、建筑结构、</w:t>
      </w:r>
      <w:r>
        <w:rPr>
          <w:lang w:val="en-US"/>
        </w:rPr>
        <w:t>走道平台、</w:t>
      </w:r>
      <w:r>
        <w:t>水、电、消防、暖通）的管线应进行三维建模设计及分析、出图，所用的软件应为 PDMS 或</w:t>
      </w:r>
      <w:r>
        <w:rPr>
          <w:lang w:val="en-US"/>
        </w:rPr>
        <w:t>AUTOPLANT</w:t>
      </w:r>
      <w:r>
        <w:t>等同软件；提供三维管道模型及看图软件。</w:t>
      </w:r>
    </w:p>
    <w:p w14:paraId="15F4BBA7">
      <w:pPr>
        <w:pStyle w:val="23"/>
        <w:ind w:firstLine="720"/>
        <w:rPr>
          <w:rFonts w:hint="default"/>
          <w:lang w:val="en-US"/>
        </w:rPr>
      </w:pPr>
      <w:r>
        <w:rPr>
          <w:lang w:val="en-US"/>
        </w:rPr>
        <w:t>蒸煮区工段管道参照GB50316、GB/T20801、ASMEB31.1 、ASMEB31.3 等相关规范标准，运用CAEASARⅡ AUTOPIPE等国际通用管道柔性应力分析软件进行应力分析计算，计算结果达到下列要求：</w:t>
      </w:r>
    </w:p>
    <w:p w14:paraId="6E03F606">
      <w:pPr>
        <w:pStyle w:val="23"/>
        <w:ind w:firstLine="720"/>
        <w:rPr>
          <w:rFonts w:hint="default"/>
          <w:lang w:val="en-US"/>
        </w:rPr>
      </w:pPr>
      <w:r>
        <w:rPr>
          <w:lang w:val="en-US"/>
        </w:rPr>
        <w:t>▲管道和管件内各点的应力不超过许用应力值；</w:t>
      </w:r>
    </w:p>
    <w:p w14:paraId="4FFCAE0E">
      <w:pPr>
        <w:pStyle w:val="23"/>
        <w:ind w:left="960" w:hanging="240" w:firstLineChars="0"/>
        <w:rPr>
          <w:rFonts w:hint="default"/>
          <w:lang w:val="en-US"/>
        </w:rPr>
      </w:pPr>
      <w:r>
        <w:rPr>
          <w:lang w:val="en-US"/>
        </w:rPr>
        <w:t>▲与管子相连的设备的管口载荷（推力和力矩）在制造商或国际规定的许用范围内；</w:t>
      </w:r>
    </w:p>
    <w:p w14:paraId="128625B3">
      <w:pPr>
        <w:pStyle w:val="23"/>
        <w:ind w:firstLine="720"/>
        <w:rPr>
          <w:rFonts w:hint="default"/>
          <w:lang w:val="en-US"/>
        </w:rPr>
      </w:pPr>
      <w:r>
        <w:rPr>
          <w:lang w:val="en-US"/>
        </w:rPr>
        <w:t>▲计算管系中支架和约束设计荷载，确保支吊架的设计选用合理可靠；</w:t>
      </w:r>
    </w:p>
    <w:p w14:paraId="2EDD5551">
      <w:pPr>
        <w:pStyle w:val="23"/>
        <w:ind w:firstLine="720"/>
        <w:rPr>
          <w:rFonts w:hint="default"/>
          <w:lang w:val="en-US"/>
        </w:rPr>
      </w:pPr>
      <w:r>
        <w:rPr>
          <w:lang w:val="en-US"/>
        </w:rPr>
        <w:t>▲确保管子的位移量在许可范围内；</w:t>
      </w:r>
    </w:p>
    <w:p w14:paraId="4C689D5A">
      <w:pPr>
        <w:pStyle w:val="23"/>
        <w:ind w:firstLine="720"/>
        <w:rPr>
          <w:rFonts w:hint="default"/>
          <w:lang w:val="en-US"/>
        </w:rPr>
      </w:pPr>
      <w:r>
        <w:rPr>
          <w:lang w:val="en-US"/>
        </w:rPr>
        <w:t>▲优化管系设计。</w:t>
      </w:r>
    </w:p>
    <w:p w14:paraId="1E8D6606">
      <w:pPr>
        <w:pStyle w:val="23"/>
        <w:ind w:firstLine="960" w:firstLineChars="400"/>
        <w:rPr>
          <w:rFonts w:hint="default"/>
        </w:rPr>
      </w:pPr>
      <w:r>
        <w:t>DN25 以上的管道要提供单管</w:t>
      </w:r>
      <w:r>
        <w:rPr>
          <w:lang w:val="en-US"/>
        </w:rPr>
        <w:t>ISO</w:t>
      </w:r>
      <w:r>
        <w:t>图。</w:t>
      </w:r>
    </w:p>
    <w:p w14:paraId="68B51C7C">
      <w:pPr>
        <w:pStyle w:val="23"/>
        <w:ind w:firstLine="720"/>
        <w:rPr>
          <w:rFonts w:hint="default"/>
        </w:rPr>
      </w:pPr>
      <w:r>
        <w:t>1.2.2 具体设计内容：</w:t>
      </w:r>
    </w:p>
    <w:p w14:paraId="5111670A">
      <w:pPr>
        <w:pStyle w:val="23"/>
        <w:ind w:left="960" w:hanging="240" w:firstLineChars="0"/>
        <w:rPr>
          <w:rFonts w:hint="default"/>
        </w:rPr>
      </w:pPr>
      <w:r>
        <w:t>a.</w:t>
      </w:r>
      <w:r>
        <w:rPr>
          <w:lang w:val="en-US"/>
        </w:rPr>
        <w:t>整个</w:t>
      </w:r>
      <w:r>
        <w:t>项目（备料、蒸煮、</w:t>
      </w:r>
      <w:r>
        <w:rPr>
          <w:lang w:val="en-US"/>
        </w:rPr>
        <w:t>洗选</w:t>
      </w:r>
      <w:r>
        <w:t>）整个系统的施工图设计，工艺设计包括但不限于相应的设计计算（包括并不限于浆水平衡、物料平衡、高低浓臭气量等）、流程图、设备清单（设备一览表）、设备平面布置、工艺管道的施工图（单管图）设计、安装说明、并提供详细准确的材料清单（含手阀清单）。同时提供管道支吊架位置图及大管支撑件位置图、管道支架图、工艺操作平台图、各种设备硬连接的非标制造图等；</w:t>
      </w:r>
    </w:p>
    <w:p w14:paraId="7DAAF67B">
      <w:pPr>
        <w:pStyle w:val="23"/>
        <w:ind w:left="960" w:hanging="240" w:firstLineChars="0"/>
        <w:rPr>
          <w:rFonts w:hint="default"/>
        </w:rPr>
      </w:pPr>
      <w:r>
        <w:t>b.土建设计，总图工程及建构筑物的设计，包括总图、建筑、结构及配套的给排水、消防、照明、防雷、暖通专业等设计；</w:t>
      </w:r>
    </w:p>
    <w:p w14:paraId="545FD740">
      <w:pPr>
        <w:pStyle w:val="23"/>
        <w:ind w:left="960" w:hanging="240" w:firstLineChars="0"/>
        <w:rPr>
          <w:rFonts w:hint="default"/>
        </w:rPr>
      </w:pPr>
      <w:r>
        <w:t>c.电气设计，提供蒸煮、备料车间变配电系统图、控制系统图、变电间平面图、配电室平面布置图、高低压电缆敷设图及自控电缆敷设图、变压器低压侧密集母线走向图、桥架布置图、现场电源箱图、安装说明、防雷及接地、照明图、电缆材料清单、接线图、并提供详细 I</w:t>
      </w:r>
      <w:r>
        <w:rPr>
          <w:lang w:val="en-US"/>
        </w:rPr>
        <w:t>/</w:t>
      </w:r>
      <w:r>
        <w:t>O 清单、变压器清单、电机清单、电缆保护管；</w:t>
      </w:r>
    </w:p>
    <w:p w14:paraId="5A79C80B">
      <w:pPr>
        <w:pStyle w:val="23"/>
        <w:ind w:left="960" w:hanging="240" w:firstLineChars="0"/>
        <w:rPr>
          <w:rFonts w:hint="default"/>
        </w:rPr>
      </w:pPr>
      <w:r>
        <w:t>d</w:t>
      </w:r>
      <w:r>
        <w:rPr>
          <w:lang w:val="en-US"/>
        </w:rPr>
        <w:t>.</w:t>
      </w:r>
      <w:r>
        <w:t>非标设备设计，提供本工程所有配套部分的非标件制造图（包括罐、槽、操作平台、楼梯及设备之间硬连接等）；</w:t>
      </w:r>
    </w:p>
    <w:p w14:paraId="7F019902">
      <w:pPr>
        <w:pStyle w:val="23"/>
        <w:ind w:left="960" w:hanging="240" w:firstLineChars="0"/>
        <w:rPr>
          <w:rFonts w:hint="default"/>
        </w:rPr>
      </w:pPr>
      <w:r>
        <w:t>e.仪表自动化，提供带控制点的工艺流程图、自控设备表（分类汇总表，含自控阀、测量仪表、I</w:t>
      </w:r>
      <w:r>
        <w:rPr>
          <w:lang w:val="en-US"/>
        </w:rPr>
        <w:t>/</w:t>
      </w:r>
      <w:r>
        <w:t>O 清单）、回路图、接线图、控制原理图、I/O 柜布置图、仪表安装图、仪表布置图、电缆及仪表设备订货材料清单、桥架图、电源箱图、控制系统接地图、UPS 系统（含 UPS 电池）、仪表管阀件清单等；</w:t>
      </w:r>
    </w:p>
    <w:p w14:paraId="6C28E003">
      <w:pPr>
        <w:pStyle w:val="23"/>
        <w:ind w:firstLine="720"/>
        <w:rPr>
          <w:rFonts w:hint="default"/>
          <w:lang w:val="en-US"/>
        </w:rPr>
      </w:pPr>
      <w:r>
        <w:t>f.其他未提及但项目必需的其他专业的设计都包含在本项目施工图设计</w:t>
      </w:r>
      <w:r>
        <w:rPr>
          <w:lang w:val="en-US"/>
        </w:rPr>
        <w:t>范围内；</w:t>
      </w:r>
    </w:p>
    <w:p w14:paraId="335EB038">
      <w:pPr>
        <w:pStyle w:val="23"/>
        <w:ind w:left="960" w:hanging="240" w:firstLineChars="0"/>
        <w:rPr>
          <w:rFonts w:hint="default"/>
        </w:rPr>
      </w:pPr>
      <w:r>
        <w:t>g.招标人向设计单位提资自制自购设备工艺过程描述，设计单位对此部分设计 PID 图。</w:t>
      </w:r>
    </w:p>
    <w:p w14:paraId="5212DCBB">
      <w:pPr>
        <w:pStyle w:val="23"/>
        <w:ind w:firstLine="720"/>
        <w:rPr>
          <w:rFonts w:hint="default"/>
        </w:rPr>
      </w:pPr>
      <w:r>
        <w:t>所有各专业的设计应符合最新的国家有关标准和规范。</w:t>
      </w:r>
    </w:p>
    <w:p w14:paraId="73946E0D">
      <w:pPr>
        <w:pStyle w:val="23"/>
        <w:ind w:firstLine="720"/>
        <w:rPr>
          <w:rFonts w:hint="default"/>
        </w:rPr>
      </w:pPr>
      <w:r>
        <w:t>1.2.</w:t>
      </w:r>
      <w:r>
        <w:rPr>
          <w:lang w:val="en-US"/>
        </w:rPr>
        <w:t>3</w:t>
      </w:r>
      <w:r>
        <w:t xml:space="preserve"> 工艺、机械（含非标设备）相关设计要求</w:t>
      </w:r>
    </w:p>
    <w:p w14:paraId="62913868">
      <w:pPr>
        <w:pStyle w:val="32"/>
        <w:ind w:firstLine="960"/>
        <w:rPr>
          <w:rFonts w:hint="default"/>
        </w:rPr>
      </w:pPr>
      <w:r>
        <w:t>1.2.3.1 工艺设计内容和所提供的设计文件</w:t>
      </w:r>
    </w:p>
    <w:p w14:paraId="1F2770AA">
      <w:pPr>
        <w:pStyle w:val="41"/>
        <w:ind w:left="2400" w:hanging="1200" w:firstLineChars="0"/>
        <w:rPr>
          <w:rFonts w:hint="default"/>
        </w:rPr>
      </w:pPr>
      <w:r>
        <w:t>1.2.3.1.1 本项目总的物料平衡图、各子项、工段的物料平衡图，并以 Excel 格式提供；</w:t>
      </w:r>
    </w:p>
    <w:p w14:paraId="73636D41">
      <w:pPr>
        <w:pStyle w:val="41"/>
        <w:ind w:left="2400" w:hanging="1200" w:firstLineChars="0"/>
        <w:rPr>
          <w:rFonts w:hint="default"/>
        </w:rPr>
      </w:pPr>
      <w:r>
        <w:t>1.2.3.1.2 项目所有部分（各系统）的带控制点的工艺生产流程图，并以 AutoCAD 文本格式提供；</w:t>
      </w:r>
    </w:p>
    <w:p w14:paraId="01B0F3A0">
      <w:pPr>
        <w:pStyle w:val="41"/>
        <w:ind w:left="2400" w:hanging="1200" w:firstLineChars="0"/>
        <w:rPr>
          <w:rFonts w:hint="default"/>
        </w:rPr>
      </w:pPr>
      <w:r>
        <w:t>1.2.3.1.3 设备布置图、设备管道布置图、管道单管图</w:t>
      </w:r>
      <w:r>
        <w:rPr>
          <w:lang w:val="en-US"/>
        </w:rPr>
        <w:t>ISO图</w:t>
      </w:r>
      <w:r>
        <w:t>，并以 AutoCAD 文本格式提供；</w:t>
      </w:r>
    </w:p>
    <w:p w14:paraId="293390FA">
      <w:pPr>
        <w:pStyle w:val="41"/>
        <w:ind w:left="2400" w:hanging="1200" w:firstLineChars="0"/>
        <w:rPr>
          <w:rFonts w:hint="default"/>
        </w:rPr>
      </w:pPr>
      <w:r>
        <w:t>1.2.3.1.4 设备电机一览表、工艺（包括浆水、物料、热量、高低浓臭气量）平衡计算表、管道安装一览表、压力管道安装一览表、保温管道安装一览表、阀门一览表、材料表、阀门表、设计施工说明书、图纸目录等文件，并以 Excel格式提供；</w:t>
      </w:r>
    </w:p>
    <w:p w14:paraId="779B461B">
      <w:pPr>
        <w:pStyle w:val="41"/>
        <w:ind w:left="2400" w:hanging="1200" w:firstLineChars="0"/>
        <w:rPr>
          <w:rFonts w:hint="default"/>
        </w:rPr>
      </w:pPr>
      <w:r>
        <w:t>1.2.3.1.5 管道支吊托架布置图、支吊托架制安图和材料表、工艺管道及设备预埋件和管道穿楼板开孔布置图，所用材料以 Excel 格式提供；</w:t>
      </w:r>
    </w:p>
    <w:p w14:paraId="51EF6921">
      <w:pPr>
        <w:pStyle w:val="41"/>
        <w:ind w:firstLine="1200"/>
        <w:rPr>
          <w:rFonts w:hint="default"/>
        </w:rPr>
      </w:pPr>
      <w:r>
        <w:t>1.2.3.2 厂房内管道设计要求</w:t>
      </w:r>
    </w:p>
    <w:p w14:paraId="11C01858">
      <w:pPr>
        <w:pStyle w:val="41"/>
        <w:ind w:firstLine="1200"/>
        <w:rPr>
          <w:rFonts w:hint="default"/>
        </w:rPr>
      </w:pPr>
      <w:r>
        <w:t>1.2.3.2.1 在供应商提供的流程图上编上单线图号；</w:t>
      </w:r>
    </w:p>
    <w:p w14:paraId="71919CC3">
      <w:pPr>
        <w:pStyle w:val="41"/>
        <w:ind w:firstLine="1200"/>
        <w:rPr>
          <w:rFonts w:hint="default"/>
        </w:rPr>
      </w:pPr>
      <w:r>
        <w:t>1.2.3.2.2 确认及校核供应商提供的流程图中的管道直径大小等；</w:t>
      </w:r>
    </w:p>
    <w:p w14:paraId="78C1653E">
      <w:pPr>
        <w:pStyle w:val="41"/>
        <w:ind w:firstLine="1200"/>
        <w:rPr>
          <w:rFonts w:hint="default"/>
        </w:rPr>
      </w:pPr>
      <w:r>
        <w:t>1.2.3.2.3 根据流程图设计管道单线图和布局图（三维管道图）；</w:t>
      </w:r>
    </w:p>
    <w:p w14:paraId="32302C58">
      <w:pPr>
        <w:pStyle w:val="41"/>
        <w:ind w:firstLine="1200"/>
        <w:rPr>
          <w:rFonts w:hint="default"/>
        </w:rPr>
      </w:pPr>
      <w:r>
        <w:t>1.2.3.2.4 每一个管道单线图必须具有对应的材料表；</w:t>
      </w:r>
    </w:p>
    <w:p w14:paraId="09236435">
      <w:pPr>
        <w:pStyle w:val="41"/>
        <w:ind w:left="2400" w:hanging="1200" w:firstLineChars="0"/>
        <w:rPr>
          <w:rFonts w:hint="default"/>
        </w:rPr>
      </w:pPr>
      <w:r>
        <w:t>1.2.3.2.5 提供整个管道系统材料的汇总清单（Excel 格式），材料清单内容应包括：管道、大小头、弯头、法兰、翻边、管夹、管接头、螺母、螺栓、垫片及密封垫等的尺寸、数量和材质等数据；</w:t>
      </w:r>
    </w:p>
    <w:p w14:paraId="0AC02256">
      <w:pPr>
        <w:pStyle w:val="41"/>
        <w:ind w:left="2400" w:hanging="1200" w:firstLineChars="0"/>
        <w:rPr>
          <w:rFonts w:hint="default"/>
        </w:rPr>
      </w:pPr>
      <w:r>
        <w:t>1.2.3.2.6 需提供如下图纸资料：工艺设备及电机一览表、计算书（工艺（包括浆水、物料、热量）平衡计算、主要设备选型、必要的管道支吊架受力计算）、管道材料表、管道安装一览表（Excel 格式）、压力管道特性表、阀门一览表（Excel 格式）、设计及管道安装说明书、带控制点的工艺生产流程图（PID）、车间基础布置图、设备布置图（平、立、剖图）、设备及管道布置图（平、立、剖图）、管道单管图、非标槽罐及走道及操作平台制作图、管架布置图、管架制作图等，以及根据现场实际需要设计制作的各种设备、设施等的图纸。</w:t>
      </w:r>
    </w:p>
    <w:p w14:paraId="7ACD7923">
      <w:pPr>
        <w:pStyle w:val="32"/>
        <w:ind w:firstLine="960"/>
        <w:rPr>
          <w:rFonts w:hint="default"/>
        </w:rPr>
      </w:pPr>
      <w:r>
        <w:t>1.2.3.3 管架、管托设计要求</w:t>
      </w:r>
    </w:p>
    <w:p w14:paraId="604CEED1">
      <w:pPr>
        <w:pStyle w:val="41"/>
        <w:ind w:firstLine="1200"/>
        <w:rPr>
          <w:rFonts w:hint="default"/>
        </w:rPr>
      </w:pPr>
      <w:r>
        <w:t>1.2.3.3.1 提供预埋件平面布置图、制作图及相应的清单（Excel 格式）；</w:t>
      </w:r>
    </w:p>
    <w:p w14:paraId="1F1A47C1">
      <w:pPr>
        <w:pStyle w:val="41"/>
        <w:ind w:left="2400" w:hanging="1200" w:firstLineChars="0"/>
        <w:rPr>
          <w:rFonts w:hint="default"/>
        </w:rPr>
      </w:pPr>
      <w:r>
        <w:t>1.2.3.3.2 提供所有管架平面位置图，在平面图中每一管架必须具有对应的管架编号；</w:t>
      </w:r>
    </w:p>
    <w:p w14:paraId="16E14FD2">
      <w:pPr>
        <w:pStyle w:val="41"/>
        <w:ind w:firstLine="1200"/>
        <w:rPr>
          <w:rFonts w:hint="default"/>
        </w:rPr>
      </w:pPr>
      <w:r>
        <w:t>1.2.3.3.3 提供每一管架的制作图和编号，并附有相应的材料清单；</w:t>
      </w:r>
    </w:p>
    <w:p w14:paraId="726F32FE">
      <w:pPr>
        <w:pStyle w:val="41"/>
        <w:ind w:firstLine="1200"/>
        <w:rPr>
          <w:rFonts w:hint="default"/>
        </w:rPr>
      </w:pPr>
      <w:r>
        <w:t>1.2.3.3.4 提供管托的尺寸图或制作图及清单；</w:t>
      </w:r>
    </w:p>
    <w:p w14:paraId="48711B2D">
      <w:pPr>
        <w:pStyle w:val="41"/>
        <w:ind w:firstLine="1200"/>
        <w:rPr>
          <w:rFonts w:hint="default"/>
        </w:rPr>
      </w:pPr>
      <w:r>
        <w:t>1.2.3.3.5 提供所有管架、管托材料汇总清单（Excel 格式）。</w:t>
      </w:r>
    </w:p>
    <w:p w14:paraId="6893D5B8">
      <w:pPr>
        <w:pStyle w:val="32"/>
        <w:ind w:firstLine="960"/>
        <w:rPr>
          <w:rFonts w:hint="default"/>
        </w:rPr>
      </w:pPr>
      <w:r>
        <w:t xml:space="preserve">1.2.3.4 </w:t>
      </w:r>
      <w:r>
        <w:rPr>
          <w:lang w:val="en-US"/>
        </w:rPr>
        <w:t>罐</w:t>
      </w:r>
      <w:r>
        <w:t>槽塔、料仓设计要求</w:t>
      </w:r>
    </w:p>
    <w:p w14:paraId="4E106775">
      <w:pPr>
        <w:pStyle w:val="41"/>
        <w:ind w:left="2400" w:hanging="1200" w:firstLineChars="0"/>
        <w:rPr>
          <w:rFonts w:hint="default"/>
        </w:rPr>
      </w:pPr>
      <w:r>
        <w:t>1.2.3.4.1 根据设备供应商提供的基本工程设计数据，设计及提供</w:t>
      </w:r>
      <w:r>
        <w:rPr>
          <w:lang w:val="en-US"/>
        </w:rPr>
        <w:t>罐</w:t>
      </w:r>
      <w:r>
        <w:t>槽塔的详细设计图、制作图；</w:t>
      </w:r>
    </w:p>
    <w:p w14:paraId="496FA563">
      <w:pPr>
        <w:pStyle w:val="41"/>
        <w:ind w:firstLine="1200"/>
        <w:rPr>
          <w:rFonts w:hint="default"/>
        </w:rPr>
      </w:pPr>
      <w:r>
        <w:t>1.2.3.4.2 提供</w:t>
      </w:r>
      <w:r>
        <w:rPr>
          <w:lang w:val="en-US"/>
        </w:rPr>
        <w:t>罐</w:t>
      </w:r>
      <w:r>
        <w:t>槽塔制作的展开图及下料图；</w:t>
      </w:r>
    </w:p>
    <w:p w14:paraId="45EAB793">
      <w:pPr>
        <w:pStyle w:val="41"/>
        <w:ind w:firstLine="1200"/>
        <w:rPr>
          <w:rFonts w:hint="default"/>
        </w:rPr>
      </w:pPr>
      <w:r>
        <w:t>1.2.3.4.3 提供</w:t>
      </w:r>
      <w:r>
        <w:rPr>
          <w:lang w:val="en-US"/>
        </w:rPr>
        <w:t>罐</w:t>
      </w:r>
      <w:r>
        <w:t>槽塔安装用的预埋件平面布置图和制作图；</w:t>
      </w:r>
    </w:p>
    <w:p w14:paraId="4B0EEE71">
      <w:pPr>
        <w:pStyle w:val="41"/>
        <w:ind w:left="2400" w:hanging="1200" w:firstLineChars="0"/>
        <w:rPr>
          <w:rFonts w:hint="default"/>
        </w:rPr>
      </w:pPr>
      <w:r>
        <w:t>1.2.3.4.4 在</w:t>
      </w:r>
      <w:r>
        <w:rPr>
          <w:lang w:val="en-US"/>
        </w:rPr>
        <w:t>罐</w:t>
      </w:r>
      <w:r>
        <w:t>槽塔的设计图中每一部件都应有编号，及对应的独立材料清单（Excel 格式）--材料清单参考附件的标准格式。</w:t>
      </w:r>
    </w:p>
    <w:p w14:paraId="44EF2EC8">
      <w:pPr>
        <w:pStyle w:val="32"/>
        <w:ind w:firstLine="960"/>
        <w:rPr>
          <w:rFonts w:hint="default"/>
        </w:rPr>
      </w:pPr>
      <w:r>
        <w:t>1.2.3.5 走道平台设计要求</w:t>
      </w:r>
    </w:p>
    <w:p w14:paraId="0F418569">
      <w:pPr>
        <w:pStyle w:val="41"/>
        <w:ind w:left="2400" w:hanging="1200" w:firstLineChars="0"/>
        <w:rPr>
          <w:rFonts w:hint="default"/>
        </w:rPr>
      </w:pPr>
      <w:r>
        <w:t>1.2.3.5.1 根据设备供应商提供的基本工程设计数据，设计及提供走道平台的平面布置图、制作图及材料清单；</w:t>
      </w:r>
    </w:p>
    <w:p w14:paraId="72B7B5FF">
      <w:pPr>
        <w:pStyle w:val="41"/>
        <w:ind w:left="2400" w:hanging="1200" w:firstLineChars="0"/>
        <w:rPr>
          <w:rFonts w:hint="default"/>
        </w:rPr>
      </w:pPr>
      <w:r>
        <w:t>1.2.3.5.2 提供走道平台要用到的预埋件布置图、制作图及清单（Excel 格式）；</w:t>
      </w:r>
    </w:p>
    <w:p w14:paraId="33DE01FF">
      <w:pPr>
        <w:pStyle w:val="41"/>
        <w:ind w:firstLine="1200"/>
        <w:rPr>
          <w:rFonts w:hint="default"/>
        </w:rPr>
      </w:pPr>
      <w:r>
        <w:t>1.2.3.5.3 提供所有走道平台材料汇总清单（Excel 格式）。</w:t>
      </w:r>
    </w:p>
    <w:p w14:paraId="619307BC">
      <w:pPr>
        <w:pStyle w:val="32"/>
        <w:ind w:firstLine="960"/>
        <w:rPr>
          <w:rFonts w:hint="default"/>
        </w:rPr>
      </w:pPr>
      <w:r>
        <w:t>1.2.3.6 设备及</w:t>
      </w:r>
      <w:r>
        <w:rPr>
          <w:lang w:val="en-US"/>
        </w:rPr>
        <w:t>罐</w:t>
      </w:r>
      <w:r>
        <w:t>槽的支撑性钢构</w:t>
      </w:r>
    </w:p>
    <w:p w14:paraId="50B6D541">
      <w:pPr>
        <w:pStyle w:val="41"/>
        <w:ind w:left="2400" w:hanging="1200" w:firstLineChars="0"/>
        <w:rPr>
          <w:rFonts w:hint="default"/>
        </w:rPr>
      </w:pPr>
      <w:r>
        <w:t>1.2.3.6.1 根据设备供应商提供的基本工程设计数据，设计提供每一钢构的平面布置图、制作图及对应的材料清单；</w:t>
      </w:r>
    </w:p>
    <w:p w14:paraId="57D0326F">
      <w:pPr>
        <w:pStyle w:val="41"/>
        <w:ind w:firstLine="1200"/>
        <w:rPr>
          <w:rFonts w:hint="default"/>
        </w:rPr>
      </w:pPr>
      <w:r>
        <w:t>1.2.3.6.2 提供所有钢构材料汇总清单（Excel 格式）。</w:t>
      </w:r>
    </w:p>
    <w:p w14:paraId="488235E9">
      <w:pPr>
        <w:pStyle w:val="32"/>
        <w:ind w:firstLine="960"/>
        <w:rPr>
          <w:rFonts w:hint="default"/>
        </w:rPr>
      </w:pPr>
      <w:r>
        <w:t>1.2.3.7 设备、管道及</w:t>
      </w:r>
      <w:r>
        <w:rPr>
          <w:lang w:val="en-US"/>
        </w:rPr>
        <w:t>罐</w:t>
      </w:r>
      <w:r>
        <w:t>槽塔保温部分要求</w:t>
      </w:r>
    </w:p>
    <w:p w14:paraId="712D81A8">
      <w:pPr>
        <w:pStyle w:val="41"/>
        <w:ind w:left="2400" w:hanging="1200" w:firstLineChars="0"/>
        <w:rPr>
          <w:rFonts w:hint="default"/>
        </w:rPr>
      </w:pPr>
      <w:r>
        <w:t>1.2.3.7.1 根据工艺要求，提供设备、管道及</w:t>
      </w:r>
      <w:r>
        <w:rPr>
          <w:lang w:val="en-US"/>
        </w:rPr>
        <w:t>罐</w:t>
      </w:r>
      <w:r>
        <w:t>槽塔保温的详细设计图及相关说明；</w:t>
      </w:r>
    </w:p>
    <w:p w14:paraId="42285DBB">
      <w:pPr>
        <w:pStyle w:val="41"/>
        <w:ind w:left="2400" w:hanging="1200" w:firstLineChars="0"/>
        <w:rPr>
          <w:rFonts w:hint="default"/>
        </w:rPr>
      </w:pPr>
      <w:r>
        <w:t>1.2.3.7.2 对于设备保温，提供每一台需要保温设备的保温材料清单（Excel 格式）；</w:t>
      </w:r>
    </w:p>
    <w:p w14:paraId="4EAE3432">
      <w:pPr>
        <w:pStyle w:val="41"/>
        <w:ind w:left="2400" w:hanging="1200" w:firstLineChars="0"/>
        <w:rPr>
          <w:rFonts w:hint="default"/>
        </w:rPr>
      </w:pPr>
      <w:r>
        <w:t>1.2.3.7.3 对于管道，针对各种规格的需保温的管道，提供详细的材料清单，内容应包括保温材料的规格尺寸、长度（Excel 格式）；</w:t>
      </w:r>
    </w:p>
    <w:p w14:paraId="6576E0FB">
      <w:pPr>
        <w:pStyle w:val="41"/>
        <w:ind w:left="2400" w:hanging="1200" w:firstLineChars="0"/>
        <w:rPr>
          <w:rFonts w:hint="default"/>
        </w:rPr>
      </w:pPr>
      <w:r>
        <w:t>1.2.3.7.4 对于</w:t>
      </w:r>
      <w:r>
        <w:rPr>
          <w:lang w:val="en-US"/>
        </w:rPr>
        <w:t>罐</w:t>
      </w:r>
      <w:r>
        <w:t>槽塔保温，提供每一需保温</w:t>
      </w:r>
      <w:r>
        <w:rPr>
          <w:lang w:val="en-US"/>
        </w:rPr>
        <w:t>罐</w:t>
      </w:r>
      <w:r>
        <w:t>槽塔的所有保温材料规格尺寸及数量清单（Excel 格式）。</w:t>
      </w:r>
    </w:p>
    <w:p w14:paraId="6DCC9F87">
      <w:pPr>
        <w:pStyle w:val="32"/>
        <w:ind w:firstLine="960"/>
        <w:rPr>
          <w:rFonts w:hint="default"/>
        </w:rPr>
      </w:pPr>
      <w:r>
        <w:t>1.2.3.8 厂房通风设计要求</w:t>
      </w:r>
    </w:p>
    <w:p w14:paraId="6D11952A">
      <w:pPr>
        <w:pStyle w:val="41"/>
        <w:ind w:firstLine="1200"/>
        <w:rPr>
          <w:rFonts w:hint="default"/>
        </w:rPr>
      </w:pPr>
      <w:r>
        <w:t>按国家及行业要求，经过计算提供厂房通风的布置图、设备清单和电气图。</w:t>
      </w:r>
    </w:p>
    <w:p w14:paraId="53372973">
      <w:pPr>
        <w:pStyle w:val="32"/>
        <w:ind w:firstLine="960"/>
        <w:rPr>
          <w:rFonts w:hint="default"/>
        </w:rPr>
      </w:pPr>
      <w:r>
        <w:t>1.2.3.9 本文中未提及，但又是本项目需要的其他工艺和设备设计。</w:t>
      </w:r>
    </w:p>
    <w:p w14:paraId="750026C3">
      <w:pPr>
        <w:pStyle w:val="23"/>
        <w:ind w:firstLine="720"/>
        <w:rPr>
          <w:rFonts w:hint="default"/>
        </w:rPr>
      </w:pPr>
      <w:r>
        <w:t>1.2.</w:t>
      </w:r>
      <w:r>
        <w:rPr>
          <w:lang w:val="en-US"/>
        </w:rPr>
        <w:t>4</w:t>
      </w:r>
      <w:r>
        <w:t xml:space="preserve"> 暖通专业要求</w:t>
      </w:r>
    </w:p>
    <w:p w14:paraId="5B6DC42D">
      <w:pPr>
        <w:pStyle w:val="32"/>
        <w:ind w:left="960" w:firstLine="0" w:firstLineChars="0"/>
        <w:rPr>
          <w:rFonts w:hint="default"/>
        </w:rPr>
      </w:pPr>
      <w:r>
        <w:t>暖通空调（供暖、通风、空调和压缩空气（仪表压缩空气和生产压缩空气））系统。</w:t>
      </w:r>
    </w:p>
    <w:p w14:paraId="56C0A06C">
      <w:pPr>
        <w:pStyle w:val="32"/>
        <w:ind w:firstLine="960"/>
        <w:rPr>
          <w:rFonts w:hint="default"/>
        </w:rPr>
      </w:pPr>
      <w:r>
        <w:t>设计/工程的工作范围：</w:t>
      </w:r>
    </w:p>
    <w:p w14:paraId="3C787E0C">
      <w:pPr>
        <w:pStyle w:val="32"/>
        <w:ind w:firstLine="960"/>
        <w:rPr>
          <w:rFonts w:hint="default"/>
        </w:rPr>
      </w:pPr>
      <w:r>
        <w:t>a.基本要求和设计标准；</w:t>
      </w:r>
    </w:p>
    <w:p w14:paraId="556C6FD2">
      <w:pPr>
        <w:pStyle w:val="32"/>
        <w:ind w:firstLine="960"/>
        <w:rPr>
          <w:rFonts w:hint="default"/>
        </w:rPr>
      </w:pPr>
      <w:r>
        <w:t>b.制热和制冷负荷的详细计算；</w:t>
      </w:r>
    </w:p>
    <w:p w14:paraId="78FF65D0">
      <w:pPr>
        <w:pStyle w:val="32"/>
        <w:ind w:firstLine="960"/>
        <w:rPr>
          <w:rFonts w:hint="default"/>
        </w:rPr>
      </w:pPr>
      <w:r>
        <w:t>c.设备清单和设备参数；</w:t>
      </w:r>
    </w:p>
    <w:p w14:paraId="56428E61">
      <w:pPr>
        <w:pStyle w:val="32"/>
        <w:ind w:firstLine="960"/>
        <w:rPr>
          <w:rFonts w:hint="default"/>
        </w:rPr>
      </w:pPr>
      <w:r>
        <w:t>d.风管材料和参数清单；</w:t>
      </w:r>
    </w:p>
    <w:p w14:paraId="13D0BEAD">
      <w:pPr>
        <w:pStyle w:val="32"/>
        <w:ind w:firstLine="960"/>
        <w:rPr>
          <w:rFonts w:hint="default"/>
        </w:rPr>
      </w:pPr>
      <w:r>
        <w:t>e.管道材料和参数清单；</w:t>
      </w:r>
    </w:p>
    <w:p w14:paraId="76228884">
      <w:pPr>
        <w:pStyle w:val="32"/>
        <w:ind w:firstLine="960"/>
        <w:rPr>
          <w:rFonts w:hint="default"/>
        </w:rPr>
      </w:pPr>
      <w:r>
        <w:t>f.布置图（设备布置，风管布置，管道布置）,详</w:t>
      </w:r>
      <w:r>
        <w:rPr>
          <w:lang w:val="en-US"/>
        </w:rPr>
        <w:t>图</w:t>
      </w:r>
      <w:r>
        <w:t>和剖面图。</w:t>
      </w:r>
    </w:p>
    <w:p w14:paraId="5E3D3F58">
      <w:pPr>
        <w:pStyle w:val="23"/>
        <w:ind w:firstLine="720"/>
        <w:rPr>
          <w:rFonts w:hint="default"/>
        </w:rPr>
      </w:pPr>
      <w:r>
        <w:t>1.2.</w:t>
      </w:r>
      <w:r>
        <w:rPr>
          <w:lang w:val="en-US"/>
        </w:rPr>
        <w:t>5</w:t>
      </w:r>
      <w:r>
        <w:t xml:space="preserve"> 仪表相关设计要求</w:t>
      </w:r>
    </w:p>
    <w:p w14:paraId="00A0DD22">
      <w:pPr>
        <w:pStyle w:val="32"/>
        <w:ind w:firstLine="960"/>
        <w:rPr>
          <w:rFonts w:hint="default"/>
        </w:rPr>
      </w:pPr>
      <w:r>
        <w:t>1.2.</w:t>
      </w:r>
      <w:r>
        <w:rPr>
          <w:lang w:val="en-US"/>
        </w:rPr>
        <w:t>5</w:t>
      </w:r>
      <w:r>
        <w:t>.1 一般规定</w:t>
      </w:r>
    </w:p>
    <w:p w14:paraId="195DA019">
      <w:pPr>
        <w:pStyle w:val="41"/>
        <w:ind w:firstLine="1200"/>
        <w:rPr>
          <w:rFonts w:hint="default"/>
        </w:rPr>
      </w:pPr>
      <w:r>
        <w:t>1.2.</w:t>
      </w:r>
      <w:r>
        <w:rPr>
          <w:lang w:val="en-US"/>
        </w:rPr>
        <w:t>5</w:t>
      </w:r>
      <w:r>
        <w:t>.1.1 仪表相关设计包括控制系统、气动系统和现场仪表三部分；</w:t>
      </w:r>
    </w:p>
    <w:p w14:paraId="3B48D1DE">
      <w:pPr>
        <w:pStyle w:val="41"/>
        <w:ind w:left="2400" w:hanging="1200" w:firstLineChars="0"/>
        <w:rPr>
          <w:rFonts w:hint="default"/>
        </w:rPr>
      </w:pPr>
      <w:r>
        <w:t>1.2.</w:t>
      </w:r>
      <w:r>
        <w:rPr>
          <w:lang w:val="en-US"/>
        </w:rPr>
        <w:t>5</w:t>
      </w:r>
      <w:r>
        <w:t>.1.2 在同一工程中，自控仪表的工程设计宜采用统一的信号标准、接口方式、气源等，以尽量减少备件数量。</w:t>
      </w:r>
    </w:p>
    <w:p w14:paraId="73B5A63C">
      <w:pPr>
        <w:pStyle w:val="32"/>
        <w:ind w:firstLine="960"/>
        <w:rPr>
          <w:rFonts w:hint="default"/>
        </w:rPr>
      </w:pPr>
      <w:r>
        <w:t>1.2.</w:t>
      </w:r>
      <w:r>
        <w:rPr>
          <w:lang w:val="en-US"/>
        </w:rPr>
        <w:t>5</w:t>
      </w:r>
      <w:r>
        <w:t>.2 控制系统设计</w:t>
      </w:r>
    </w:p>
    <w:p w14:paraId="3478AB31">
      <w:pPr>
        <w:pStyle w:val="41"/>
        <w:ind w:firstLine="1200"/>
        <w:rPr>
          <w:rFonts w:hint="default"/>
        </w:rPr>
      </w:pPr>
      <w:r>
        <w:t>1.2.</w:t>
      </w:r>
      <w:r>
        <w:rPr>
          <w:lang w:val="en-US"/>
        </w:rPr>
        <w:t>5</w:t>
      </w:r>
      <w:r>
        <w:t>.2.1 控制机柜应设计安装于机柜室内；</w:t>
      </w:r>
    </w:p>
    <w:p w14:paraId="51F96D9C">
      <w:pPr>
        <w:pStyle w:val="41"/>
        <w:ind w:left="2400" w:hanging="1200" w:firstLineChars="0"/>
        <w:rPr>
          <w:rFonts w:hint="default"/>
        </w:rPr>
      </w:pPr>
      <w:r>
        <w:t>1.2.</w:t>
      </w:r>
      <w:r>
        <w:rPr>
          <w:lang w:val="en-US"/>
        </w:rPr>
        <w:t>5</w:t>
      </w:r>
      <w:r>
        <w:t>.2.2 提供符合设计规范的机柜室布置图（为维护方便建议成排机柜之间净距离宜为 1.5-2 米，机柜侧面与墙净距离不宜小于 1m，机柜室地面宜采用防静电活动地板）；</w:t>
      </w:r>
    </w:p>
    <w:p w14:paraId="6D85C5FE">
      <w:pPr>
        <w:pStyle w:val="41"/>
        <w:ind w:firstLine="1200"/>
        <w:rPr>
          <w:rFonts w:hint="default"/>
        </w:rPr>
      </w:pPr>
      <w:r>
        <w:t>1.2.</w:t>
      </w:r>
      <w:r>
        <w:rPr>
          <w:lang w:val="en-US"/>
        </w:rPr>
        <w:t>5</w:t>
      </w:r>
      <w:r>
        <w:t xml:space="preserve">.2.3 </w:t>
      </w:r>
      <w:r>
        <w:rPr>
          <w:lang w:val="en-US"/>
        </w:rPr>
        <w:t>工程师站、服务器安装于仪表机柜室，配置相应的桌椅</w:t>
      </w:r>
      <w:r>
        <w:t>；</w:t>
      </w:r>
    </w:p>
    <w:p w14:paraId="5C6A51A5">
      <w:pPr>
        <w:pStyle w:val="41"/>
        <w:ind w:firstLine="1200"/>
        <w:rPr>
          <w:rFonts w:hint="default"/>
        </w:rPr>
      </w:pPr>
      <w:r>
        <w:t>1.2.</w:t>
      </w:r>
      <w:r>
        <w:rPr>
          <w:lang w:val="en-US"/>
        </w:rPr>
        <w:t>5</w:t>
      </w:r>
      <w:r>
        <w:t>.2.4 UPS 的设计，原则上遇外电断电后 UPS 供电不少于 2 小时；</w:t>
      </w:r>
    </w:p>
    <w:p w14:paraId="2C3D6BB8">
      <w:pPr>
        <w:pStyle w:val="41"/>
        <w:ind w:left="2400" w:hanging="1200" w:firstLineChars="0"/>
        <w:rPr>
          <w:rFonts w:hint="default"/>
        </w:rPr>
      </w:pPr>
      <w:r>
        <w:t>1.2.</w:t>
      </w:r>
      <w:r>
        <w:rPr>
          <w:lang w:val="en-US"/>
        </w:rPr>
        <w:t>5</w:t>
      </w:r>
      <w:r>
        <w:t>.2.5 机柜室等预留孔或预埋件平面布置图、制作图及相应的清单（Excel 格式）；</w:t>
      </w:r>
    </w:p>
    <w:p w14:paraId="18B130B7">
      <w:pPr>
        <w:pStyle w:val="41"/>
        <w:ind w:left="2400" w:hanging="1200" w:firstLineChars="0"/>
        <w:rPr>
          <w:rFonts w:hint="default"/>
        </w:rPr>
      </w:pPr>
      <w:r>
        <w:t>1.2.</w:t>
      </w:r>
      <w:r>
        <w:rPr>
          <w:lang w:val="en-US"/>
        </w:rPr>
        <w:t>5</w:t>
      </w:r>
      <w:r>
        <w:t>.2.6 机柜室应设计符合设计规范或满足化学浆置换蒸煮工艺包供货商要求的防静电接地铜网；</w:t>
      </w:r>
    </w:p>
    <w:p w14:paraId="4D1BEF90">
      <w:pPr>
        <w:pStyle w:val="41"/>
        <w:ind w:left="2400" w:hanging="1200" w:firstLineChars="0"/>
        <w:rPr>
          <w:rFonts w:hint="default"/>
        </w:rPr>
      </w:pPr>
      <w:r>
        <w:t>1.2.</w:t>
      </w:r>
      <w:r>
        <w:rPr>
          <w:lang w:val="en-US"/>
        </w:rPr>
        <w:t>5</w:t>
      </w:r>
      <w:r>
        <w:t>.2.7 机柜室应设计安装独立空调或中央空调，以确保室内温、湿度在规定范围；</w:t>
      </w:r>
    </w:p>
    <w:p w14:paraId="168D5DC1">
      <w:pPr>
        <w:pStyle w:val="41"/>
        <w:ind w:left="2400" w:hanging="1200" w:firstLineChars="0"/>
        <w:rPr>
          <w:rFonts w:hint="default"/>
        </w:rPr>
      </w:pPr>
      <w:r>
        <w:t>1.2.</w:t>
      </w:r>
      <w:r>
        <w:rPr>
          <w:lang w:val="en-US"/>
        </w:rPr>
        <w:t>5</w:t>
      </w:r>
      <w:r>
        <w:t>.2.8 应设计符合设计规范或满足化学浆置换蒸煮工艺包供应商要求的自动化接地系统（含自控单独接地系统设计、接线箱接地设计、机柜室接地设计、防静电接地铜网等）；</w:t>
      </w:r>
    </w:p>
    <w:p w14:paraId="29758CC9">
      <w:pPr>
        <w:pStyle w:val="41"/>
        <w:ind w:left="2400" w:hanging="1200" w:firstLineChars="0"/>
        <w:rPr>
          <w:rFonts w:hint="default"/>
        </w:rPr>
      </w:pPr>
      <w:r>
        <w:t>1.2.5.2.9 接线应采取 DCS 系统到现场接线箱，现场接线箱到现场设备的模式进行设计。</w:t>
      </w:r>
    </w:p>
    <w:p w14:paraId="5D8A4F81">
      <w:pPr>
        <w:pStyle w:val="32"/>
        <w:ind w:firstLine="960"/>
        <w:rPr>
          <w:rFonts w:hint="default"/>
        </w:rPr>
      </w:pPr>
      <w:r>
        <w:t>1.2.</w:t>
      </w:r>
      <w:r>
        <w:rPr>
          <w:lang w:val="en-US"/>
        </w:rPr>
        <w:t>5</w:t>
      </w:r>
      <w:r>
        <w:t>.3 现场仪表</w:t>
      </w:r>
    </w:p>
    <w:p w14:paraId="4650D2CC">
      <w:pPr>
        <w:pStyle w:val="41"/>
        <w:ind w:firstLine="1200"/>
        <w:rPr>
          <w:rFonts w:hint="default"/>
        </w:rPr>
      </w:pPr>
      <w:r>
        <w:t>1.2.</w:t>
      </w:r>
      <w:r>
        <w:rPr>
          <w:lang w:val="en-US"/>
        </w:rPr>
        <w:t>5</w:t>
      </w:r>
      <w:r>
        <w:t>.3.1 气动系统应包括：</w:t>
      </w:r>
    </w:p>
    <w:p w14:paraId="2951AA6D">
      <w:pPr>
        <w:pStyle w:val="40"/>
        <w:ind w:firstLine="1440"/>
        <w:rPr>
          <w:rFonts w:hint="default"/>
        </w:rPr>
      </w:pPr>
      <w:r>
        <w:t>1.2.</w:t>
      </w:r>
      <w:r>
        <w:rPr>
          <w:lang w:val="en-US"/>
        </w:rPr>
        <w:t>5</w:t>
      </w:r>
      <w:r>
        <w:t>.3.1.1 气源分配器布置图；</w:t>
      </w:r>
    </w:p>
    <w:p w14:paraId="0194C5E7">
      <w:pPr>
        <w:pStyle w:val="40"/>
        <w:ind w:firstLine="1440"/>
        <w:rPr>
          <w:rFonts w:hint="default"/>
        </w:rPr>
      </w:pPr>
      <w:r>
        <w:t>1.2.</w:t>
      </w:r>
      <w:r>
        <w:rPr>
          <w:lang w:val="en-US"/>
        </w:rPr>
        <w:t>5</w:t>
      </w:r>
      <w:r>
        <w:t>.3.1.2 气动箱配置图及材料清单；</w:t>
      </w:r>
    </w:p>
    <w:p w14:paraId="22F0E3E1">
      <w:pPr>
        <w:pStyle w:val="40"/>
        <w:ind w:firstLine="1440"/>
        <w:rPr>
          <w:rFonts w:hint="default"/>
        </w:rPr>
      </w:pPr>
      <w:r>
        <w:t>1.2.</w:t>
      </w:r>
      <w:r>
        <w:rPr>
          <w:lang w:val="en-US"/>
        </w:rPr>
        <w:t>5</w:t>
      </w:r>
      <w:r>
        <w:t>.3.1.3 气动箱定位图；</w:t>
      </w:r>
    </w:p>
    <w:p w14:paraId="18703E51">
      <w:pPr>
        <w:pStyle w:val="40"/>
        <w:ind w:firstLine="1440"/>
        <w:rPr>
          <w:rFonts w:hint="default"/>
        </w:rPr>
      </w:pPr>
      <w:r>
        <w:t>1.2.</w:t>
      </w:r>
      <w:r>
        <w:rPr>
          <w:lang w:val="en-US"/>
        </w:rPr>
        <w:t>5</w:t>
      </w:r>
      <w:r>
        <w:t>.3.1.4 气动系统材料清单；</w:t>
      </w:r>
    </w:p>
    <w:p w14:paraId="32430C79">
      <w:pPr>
        <w:pStyle w:val="40"/>
        <w:ind w:firstLine="1440"/>
        <w:rPr>
          <w:rFonts w:hint="default"/>
        </w:rPr>
      </w:pPr>
      <w:r>
        <w:t>1.2.</w:t>
      </w:r>
      <w:r>
        <w:rPr>
          <w:lang w:val="en-US"/>
        </w:rPr>
        <w:t>5</w:t>
      </w:r>
      <w:r>
        <w:t>.3.1.5 气动回路图；</w:t>
      </w:r>
    </w:p>
    <w:p w14:paraId="62F8D531">
      <w:pPr>
        <w:pStyle w:val="40"/>
        <w:ind w:firstLine="1440"/>
        <w:rPr>
          <w:rFonts w:hint="default"/>
        </w:rPr>
      </w:pPr>
      <w:r>
        <w:t>1.2.</w:t>
      </w:r>
      <w:r>
        <w:rPr>
          <w:lang w:val="en-US"/>
        </w:rPr>
        <w:t>5</w:t>
      </w:r>
      <w:r>
        <w:t>.3.1.6 仪表气源根部阀设计图。</w:t>
      </w:r>
    </w:p>
    <w:p w14:paraId="1B0FA4D4">
      <w:pPr>
        <w:pStyle w:val="41"/>
        <w:ind w:firstLine="1200"/>
        <w:rPr>
          <w:rFonts w:hint="default"/>
        </w:rPr>
      </w:pPr>
      <w:r>
        <w:t>1.2.</w:t>
      </w:r>
      <w:r>
        <w:rPr>
          <w:lang w:val="en-US"/>
        </w:rPr>
        <w:t>5</w:t>
      </w:r>
      <w:r>
        <w:t>.3.2 现场仪表应包括</w:t>
      </w:r>
    </w:p>
    <w:p w14:paraId="37820674">
      <w:pPr>
        <w:pStyle w:val="40"/>
        <w:ind w:left="2880" w:hanging="1440" w:firstLineChars="0"/>
        <w:rPr>
          <w:rFonts w:hint="default"/>
        </w:rPr>
      </w:pPr>
      <w:r>
        <w:t>1.2.</w:t>
      </w:r>
      <w:r>
        <w:rPr>
          <w:lang w:val="en-US"/>
        </w:rPr>
        <w:t>5</w:t>
      </w:r>
      <w:r>
        <w:t>.3.2.1 仪表清单，包括：型号、规格、编号（位置号）、数量等，编号规则要求（按工艺流程分区，符合控制系统字符数量要求）；</w:t>
      </w:r>
    </w:p>
    <w:p w14:paraId="21B1F299">
      <w:pPr>
        <w:pStyle w:val="40"/>
        <w:ind w:firstLine="1440"/>
        <w:rPr>
          <w:rFonts w:hint="default"/>
        </w:rPr>
      </w:pPr>
      <w:r>
        <w:t>1.2.</w:t>
      </w:r>
      <w:r>
        <w:rPr>
          <w:lang w:val="en-US"/>
        </w:rPr>
        <w:t>5</w:t>
      </w:r>
      <w:r>
        <w:t>.3.2.2</w:t>
      </w:r>
      <w:r>
        <w:rPr>
          <w:lang w:val="en-US"/>
        </w:rPr>
        <w:t xml:space="preserve"> </w:t>
      </w:r>
      <w:r>
        <w:t>Excel 格式的仪表清单；</w:t>
      </w:r>
    </w:p>
    <w:p w14:paraId="32E5D29E">
      <w:pPr>
        <w:pStyle w:val="40"/>
        <w:ind w:firstLine="1440"/>
        <w:rPr>
          <w:rFonts w:hint="default"/>
        </w:rPr>
      </w:pPr>
      <w:r>
        <w:t>1.2.</w:t>
      </w:r>
      <w:r>
        <w:rPr>
          <w:lang w:val="en-US"/>
        </w:rPr>
        <w:t>5</w:t>
      </w:r>
      <w:r>
        <w:t>.3.2.3 现场接线箱内部布置布管图、安装位置示意图及材料清单；</w:t>
      </w:r>
    </w:p>
    <w:p w14:paraId="10FEA14A">
      <w:pPr>
        <w:pStyle w:val="40"/>
        <w:ind w:firstLine="1440"/>
        <w:rPr>
          <w:rFonts w:hint="default"/>
        </w:rPr>
      </w:pPr>
      <w:r>
        <w:t>1.2.</w:t>
      </w:r>
      <w:r>
        <w:rPr>
          <w:lang w:val="en-US"/>
        </w:rPr>
        <w:t>5</w:t>
      </w:r>
      <w:r>
        <w:t>.3.2.4 仪表回路图及 I/O 清单；</w:t>
      </w:r>
    </w:p>
    <w:p w14:paraId="055BCD53">
      <w:pPr>
        <w:pStyle w:val="40"/>
        <w:ind w:firstLine="1440"/>
        <w:rPr>
          <w:rFonts w:hint="default"/>
        </w:rPr>
      </w:pPr>
      <w:r>
        <w:t>1.2.</w:t>
      </w:r>
      <w:r>
        <w:rPr>
          <w:lang w:val="en-US"/>
        </w:rPr>
        <w:t>5</w:t>
      </w:r>
      <w:r>
        <w:t>.3.2.5 仪表安装/接线（管）图（表）；</w:t>
      </w:r>
    </w:p>
    <w:p w14:paraId="1F3B45F6">
      <w:pPr>
        <w:pStyle w:val="40"/>
        <w:ind w:firstLine="1440"/>
        <w:rPr>
          <w:rFonts w:hint="default"/>
        </w:rPr>
      </w:pPr>
      <w:r>
        <w:t>1.2.</w:t>
      </w:r>
      <w:r>
        <w:rPr>
          <w:lang w:val="en-US"/>
        </w:rPr>
        <w:t>5</w:t>
      </w:r>
      <w:r>
        <w:t>.3.2.6 仪表安装接口图，工艺设备预留/预埋件的仪表接口图；</w:t>
      </w:r>
    </w:p>
    <w:p w14:paraId="299C83DE">
      <w:pPr>
        <w:pStyle w:val="40"/>
        <w:ind w:firstLine="1440"/>
        <w:rPr>
          <w:rFonts w:hint="default"/>
        </w:rPr>
      </w:pPr>
      <w:r>
        <w:t>1.2.</w:t>
      </w:r>
      <w:r>
        <w:rPr>
          <w:lang w:val="en-US"/>
        </w:rPr>
        <w:t>5</w:t>
      </w:r>
      <w:r>
        <w:t>.3.2.7 仪表平面布置图；</w:t>
      </w:r>
    </w:p>
    <w:p w14:paraId="1CC41497">
      <w:pPr>
        <w:pStyle w:val="40"/>
        <w:ind w:firstLine="1440"/>
        <w:rPr>
          <w:rFonts w:hint="default"/>
        </w:rPr>
      </w:pPr>
      <w:r>
        <w:t>1.2.</w:t>
      </w:r>
      <w:r>
        <w:rPr>
          <w:lang w:val="en-US"/>
        </w:rPr>
        <w:t>5</w:t>
      </w:r>
      <w:r>
        <w:t>.3.2.8 仪表电缆清单及规格；</w:t>
      </w:r>
    </w:p>
    <w:p w14:paraId="4EA768EA">
      <w:pPr>
        <w:pStyle w:val="40"/>
        <w:ind w:firstLine="1440"/>
        <w:rPr>
          <w:rFonts w:hint="default"/>
        </w:rPr>
      </w:pPr>
      <w:r>
        <w:t>1.2.</w:t>
      </w:r>
      <w:r>
        <w:rPr>
          <w:lang w:val="en-US"/>
        </w:rPr>
        <w:t>5</w:t>
      </w:r>
      <w:r>
        <w:t>.3.2.9</w:t>
      </w:r>
      <w:r>
        <w:rPr>
          <w:lang w:val="en-US"/>
        </w:rPr>
        <w:t xml:space="preserve"> </w:t>
      </w:r>
      <w:r>
        <w:t>PID 带控制点的工艺流程图；</w:t>
      </w:r>
    </w:p>
    <w:p w14:paraId="0C20BF64">
      <w:pPr>
        <w:pStyle w:val="40"/>
        <w:ind w:firstLine="1440"/>
        <w:rPr>
          <w:rFonts w:hint="default"/>
        </w:rPr>
      </w:pPr>
      <w:r>
        <w:t>1.2.</w:t>
      </w:r>
      <w:r>
        <w:rPr>
          <w:lang w:val="en-US"/>
        </w:rPr>
        <w:t>5</w:t>
      </w:r>
      <w:r>
        <w:t>.3.2.10 电缆及电缆桥架线路图、电缆桥架的规格；</w:t>
      </w:r>
    </w:p>
    <w:p w14:paraId="6B5E13D0">
      <w:pPr>
        <w:pStyle w:val="40"/>
        <w:ind w:firstLine="1440"/>
        <w:rPr>
          <w:rFonts w:hint="default"/>
        </w:rPr>
      </w:pPr>
      <w:r>
        <w:t>1.2.</w:t>
      </w:r>
      <w:r>
        <w:rPr>
          <w:lang w:val="en-US"/>
        </w:rPr>
        <w:t>5</w:t>
      </w:r>
      <w:r>
        <w:t>.3.2.11 可用于机柜、挂箱、现场仪表设备接线的电缆接线图；</w:t>
      </w:r>
    </w:p>
    <w:p w14:paraId="6E7029CC">
      <w:pPr>
        <w:pStyle w:val="40"/>
        <w:ind w:firstLine="1440"/>
        <w:rPr>
          <w:rFonts w:hint="default"/>
        </w:rPr>
      </w:pPr>
      <w:r>
        <w:t>1.2.</w:t>
      </w:r>
      <w:r>
        <w:rPr>
          <w:lang w:val="en-US"/>
        </w:rPr>
        <w:t>5</w:t>
      </w:r>
      <w:r>
        <w:t>.3.2.12 仪表安装材料清单；</w:t>
      </w:r>
    </w:p>
    <w:p w14:paraId="063AB0A7">
      <w:pPr>
        <w:pStyle w:val="40"/>
        <w:ind w:left="3000" w:hanging="1560" w:firstLineChars="0"/>
        <w:rPr>
          <w:rFonts w:hint="default"/>
        </w:rPr>
      </w:pPr>
      <w:r>
        <w:t>1.2.</w:t>
      </w:r>
      <w:r>
        <w:rPr>
          <w:lang w:val="en-US"/>
        </w:rPr>
        <w:t>5</w:t>
      </w:r>
      <w:r>
        <w:t>.3.2.13 现场接线箱等仪表预留孔或预埋件平面布置图、制作图及相应的清单（Excel 格式）；</w:t>
      </w:r>
    </w:p>
    <w:p w14:paraId="286BCBC6">
      <w:pPr>
        <w:pStyle w:val="40"/>
        <w:ind w:firstLine="1440"/>
        <w:rPr>
          <w:rFonts w:hint="default"/>
        </w:rPr>
      </w:pPr>
      <w:r>
        <w:t>1.2.</w:t>
      </w:r>
      <w:r>
        <w:rPr>
          <w:lang w:val="en-US"/>
        </w:rPr>
        <w:t>5</w:t>
      </w:r>
      <w:r>
        <w:t>.3.2.14 仪表检修平台的设计；</w:t>
      </w:r>
    </w:p>
    <w:p w14:paraId="4C253EE6">
      <w:pPr>
        <w:pStyle w:val="40"/>
        <w:ind w:firstLine="1440"/>
        <w:rPr>
          <w:rFonts w:hint="default"/>
        </w:rPr>
      </w:pPr>
      <w:r>
        <w:t>1.2.</w:t>
      </w:r>
      <w:r>
        <w:rPr>
          <w:lang w:val="en-US"/>
        </w:rPr>
        <w:t>5</w:t>
      </w:r>
      <w:r>
        <w:t>.3.2.15 智能 MCC（如有）链路和拓扑图设计；</w:t>
      </w:r>
    </w:p>
    <w:p w14:paraId="69530917">
      <w:pPr>
        <w:pStyle w:val="40"/>
        <w:ind w:left="3000" w:hanging="1560" w:firstLineChars="0"/>
        <w:rPr>
          <w:rFonts w:hint="default"/>
        </w:rPr>
      </w:pPr>
      <w:r>
        <w:t>1.2.</w:t>
      </w:r>
      <w:r>
        <w:rPr>
          <w:lang w:val="en-US"/>
        </w:rPr>
        <w:t>5</w:t>
      </w:r>
      <w:r>
        <w:t>.3.2.16 标签清单（包括现场设备标签、所有电缆标签、气源分配器标签、气源管标签、电源分配盘标签、供电断路器标签等）；</w:t>
      </w:r>
    </w:p>
    <w:p w14:paraId="32A6E75F">
      <w:pPr>
        <w:pStyle w:val="40"/>
        <w:ind w:firstLine="1440"/>
        <w:rPr>
          <w:rFonts w:hint="default"/>
        </w:rPr>
      </w:pPr>
      <w:r>
        <w:t>1.2.</w:t>
      </w:r>
      <w:r>
        <w:rPr>
          <w:lang w:val="en-US"/>
        </w:rPr>
        <w:t>5</w:t>
      </w:r>
      <w:r>
        <w:t>.3.2.17 自控设备表。</w:t>
      </w:r>
    </w:p>
    <w:p w14:paraId="091480D0">
      <w:pPr>
        <w:pStyle w:val="32"/>
        <w:ind w:firstLine="960"/>
        <w:rPr>
          <w:rFonts w:hint="default"/>
        </w:rPr>
      </w:pPr>
      <w:r>
        <w:t>1.2.</w:t>
      </w:r>
      <w:r>
        <w:rPr>
          <w:lang w:val="en-US"/>
        </w:rPr>
        <w:t>5</w:t>
      </w:r>
      <w:r>
        <w:t>.4 还需提供以下资料：</w:t>
      </w:r>
    </w:p>
    <w:p w14:paraId="1BF0C7EF">
      <w:pPr>
        <w:pStyle w:val="40"/>
        <w:ind w:firstLine="1920" w:firstLineChars="800"/>
        <w:rPr>
          <w:rFonts w:hint="default"/>
        </w:rPr>
      </w:pPr>
      <w:r>
        <w:t>①资料交付进度表；</w:t>
      </w:r>
    </w:p>
    <w:p w14:paraId="78E9FC55">
      <w:pPr>
        <w:pStyle w:val="40"/>
        <w:ind w:firstLine="1920" w:firstLineChars="800"/>
        <w:rPr>
          <w:rFonts w:hint="default"/>
        </w:rPr>
      </w:pPr>
      <w:r>
        <w:t>②电机 IO 清单；</w:t>
      </w:r>
    </w:p>
    <w:p w14:paraId="59750F50">
      <w:pPr>
        <w:pStyle w:val="40"/>
        <w:ind w:firstLine="1920" w:firstLineChars="800"/>
        <w:rPr>
          <w:rFonts w:hint="default"/>
        </w:rPr>
      </w:pPr>
      <w:r>
        <w:t>③仪表 IO 清单；</w:t>
      </w:r>
    </w:p>
    <w:p w14:paraId="2C7F2B00">
      <w:pPr>
        <w:pStyle w:val="40"/>
        <w:ind w:firstLine="1920" w:firstLineChars="800"/>
        <w:rPr>
          <w:rFonts w:hint="default"/>
        </w:rPr>
      </w:pPr>
      <w:r>
        <w:t>④仪表电源电缆清单；</w:t>
      </w:r>
    </w:p>
    <w:p w14:paraId="3B8BA76D">
      <w:pPr>
        <w:pStyle w:val="40"/>
        <w:ind w:firstLine="1920" w:firstLineChars="800"/>
        <w:rPr>
          <w:rFonts w:hint="default"/>
        </w:rPr>
      </w:pPr>
      <w:r>
        <w:t>⑤仪表气源分配图；</w:t>
      </w:r>
    </w:p>
    <w:p w14:paraId="5FD7A19C">
      <w:pPr>
        <w:pStyle w:val="40"/>
        <w:ind w:firstLine="1920" w:firstLineChars="800"/>
        <w:rPr>
          <w:rFonts w:hint="default"/>
        </w:rPr>
      </w:pPr>
      <w:r>
        <w:t>⑥尺寸和计算书、控制室和机柜室布置图；</w:t>
      </w:r>
    </w:p>
    <w:p w14:paraId="5C3009CB">
      <w:pPr>
        <w:pStyle w:val="40"/>
        <w:ind w:firstLine="1920" w:firstLineChars="800"/>
        <w:rPr>
          <w:rFonts w:hint="default"/>
        </w:rPr>
      </w:pPr>
      <w:r>
        <w:t>⑦现场仪表供电回路图。</w:t>
      </w:r>
    </w:p>
    <w:p w14:paraId="4D8291B6">
      <w:pPr>
        <w:pStyle w:val="32"/>
        <w:ind w:firstLine="960"/>
        <w:rPr>
          <w:rFonts w:hint="default"/>
        </w:rPr>
      </w:pPr>
      <w:r>
        <w:t>1.2.</w:t>
      </w:r>
      <w:r>
        <w:rPr>
          <w:lang w:val="en-US"/>
        </w:rPr>
        <w:t>5</w:t>
      </w:r>
      <w:r>
        <w:t>.5 本文中未提及，但又是本项目需要的其他仪表设计。</w:t>
      </w:r>
    </w:p>
    <w:p w14:paraId="517F6AF1">
      <w:pPr>
        <w:pStyle w:val="23"/>
        <w:ind w:firstLine="720"/>
        <w:rPr>
          <w:rFonts w:hint="default"/>
        </w:rPr>
      </w:pPr>
      <w:r>
        <w:t>1.2.</w:t>
      </w:r>
      <w:r>
        <w:rPr>
          <w:lang w:val="en-US"/>
        </w:rPr>
        <w:t>6</w:t>
      </w:r>
      <w:r>
        <w:t xml:space="preserve"> 电气相关设计要求</w:t>
      </w:r>
    </w:p>
    <w:p w14:paraId="5750BAF8">
      <w:pPr>
        <w:pStyle w:val="32"/>
        <w:ind w:firstLine="960"/>
        <w:rPr>
          <w:rFonts w:hint="default"/>
        </w:rPr>
      </w:pPr>
      <w:r>
        <w:t>1.2.</w:t>
      </w:r>
      <w:r>
        <w:rPr>
          <w:lang w:val="en-US"/>
        </w:rPr>
        <w:t>6</w:t>
      </w:r>
      <w:r>
        <w:t>.1 设计所有电缆桥架，包括规格、层数、高度、路径走向等；</w:t>
      </w:r>
    </w:p>
    <w:p w14:paraId="312A5E9E">
      <w:pPr>
        <w:pStyle w:val="32"/>
        <w:ind w:firstLine="960"/>
        <w:rPr>
          <w:rFonts w:hint="default"/>
        </w:rPr>
      </w:pPr>
      <w:r>
        <w:t>1.2.</w:t>
      </w:r>
      <w:r>
        <w:rPr>
          <w:lang w:val="en-US"/>
        </w:rPr>
        <w:t>6</w:t>
      </w:r>
      <w:r>
        <w:t>.2 桥架、桥架附件、支架、螺栓等规格及材料清单；</w:t>
      </w:r>
    </w:p>
    <w:p w14:paraId="11792F16">
      <w:pPr>
        <w:pStyle w:val="32"/>
        <w:ind w:firstLine="960"/>
        <w:rPr>
          <w:rFonts w:hint="default"/>
        </w:rPr>
      </w:pPr>
      <w:r>
        <w:t>1.2.</w:t>
      </w:r>
      <w:r>
        <w:rPr>
          <w:lang w:val="en-US"/>
        </w:rPr>
        <w:t>6</w:t>
      </w:r>
      <w:r>
        <w:t>.3 桥架、设备接地系统图；</w:t>
      </w:r>
    </w:p>
    <w:p w14:paraId="3CA976D9">
      <w:pPr>
        <w:pStyle w:val="32"/>
        <w:ind w:firstLine="960"/>
        <w:rPr>
          <w:rFonts w:hint="default"/>
        </w:rPr>
      </w:pPr>
      <w:r>
        <w:t>1.2.</w:t>
      </w:r>
      <w:r>
        <w:rPr>
          <w:lang w:val="en-US"/>
        </w:rPr>
        <w:t>6</w:t>
      </w:r>
      <w:r>
        <w:t>.4 电缆表（包含接地系统）；</w:t>
      </w:r>
    </w:p>
    <w:p w14:paraId="4EA9BEC3">
      <w:pPr>
        <w:pStyle w:val="32"/>
        <w:ind w:left="1920" w:hanging="960" w:firstLineChars="0"/>
        <w:rPr>
          <w:rFonts w:hint="default"/>
        </w:rPr>
      </w:pPr>
      <w:r>
        <w:t>1.2.</w:t>
      </w:r>
      <w:r>
        <w:rPr>
          <w:lang w:val="en-US"/>
        </w:rPr>
        <w:t>6</w:t>
      </w:r>
      <w:r>
        <w:t>.5 电缆表包含电缆路径、电缆规格、单根电缆长度、总电缆长度、接线端子数量、电缆头数量、电缆标签清单；</w:t>
      </w:r>
    </w:p>
    <w:p w14:paraId="6239F316">
      <w:pPr>
        <w:pStyle w:val="32"/>
        <w:ind w:firstLine="960"/>
        <w:rPr>
          <w:rFonts w:hint="default"/>
        </w:rPr>
      </w:pPr>
      <w:r>
        <w:t>1.2.</w:t>
      </w:r>
      <w:r>
        <w:rPr>
          <w:lang w:val="en-US"/>
        </w:rPr>
        <w:t>6</w:t>
      </w:r>
      <w:r>
        <w:t>.6 总材料清单；</w:t>
      </w:r>
    </w:p>
    <w:p w14:paraId="518B5246">
      <w:pPr>
        <w:pStyle w:val="32"/>
        <w:ind w:firstLine="960"/>
        <w:rPr>
          <w:rFonts w:hint="default"/>
        </w:rPr>
      </w:pPr>
      <w:r>
        <w:t>1.2.</w:t>
      </w:r>
      <w:r>
        <w:rPr>
          <w:lang w:val="en-US"/>
        </w:rPr>
        <w:t>6</w:t>
      </w:r>
      <w:r>
        <w:t>.7 配电室、变压器室的开孔，变压器接地体制作；</w:t>
      </w:r>
    </w:p>
    <w:p w14:paraId="2A73D574">
      <w:pPr>
        <w:pStyle w:val="32"/>
        <w:ind w:firstLine="960"/>
        <w:rPr>
          <w:rFonts w:hint="default"/>
        </w:rPr>
      </w:pPr>
      <w:r>
        <w:t>1.2.</w:t>
      </w:r>
      <w:r>
        <w:rPr>
          <w:lang w:val="en-US"/>
        </w:rPr>
        <w:t>6</w:t>
      </w:r>
      <w:r>
        <w:t>.8 变压器、盘柜等基础槽钢（工字钢）规格、数量清单；</w:t>
      </w:r>
    </w:p>
    <w:p w14:paraId="457B7284">
      <w:pPr>
        <w:pStyle w:val="32"/>
        <w:ind w:firstLine="960"/>
        <w:rPr>
          <w:rFonts w:hint="default"/>
        </w:rPr>
      </w:pPr>
      <w:r>
        <w:t>1.2.</w:t>
      </w:r>
      <w:r>
        <w:rPr>
          <w:lang w:val="en-US"/>
        </w:rPr>
        <w:t>6</w:t>
      </w:r>
      <w:r>
        <w:t>.9 电机基础、地脚螺栓孔、电机基础旁的桥架孔；</w:t>
      </w:r>
    </w:p>
    <w:p w14:paraId="618927D3">
      <w:pPr>
        <w:pStyle w:val="32"/>
        <w:ind w:firstLine="960"/>
        <w:rPr>
          <w:rFonts w:hint="default"/>
        </w:rPr>
      </w:pPr>
      <w:r>
        <w:t>1.2.</w:t>
      </w:r>
      <w:r>
        <w:rPr>
          <w:lang w:val="en-US"/>
        </w:rPr>
        <w:t>6</w:t>
      </w:r>
      <w:r>
        <w:t>.10 变压器的基础需根据设备供应商提供的资料进行特别设计；</w:t>
      </w:r>
    </w:p>
    <w:p w14:paraId="43E84B36">
      <w:pPr>
        <w:pStyle w:val="32"/>
        <w:ind w:firstLine="960"/>
        <w:rPr>
          <w:rFonts w:hint="default"/>
        </w:rPr>
      </w:pPr>
      <w:r>
        <w:t>1.2.</w:t>
      </w:r>
      <w:r>
        <w:rPr>
          <w:lang w:val="en-US"/>
        </w:rPr>
        <w:t>6</w:t>
      </w:r>
      <w:r>
        <w:t>.11 电机基础需根据设备供应商提供的资料进行特别设计；</w:t>
      </w:r>
    </w:p>
    <w:p w14:paraId="7E4FA3A9">
      <w:pPr>
        <w:pStyle w:val="32"/>
        <w:ind w:firstLine="960"/>
        <w:rPr>
          <w:rFonts w:hint="default"/>
        </w:rPr>
      </w:pPr>
      <w:r>
        <w:t>1.2.</w:t>
      </w:r>
      <w:r>
        <w:rPr>
          <w:lang w:val="en-US"/>
        </w:rPr>
        <w:t>6</w:t>
      </w:r>
      <w:r>
        <w:t>.12 行车滑电轨固定支架；</w:t>
      </w:r>
    </w:p>
    <w:p w14:paraId="65024509">
      <w:pPr>
        <w:pStyle w:val="32"/>
        <w:ind w:firstLine="960"/>
        <w:rPr>
          <w:rFonts w:hint="default"/>
        </w:rPr>
      </w:pPr>
      <w:r>
        <w:t>1.2.</w:t>
      </w:r>
      <w:r>
        <w:rPr>
          <w:lang w:val="en-US"/>
        </w:rPr>
        <w:t>6</w:t>
      </w:r>
      <w:r>
        <w:t>.13 照明平面布置图、器材表、照明配电系统图；</w:t>
      </w:r>
    </w:p>
    <w:p w14:paraId="7197A424">
      <w:pPr>
        <w:pStyle w:val="32"/>
        <w:ind w:left="2040" w:hanging="1080" w:firstLineChars="0"/>
        <w:rPr>
          <w:rFonts w:hint="default"/>
        </w:rPr>
      </w:pPr>
      <w:r>
        <w:t>1.2.</w:t>
      </w:r>
      <w:r>
        <w:rPr>
          <w:lang w:val="en-US"/>
        </w:rPr>
        <w:t>6</w:t>
      </w:r>
      <w:r>
        <w:t>.14 变压器继电保护配置图以及相关计算书，需要提供有关计算书文件（包括但不限于负荷计算、短路计算、保护整定计算、无功补偿计算、消弧消谐计算等）；</w:t>
      </w:r>
    </w:p>
    <w:p w14:paraId="71FD81D1">
      <w:pPr>
        <w:pStyle w:val="32"/>
        <w:ind w:firstLine="960"/>
        <w:rPr>
          <w:rFonts w:hint="default"/>
        </w:rPr>
      </w:pPr>
      <w:r>
        <w:t>1.2.</w:t>
      </w:r>
      <w:r>
        <w:rPr>
          <w:lang w:val="en-US"/>
        </w:rPr>
        <w:t>6</w:t>
      </w:r>
      <w:r>
        <w:t>.15 有关高低压变配电的设计：</w:t>
      </w:r>
    </w:p>
    <w:p w14:paraId="16F9DEF7">
      <w:pPr>
        <w:pStyle w:val="32"/>
        <w:ind w:firstLine="1440" w:firstLineChars="600"/>
        <w:rPr>
          <w:rFonts w:hint="default"/>
        </w:rPr>
      </w:pPr>
      <w:r>
        <w:t>a.绘制高低压配电系统单线图；</w:t>
      </w:r>
    </w:p>
    <w:p w14:paraId="6AAEB694">
      <w:pPr>
        <w:pStyle w:val="32"/>
        <w:ind w:firstLine="1440" w:firstLineChars="600"/>
        <w:rPr>
          <w:rFonts w:hint="default"/>
        </w:rPr>
      </w:pPr>
      <w:r>
        <w:t>b.配电系统设备和材料清单；</w:t>
      </w:r>
    </w:p>
    <w:p w14:paraId="4B27DB6B">
      <w:pPr>
        <w:pStyle w:val="32"/>
        <w:ind w:firstLine="1440" w:firstLineChars="600"/>
        <w:rPr>
          <w:rFonts w:hint="default"/>
        </w:rPr>
      </w:pPr>
      <w:r>
        <w:t>c.配电系统室和设备布局；</w:t>
      </w:r>
    </w:p>
    <w:p w14:paraId="05C94F8D">
      <w:pPr>
        <w:pStyle w:val="32"/>
        <w:ind w:firstLine="1440" w:firstLineChars="600"/>
        <w:rPr>
          <w:rFonts w:hint="default"/>
        </w:rPr>
      </w:pPr>
      <w:r>
        <w:t>d.电机控制典型电路以及主电路图设计绘制；</w:t>
      </w:r>
    </w:p>
    <w:p w14:paraId="6D9B6AFE">
      <w:pPr>
        <w:pStyle w:val="32"/>
        <w:ind w:firstLine="1440" w:firstLineChars="600"/>
        <w:rPr>
          <w:rFonts w:hint="default"/>
        </w:rPr>
      </w:pPr>
      <w:r>
        <w:t>f.现场配电箱（开关箱）、接线箱等布置图及配套系统图；</w:t>
      </w:r>
    </w:p>
    <w:p w14:paraId="5F6350CA">
      <w:pPr>
        <w:pStyle w:val="32"/>
        <w:ind w:firstLine="1440" w:firstLineChars="600"/>
        <w:rPr>
          <w:rFonts w:hint="default"/>
        </w:rPr>
      </w:pPr>
      <w:r>
        <w:t>g.低压二次控制原理图；</w:t>
      </w:r>
    </w:p>
    <w:p w14:paraId="48768D37">
      <w:pPr>
        <w:pStyle w:val="32"/>
        <w:ind w:firstLine="960"/>
        <w:rPr>
          <w:rFonts w:hint="default"/>
        </w:rPr>
      </w:pPr>
      <w:r>
        <w:t>1.2.</w:t>
      </w:r>
      <w:r>
        <w:rPr>
          <w:lang w:val="en-US"/>
        </w:rPr>
        <w:t>6</w:t>
      </w:r>
      <w:r>
        <w:t>.16. 本文中未提及，但又是本项目需要的其他电气设计和计算书。</w:t>
      </w:r>
    </w:p>
    <w:p w14:paraId="5AC8C857">
      <w:pPr>
        <w:pStyle w:val="3"/>
        <w:spacing w:before="120" w:after="120"/>
        <w:ind w:firstLine="281"/>
      </w:pPr>
      <w:bookmarkStart w:id="10" w:name="_Toc4429"/>
      <w:bookmarkStart w:id="11" w:name="_Toc22284"/>
      <w:bookmarkStart w:id="12" w:name="_Toc5984"/>
      <w:r>
        <w:rPr>
          <w:rFonts w:hint="eastAsia"/>
        </w:rPr>
        <w:t>2 设计依据</w:t>
      </w:r>
      <w:bookmarkEnd w:id="10"/>
      <w:bookmarkEnd w:id="11"/>
      <w:bookmarkEnd w:id="12"/>
    </w:p>
    <w:p w14:paraId="6D6AE31B">
      <w:pPr>
        <w:pStyle w:val="5"/>
        <w:ind w:firstLine="480"/>
      </w:pPr>
      <w:r>
        <w:rPr>
          <w:rFonts w:hint="eastAsia"/>
        </w:rPr>
        <w:t>2.1 设计招标文件及补充文件。</w:t>
      </w:r>
    </w:p>
    <w:p w14:paraId="6390DDA1">
      <w:pPr>
        <w:pStyle w:val="5"/>
        <w:ind w:left="960" w:hanging="480" w:firstLineChars="0"/>
      </w:pPr>
      <w:r>
        <w:rPr>
          <w:rFonts w:hint="eastAsia"/>
        </w:rPr>
        <w:t>2.2 中华人民共和国及国际通用，福建省及三明市颁发的有关法律法规、法定设计规范。</w:t>
      </w:r>
    </w:p>
    <w:p w14:paraId="5086B7E3">
      <w:pPr>
        <w:pStyle w:val="3"/>
        <w:spacing w:before="120" w:after="120"/>
        <w:ind w:firstLine="281"/>
      </w:pPr>
      <w:bookmarkStart w:id="13" w:name="_Toc29674"/>
      <w:bookmarkStart w:id="14" w:name="_Toc17966"/>
      <w:bookmarkStart w:id="15" w:name="_Toc8437"/>
      <w:r>
        <w:rPr>
          <w:rFonts w:hint="eastAsia"/>
        </w:rPr>
        <w:t>3 设计及服务要求</w:t>
      </w:r>
      <w:bookmarkEnd w:id="13"/>
      <w:bookmarkEnd w:id="14"/>
      <w:bookmarkEnd w:id="15"/>
    </w:p>
    <w:p w14:paraId="45DD0C0A">
      <w:pPr>
        <w:pStyle w:val="5"/>
        <w:ind w:firstLine="480"/>
      </w:pPr>
      <w:r>
        <w:rPr>
          <w:rFonts w:hint="eastAsia"/>
        </w:rPr>
        <w:t>3.1 本项目工艺包部分由发包人提资；</w:t>
      </w:r>
    </w:p>
    <w:p w14:paraId="03D913EA">
      <w:pPr>
        <w:pStyle w:val="5"/>
        <w:ind w:left="960" w:hanging="480" w:firstLineChars="0"/>
      </w:pPr>
      <w:r>
        <w:rPr>
          <w:rFonts w:hint="eastAsia"/>
        </w:rPr>
        <w:t>3.2 法规规定需要送审的施工图，均需要通过审图机关的审查，承包人无条件配合解答审图中所提的问题，免费配合进行图纸修改；</w:t>
      </w:r>
    </w:p>
    <w:p w14:paraId="6551FEF1">
      <w:pPr>
        <w:pStyle w:val="5"/>
        <w:ind w:left="960" w:hanging="480" w:firstLineChars="0"/>
      </w:pPr>
      <w:r>
        <w:rPr>
          <w:rFonts w:hint="eastAsia"/>
        </w:rPr>
        <w:t>3.3 根据工程进展情况，承包人需根据发包人要求派常驻现场设计单位代表，及时解决现场与设计有关的问题；若任务紧，应再从设计单位抽人，做到能够加班加点为工程提供需要的图纸资料，满足施工进度要求。有关住宿、差旅费用由承包人自理；</w:t>
      </w:r>
    </w:p>
    <w:p w14:paraId="7F54D78C">
      <w:pPr>
        <w:pStyle w:val="5"/>
        <w:ind w:left="960" w:hanging="480" w:firstLineChars="0"/>
      </w:pPr>
      <w:r>
        <w:rPr>
          <w:rFonts w:hint="eastAsia"/>
        </w:rPr>
        <w:t>3.4 承包方必须应发包人要求，参加相关的技术洽谈会，差旅及相关费用由承包人自理；</w:t>
      </w:r>
    </w:p>
    <w:p w14:paraId="5F1E69BA">
      <w:pPr>
        <w:pStyle w:val="5"/>
        <w:ind w:left="960" w:hanging="480" w:firstLineChars="0"/>
      </w:pPr>
      <w:r>
        <w:rPr>
          <w:rFonts w:hint="eastAsia"/>
        </w:rPr>
        <w:t>3.5 在项目设计过程中，承包方应派足够的专业人员与发包人及设备供应商进行设计联络会议（最少三次），在设计联络会议期间的食宿和当地的交通等所有费用自行负责；</w:t>
      </w:r>
    </w:p>
    <w:p w14:paraId="5D90601F">
      <w:pPr>
        <w:pStyle w:val="5"/>
        <w:ind w:firstLine="480"/>
      </w:pPr>
      <w:r>
        <w:rPr>
          <w:rFonts w:hint="eastAsia"/>
        </w:rPr>
        <w:t>3.6 提供图纸时需要提供相关计算书文件；</w:t>
      </w:r>
    </w:p>
    <w:p w14:paraId="5804792B">
      <w:pPr>
        <w:pStyle w:val="5"/>
        <w:ind w:left="960" w:hanging="480" w:firstLineChars="0"/>
      </w:pPr>
      <w:r>
        <w:rPr>
          <w:rFonts w:hint="eastAsia"/>
        </w:rPr>
        <w:t>3.7 承包人应按双方约定的日期按时提供所需的图纸、资料，不按时提供将承担违约责任；</w:t>
      </w:r>
    </w:p>
    <w:p w14:paraId="121FE546">
      <w:pPr>
        <w:pStyle w:val="5"/>
        <w:ind w:left="960" w:hanging="480" w:firstLineChars="0"/>
      </w:pPr>
      <w:r>
        <w:rPr>
          <w:rFonts w:hint="eastAsia"/>
        </w:rPr>
        <w:t>3.8 承包人负责向发包方及施工单位对设计文件的解释和交底，并在施工过程中提供相关技术服务。涉及影响施工进度，必须由承包人在现场才能解决问题的情况，承包方必须在24 小时内赶赴发包方施工现场。对现场的设计变更等要出具变更通知单；</w:t>
      </w:r>
    </w:p>
    <w:p w14:paraId="3E250CFB">
      <w:pPr>
        <w:pStyle w:val="5"/>
        <w:ind w:left="960" w:hanging="480" w:firstLineChars="0"/>
      </w:pPr>
      <w:r>
        <w:rPr>
          <w:rFonts w:hint="eastAsia"/>
        </w:rPr>
        <w:t>3.9 承包方所供图纸、资料出现设计错误，对发包人造成损失时，发包人有权追究承包方的责任，要求承包人赔偿损失，并由承包人负责修改设计；</w:t>
      </w:r>
    </w:p>
    <w:p w14:paraId="6E13C2C8">
      <w:pPr>
        <w:pStyle w:val="5"/>
        <w:ind w:left="1080" w:hanging="600" w:firstLineChars="0"/>
      </w:pPr>
      <w:r>
        <w:rPr>
          <w:rFonts w:hint="eastAsia"/>
        </w:rPr>
        <w:t>3.10 承包人应按国家规定和本协议约定的技术规范、标准及双方签订的备忘录进行设计。并对设计的质量及承诺进度负责，承包人对本项目提资应满足发包人项目实际进度要求。阶段性交付图纸，由承包人来人或通过邮寄到发包人所在地交付；</w:t>
      </w:r>
    </w:p>
    <w:p w14:paraId="4C190758">
      <w:pPr>
        <w:pStyle w:val="5"/>
        <w:ind w:left="1080" w:hanging="600" w:firstLineChars="0"/>
      </w:pPr>
      <w:r>
        <w:rPr>
          <w:rFonts w:hint="eastAsia"/>
        </w:rPr>
        <w:t>3.11 承包人交付设计文件后，参加有关上级或发包人审查并根据审查结论负责必要的修改完善；</w:t>
      </w:r>
    </w:p>
    <w:p w14:paraId="081AF335">
      <w:pPr>
        <w:pStyle w:val="5"/>
        <w:ind w:left="1080" w:hanging="600" w:firstLineChars="0"/>
      </w:pPr>
      <w:r>
        <w:rPr>
          <w:rFonts w:hint="eastAsia"/>
        </w:rPr>
        <w:t>3.12 根据需要，承包人需要与第三方（工艺设备生产商）签订保密协议时，承包人应无条件签订并执行；</w:t>
      </w:r>
    </w:p>
    <w:p w14:paraId="39005999">
      <w:pPr>
        <w:pStyle w:val="5"/>
        <w:ind w:left="1080" w:hanging="600" w:firstLineChars="0"/>
      </w:pPr>
      <w:r>
        <w:rPr>
          <w:rFonts w:hint="eastAsia"/>
        </w:rPr>
        <w:t>3.13 工程设计阶段对设计方案进行优化，对工程方案做预算造价评估，使工程方案造价控制在发包人所批准的项目投资概算范围内。</w:t>
      </w:r>
    </w:p>
    <w:p w14:paraId="728FDCC9">
      <w:pPr>
        <w:pStyle w:val="5"/>
        <w:ind w:firstLine="480"/>
      </w:pPr>
      <w:r>
        <w:rPr>
          <w:rFonts w:hint="eastAsia"/>
        </w:rPr>
        <w:t>3.14 设计深度</w:t>
      </w:r>
    </w:p>
    <w:p w14:paraId="59F9437A">
      <w:pPr>
        <w:pStyle w:val="23"/>
        <w:ind w:left="1560" w:hanging="840" w:firstLineChars="0"/>
        <w:rPr>
          <w:rFonts w:hint="default"/>
          <w:lang w:val="en-US"/>
        </w:rPr>
      </w:pPr>
      <w:r>
        <w:rPr>
          <w:lang w:val="en-US"/>
        </w:rPr>
        <w:t>3.14.1 施工图设计深度按照《轻工业建设项目施工图设计编制内容深度规定》（QBJS34-2005）相关规定执行；</w:t>
      </w:r>
    </w:p>
    <w:p w14:paraId="64B67FCA">
      <w:pPr>
        <w:pStyle w:val="23"/>
        <w:ind w:left="1560" w:hanging="840" w:firstLineChars="0"/>
        <w:rPr>
          <w:rFonts w:hint="default"/>
          <w:lang w:val="en-US"/>
        </w:rPr>
      </w:pPr>
      <w:r>
        <w:rPr>
          <w:lang w:val="en-US"/>
        </w:rPr>
        <w:t>3.14.2 建筑设计深度应严格按照中华人民共和国住房和城乡建设部《建筑工程设计文件编制深度规定》(2008 年版)（建质[2008]216 号）和其他行业相关规定编制，并执行现行有关设计规范、规程及工程建设标准；强制性标准。承包方承担的详细设计，深度应满足可以直接用于制造、安装和使用，而发包方不需再做任何转化工作。施工图设计时，对项目进行完整的各专业设计。引进设备部分，则执行合同规定的国际标准；</w:t>
      </w:r>
    </w:p>
    <w:p w14:paraId="6038788F">
      <w:pPr>
        <w:pStyle w:val="23"/>
        <w:ind w:left="1560" w:hanging="840" w:firstLineChars="0"/>
        <w:rPr>
          <w:rFonts w:hint="default"/>
          <w:lang w:val="en-US"/>
        </w:rPr>
      </w:pPr>
      <w:r>
        <w:rPr>
          <w:lang w:val="en-US"/>
        </w:rPr>
        <w:t>3.14.3 设计文件包含：设计文件目录、总平面布置图、竖向平面布置图、综合管线平面布置图、道路及节点详图、效果图；有关设备基础建模分析、振动分析、建筑图、结构图、工艺流程图、暖通、给排水、消防、照明、工艺设备管线布置图、管线支架图（二维平面和三维立体图）、电气、仪表、自动化设计工程、非标制造图（含槽罐、池子、塔体等制造图）、设备清单、电气清单、仪表清单及其他材料清单、与本工程有关的以上未提及的其他所必需的图纸资料。</w:t>
      </w:r>
    </w:p>
    <w:p w14:paraId="5DC82063">
      <w:pPr>
        <w:pStyle w:val="2"/>
        <w:ind w:firstLine="321" w:firstLineChars="100"/>
      </w:pPr>
      <w:bookmarkStart w:id="16" w:name="_Toc18944"/>
      <w:bookmarkStart w:id="17" w:name="_Toc25517"/>
      <w:bookmarkStart w:id="18" w:name="_Toc19593"/>
      <w:r>
        <w:rPr>
          <w:rFonts w:hint="eastAsia"/>
        </w:rPr>
        <w:t>4 设计文件交付</w:t>
      </w:r>
      <w:bookmarkEnd w:id="16"/>
      <w:bookmarkEnd w:id="17"/>
      <w:bookmarkEnd w:id="18"/>
    </w:p>
    <w:p w14:paraId="7BE2488E">
      <w:pPr>
        <w:pStyle w:val="5"/>
        <w:ind w:firstLine="480"/>
      </w:pPr>
      <w:r>
        <w:rPr>
          <w:rFonts w:hint="eastAsia"/>
        </w:rPr>
        <w:t>设计文件交付应包含（但不限于）：总平面布置图、室外管道布置图（包含室外蒸汽管）、效果图、有关设备基础建模分析、振动分析、建筑图、结构图、带控制点的工艺流程图、暖通、给排水、消防、照明、工艺管线布置图、管线支（吊）架图（二维平面和三维立体图）、电气、仪表自动化设计工程、非标制造图（含槽罐、池子、塔体等制作图）、设备清单、电气清单、仪表清单及布置接线图、系统供电及接地图、其他材料清单、本项目各专业所用到的标准图集（电子版）、与本工程有关的以上未提及的其他所必需的图纸资料。</w:t>
      </w:r>
    </w:p>
    <w:p w14:paraId="5681A1A4">
      <w:pPr>
        <w:pStyle w:val="5"/>
        <w:ind w:left="960" w:hanging="480" w:firstLineChars="0"/>
      </w:pPr>
      <w:r>
        <w:rPr>
          <w:rFonts w:hint="eastAsia"/>
        </w:rPr>
        <w:t>4.1 设计成果文本采用 Microsoft-Word 格式文件、表格采用 Microsoft-Excel格式文件，图形文件采用AutoCAD-dwg格式文件。</w:t>
      </w:r>
    </w:p>
    <w:p w14:paraId="5FD50FA8">
      <w:pPr>
        <w:pStyle w:val="5"/>
        <w:ind w:firstLine="480"/>
      </w:pPr>
      <w:r>
        <w:rPr>
          <w:rFonts w:hint="eastAsia"/>
        </w:rPr>
        <w:t>4.2 设计过程图纸提供</w:t>
      </w:r>
    </w:p>
    <w:p w14:paraId="5890971E">
      <w:pPr>
        <w:pStyle w:val="5"/>
        <w:ind w:left="720" w:firstLine="240" w:firstLineChars="100"/>
      </w:pPr>
      <w:r>
        <w:rPr>
          <w:rFonts w:hint="eastAsia"/>
        </w:rPr>
        <w:t>为保证工程设计质量和方便发包人使用、操作，满足发包人需要，根据发包人要求，承包人提供必要的设计过程图纸及相关资料，包括纸质和电子版，供发包人讨论、提出修改意见。</w:t>
      </w:r>
    </w:p>
    <w:p w14:paraId="5F9E1552">
      <w:pPr>
        <w:pStyle w:val="5"/>
        <w:ind w:firstLine="480"/>
      </w:pPr>
      <w:r>
        <w:rPr>
          <w:rFonts w:hint="eastAsia"/>
        </w:rPr>
        <w:t>4.3 设计方提供的施工图</w:t>
      </w:r>
    </w:p>
    <w:p w14:paraId="08255877">
      <w:pPr>
        <w:pStyle w:val="5"/>
        <w:ind w:left="720" w:firstLine="240" w:firstLineChars="100"/>
      </w:pPr>
      <w:r>
        <w:rPr>
          <w:rFonts w:hint="eastAsia"/>
        </w:rPr>
        <w:t xml:space="preserve">文本、图纸提供蓝图一式 12 套；可编辑电子版 </w:t>
      </w:r>
      <w:r>
        <w:t>2</w:t>
      </w:r>
      <w:r>
        <w:rPr>
          <w:rFonts w:hint="eastAsia"/>
        </w:rPr>
        <w:t>套。与本工程有关的以上未提及的其他必需的图纸资料。分批出图，以满足发包人总工程进度要求及阶段性的需要。</w:t>
      </w:r>
    </w:p>
    <w:p w14:paraId="0C33A404">
      <w:pPr>
        <w:pStyle w:val="5"/>
        <w:ind w:firstLine="480"/>
      </w:pPr>
      <w:r>
        <w:rPr>
          <w:rFonts w:hint="eastAsia"/>
        </w:rPr>
        <w:t>4.4 施工方提供竣工图</w:t>
      </w:r>
    </w:p>
    <w:p w14:paraId="41467D37">
      <w:pPr>
        <w:pStyle w:val="5"/>
        <w:ind w:firstLine="960" w:firstLineChars="400"/>
        <w:rPr>
          <w:rFonts w:asciiTheme="minorEastAsia" w:hAnsiTheme="minorEastAsia" w:eastAsiaTheme="minorEastAsia" w:cstheme="minorEastAsia"/>
        </w:rPr>
        <w:sectPr>
          <w:pgSz w:w="11904" w:h="16840"/>
          <w:pgMar w:top="1440" w:right="1417" w:bottom="1440" w:left="1417" w:header="964" w:footer="992" w:gutter="0"/>
          <w:cols w:equalWidth="0" w:num="1">
            <w:col w:w="9080"/>
          </w:cols>
          <w:docGrid w:linePitch="360" w:charSpace="0"/>
        </w:sectPr>
      </w:pPr>
      <w:r>
        <w:rPr>
          <w:rFonts w:hint="eastAsia"/>
        </w:rPr>
        <w:t>电子版</w:t>
      </w:r>
      <w:r>
        <w:t>2</w:t>
      </w:r>
      <w:r>
        <w:rPr>
          <w:rFonts w:hint="eastAsia"/>
        </w:rPr>
        <w:t xml:space="preserve"> 套，土建蓝图 4 套，安装蓝图 8 套。</w:t>
      </w:r>
    </w:p>
    <w:p w14:paraId="0A35B6B5">
      <w:pPr>
        <w:jc w:val="center"/>
        <w:rPr>
          <w:rFonts w:ascii="宋体" w:hAnsi="宋体"/>
          <w:b/>
          <w:sz w:val="52"/>
          <w:szCs w:val="52"/>
        </w:rPr>
      </w:pPr>
    </w:p>
    <w:p w14:paraId="0A393B35">
      <w:pPr>
        <w:jc w:val="center"/>
        <w:rPr>
          <w:rFonts w:ascii="宋体" w:hAnsi="宋体"/>
          <w:b/>
          <w:sz w:val="44"/>
          <w:szCs w:val="44"/>
        </w:rPr>
      </w:pPr>
      <w:r>
        <w:rPr>
          <w:rFonts w:hint="eastAsia" w:ascii="宋体" w:hAnsi="宋体"/>
          <w:b/>
          <w:sz w:val="44"/>
          <w:szCs w:val="44"/>
        </w:rPr>
        <w:t>年产50万吨食品包装原纸技改工程变更项目</w:t>
      </w:r>
    </w:p>
    <w:p w14:paraId="67EB5306">
      <w:pPr>
        <w:jc w:val="center"/>
        <w:rPr>
          <w:rFonts w:ascii="宋体" w:hAnsi="宋体"/>
          <w:b/>
          <w:sz w:val="44"/>
          <w:szCs w:val="44"/>
        </w:rPr>
      </w:pPr>
      <w:r>
        <w:rPr>
          <w:rFonts w:hint="eastAsia" w:ascii="宋体" w:hAnsi="宋体"/>
          <w:b/>
          <w:sz w:val="44"/>
          <w:szCs w:val="44"/>
        </w:rPr>
        <w:t>（年产20万吨竹浆技改项目）</w:t>
      </w:r>
    </w:p>
    <w:p w14:paraId="59D2555E">
      <w:pPr>
        <w:jc w:val="center"/>
        <w:rPr>
          <w:rFonts w:ascii="宋体" w:hAnsi="宋体"/>
          <w:b/>
          <w:sz w:val="44"/>
          <w:szCs w:val="44"/>
        </w:rPr>
      </w:pPr>
      <w:r>
        <w:rPr>
          <w:rFonts w:hint="eastAsia" w:ascii="宋体" w:hAnsi="宋体"/>
          <w:b/>
          <w:sz w:val="44"/>
          <w:szCs w:val="44"/>
        </w:rPr>
        <w:t>EPC工程总承包</w:t>
      </w:r>
    </w:p>
    <w:p w14:paraId="32AE2322">
      <w:pPr>
        <w:jc w:val="center"/>
        <w:rPr>
          <w:rFonts w:ascii="宋体" w:hAnsi="宋体"/>
          <w:b/>
          <w:sz w:val="44"/>
          <w:szCs w:val="44"/>
          <w:lang w:bidi="he-IL"/>
        </w:rPr>
      </w:pPr>
      <w:r>
        <w:rPr>
          <w:rFonts w:hint="eastAsia" w:ascii="宋体" w:hAnsi="宋体"/>
          <w:b/>
          <w:sz w:val="44"/>
          <w:szCs w:val="44"/>
          <w:lang w:bidi="he-IL"/>
        </w:rPr>
        <w:t>技术协议书</w:t>
      </w:r>
    </w:p>
    <w:p w14:paraId="6AA7E794">
      <w:pPr>
        <w:jc w:val="center"/>
        <w:rPr>
          <w:rFonts w:ascii="宋体" w:hAnsi="宋体"/>
          <w:b/>
          <w:sz w:val="44"/>
          <w:szCs w:val="44"/>
          <w:lang w:bidi="he-IL"/>
        </w:rPr>
      </w:pPr>
      <w:r>
        <w:rPr>
          <w:rFonts w:hint="eastAsia" w:ascii="宋体" w:hAnsi="宋体"/>
          <w:b/>
          <w:sz w:val="44"/>
          <w:szCs w:val="44"/>
          <w:lang w:bidi="he-IL"/>
        </w:rPr>
        <w:t>第二篇</w:t>
      </w:r>
    </w:p>
    <w:p w14:paraId="45D688CB">
      <w:pPr>
        <w:spacing w:line="480" w:lineRule="auto"/>
        <w:jc w:val="center"/>
        <w:outlineLvl w:val="0"/>
        <w:rPr>
          <w:rFonts w:ascii="Times New Roman" w:hAnsi="Times New Roman"/>
          <w:b/>
          <w:sz w:val="44"/>
          <w:szCs w:val="44"/>
        </w:rPr>
      </w:pPr>
      <w:bookmarkStart w:id="19" w:name="_Toc20527"/>
      <w:bookmarkStart w:id="20" w:name="_Toc1195"/>
      <w:bookmarkStart w:id="21" w:name="_Toc16197"/>
      <w:r>
        <w:rPr>
          <w:rFonts w:hint="eastAsia" w:ascii="宋体" w:hAnsi="宋体"/>
          <w:b/>
          <w:sz w:val="44"/>
          <w:szCs w:val="44"/>
        </w:rPr>
        <w:t>工艺</w:t>
      </w:r>
      <w:bookmarkEnd w:id="19"/>
      <w:bookmarkEnd w:id="20"/>
      <w:bookmarkEnd w:id="21"/>
    </w:p>
    <w:p w14:paraId="5741B4E6">
      <w:pPr>
        <w:spacing w:line="480" w:lineRule="auto"/>
        <w:jc w:val="center"/>
        <w:rPr>
          <w:rFonts w:ascii="Times New Roman" w:hAnsi="Times New Roman"/>
          <w:b/>
          <w:sz w:val="52"/>
          <w:szCs w:val="52"/>
        </w:rPr>
      </w:pPr>
    </w:p>
    <w:p w14:paraId="3C3E7F56">
      <w:pPr>
        <w:spacing w:line="480" w:lineRule="auto"/>
        <w:jc w:val="center"/>
        <w:rPr>
          <w:rFonts w:ascii="Times New Roman" w:hAnsi="Times New Roman"/>
          <w:b/>
          <w:sz w:val="52"/>
          <w:szCs w:val="52"/>
        </w:rPr>
      </w:pPr>
    </w:p>
    <w:p w14:paraId="1D454262">
      <w:pPr>
        <w:spacing w:line="480" w:lineRule="auto"/>
        <w:rPr>
          <w:rFonts w:ascii="Times New Roman" w:hAnsi="Times New Roman"/>
          <w:b/>
          <w:sz w:val="52"/>
          <w:szCs w:val="52"/>
        </w:rPr>
      </w:pPr>
    </w:p>
    <w:p w14:paraId="56466504">
      <w:pPr>
        <w:spacing w:line="480" w:lineRule="auto"/>
        <w:rPr>
          <w:rFonts w:ascii="Times New Roman" w:hAnsi="Times New Roman"/>
          <w:b/>
          <w:sz w:val="72"/>
          <w:szCs w:val="72"/>
        </w:rPr>
      </w:pPr>
    </w:p>
    <w:p w14:paraId="0844A31A">
      <w:pPr>
        <w:spacing w:line="500" w:lineRule="exact"/>
        <w:rPr>
          <w:rFonts w:ascii="Times New Roman" w:hAnsi="Times New Roman"/>
          <w:szCs w:val="28"/>
        </w:rPr>
      </w:pPr>
    </w:p>
    <w:p w14:paraId="36FB9224">
      <w:pPr>
        <w:spacing w:line="500" w:lineRule="exact"/>
        <w:rPr>
          <w:rFonts w:ascii="Times New Roman" w:hAnsi="Times New Roman"/>
          <w:szCs w:val="28"/>
        </w:rPr>
      </w:pPr>
    </w:p>
    <w:p w14:paraId="32369693">
      <w:pPr>
        <w:spacing w:line="500" w:lineRule="exact"/>
        <w:rPr>
          <w:rFonts w:ascii="Times New Roman" w:hAnsi="Times New Roman"/>
          <w:szCs w:val="28"/>
        </w:rPr>
      </w:pPr>
    </w:p>
    <w:p w14:paraId="3F715480">
      <w:pPr>
        <w:spacing w:line="500" w:lineRule="exact"/>
        <w:rPr>
          <w:rFonts w:ascii="Times New Roman" w:hAnsi="Times New Roman"/>
          <w:szCs w:val="28"/>
        </w:rPr>
      </w:pPr>
    </w:p>
    <w:p w14:paraId="6C8364FE">
      <w:pPr>
        <w:spacing w:line="500" w:lineRule="exact"/>
        <w:rPr>
          <w:rFonts w:ascii="Times New Roman" w:hAnsi="Times New Roman"/>
          <w:szCs w:val="28"/>
        </w:rPr>
      </w:pPr>
    </w:p>
    <w:p w14:paraId="363FC261">
      <w:pPr>
        <w:spacing w:line="500" w:lineRule="exact"/>
        <w:jc w:val="center"/>
        <w:rPr>
          <w:rFonts w:ascii="Times New Roman" w:hAnsi="Times New Roman"/>
          <w:sz w:val="32"/>
          <w:szCs w:val="32"/>
        </w:rPr>
      </w:pPr>
    </w:p>
    <w:p w14:paraId="06233473">
      <w:pPr>
        <w:spacing w:line="500" w:lineRule="exact"/>
        <w:jc w:val="center"/>
        <w:rPr>
          <w:rFonts w:ascii="Times New Roman" w:hAnsi="Times New Roman"/>
          <w:sz w:val="32"/>
          <w:szCs w:val="32"/>
        </w:rPr>
        <w:sectPr>
          <w:headerReference r:id="rId6" w:type="default"/>
          <w:pgSz w:w="11906" w:h="16838"/>
          <w:pgMar w:top="1440" w:right="1417" w:bottom="1440" w:left="1417" w:header="964" w:footer="992" w:gutter="0"/>
          <w:cols w:space="720" w:num="1"/>
          <w:docGrid w:type="lines" w:linePitch="312" w:charSpace="0"/>
        </w:sect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5年3月</w:t>
      </w:r>
    </w:p>
    <w:p w14:paraId="3669E958">
      <w:pPr>
        <w:pStyle w:val="2"/>
      </w:pPr>
      <w:bookmarkStart w:id="22" w:name="_Toc27291"/>
      <w:bookmarkStart w:id="23" w:name="_Toc12347"/>
      <w:bookmarkStart w:id="24" w:name="_Toc25846"/>
      <w:r>
        <w:rPr>
          <w:rFonts w:hint="eastAsia"/>
        </w:rPr>
        <w:t>第一节 工程概况</w:t>
      </w:r>
      <w:bookmarkEnd w:id="22"/>
      <w:bookmarkEnd w:id="23"/>
      <w:bookmarkEnd w:id="24"/>
    </w:p>
    <w:p w14:paraId="6714D854">
      <w:pPr>
        <w:pStyle w:val="3"/>
        <w:spacing w:before="156" w:after="156"/>
        <w:ind w:firstLine="281"/>
        <w:rPr>
          <w:lang w:val="en-AU"/>
        </w:rPr>
      </w:pPr>
      <w:bookmarkStart w:id="25" w:name="_Toc8024"/>
      <w:bookmarkStart w:id="26" w:name="_Toc9173"/>
      <w:bookmarkStart w:id="27" w:name="_Toc11950"/>
      <w:r>
        <w:rPr>
          <w:rFonts w:hint="eastAsia"/>
        </w:rPr>
        <w:t>1、工程简介</w:t>
      </w:r>
      <w:bookmarkEnd w:id="25"/>
      <w:bookmarkEnd w:id="26"/>
      <w:bookmarkEnd w:id="27"/>
    </w:p>
    <w:p w14:paraId="67ADBB6D">
      <w:pPr>
        <w:pStyle w:val="5"/>
        <w:ind w:firstLine="480"/>
      </w:pPr>
      <w:r>
        <w:rPr>
          <w:rFonts w:hint="eastAsia"/>
        </w:rPr>
        <w:t>福建省青山纸业股份有限公司年产50万吨食品包装原纸技改工程变更项目</w:t>
      </w:r>
      <w:r>
        <w:t>（</w:t>
      </w:r>
      <w:r>
        <w:rPr>
          <w:rFonts w:hint="eastAsia"/>
        </w:rPr>
        <w:t>年产20万吨</w:t>
      </w:r>
      <w:r>
        <w:t>竹浆技改项目）</w:t>
      </w:r>
      <w:r>
        <w:rPr>
          <w:rFonts w:hint="eastAsia"/>
        </w:rPr>
        <w:t>EPC工程总承包主要内容：建设一条年产能不低于20万吨的备料、制浆生产线。</w:t>
      </w:r>
    </w:p>
    <w:p w14:paraId="6A9A838F">
      <w:pPr>
        <w:pStyle w:val="5"/>
        <w:ind w:firstLine="480"/>
      </w:pPr>
      <w:r>
        <w:rPr>
          <w:rFonts w:hint="eastAsia"/>
        </w:rPr>
        <w:t>该生产线采用硫酸盐法置换间歇蒸煮。同时蒸煮竹片（南方毛竹）、针叶木片，蒸煮粗浆卡伯值18-28。</w:t>
      </w:r>
    </w:p>
    <w:p w14:paraId="62356338">
      <w:pPr>
        <w:pStyle w:val="3"/>
        <w:spacing w:before="156" w:after="156"/>
        <w:ind w:firstLine="281"/>
      </w:pPr>
      <w:bookmarkStart w:id="28" w:name="_Toc20191"/>
      <w:bookmarkStart w:id="29" w:name="_Toc31233"/>
      <w:bookmarkStart w:id="30" w:name="_Toc20372"/>
      <w:r>
        <w:t>2</w:t>
      </w:r>
      <w:r>
        <w:rPr>
          <w:rFonts w:hint="eastAsia"/>
        </w:rPr>
        <w:t>、</w:t>
      </w:r>
      <w:r>
        <w:t>工厂位置</w:t>
      </w:r>
      <w:bookmarkEnd w:id="28"/>
      <w:bookmarkEnd w:id="29"/>
      <w:bookmarkEnd w:id="30"/>
    </w:p>
    <w:p w14:paraId="76956B1B">
      <w:pPr>
        <w:pStyle w:val="5"/>
        <w:ind w:firstLine="480"/>
      </w:pPr>
      <w:r>
        <w:t>拟建的浆厂位于福建省</w:t>
      </w:r>
      <w:r>
        <w:rPr>
          <w:rFonts w:hint="eastAsia"/>
        </w:rPr>
        <w:t>三明市</w:t>
      </w:r>
      <w:r>
        <w:t>沙县</w:t>
      </w:r>
      <w:r>
        <w:rPr>
          <w:rFonts w:hint="eastAsia"/>
        </w:rPr>
        <w:t>区青山纸业股份有限公司厂区内</w:t>
      </w:r>
      <w:r>
        <w:t>。</w:t>
      </w:r>
    </w:p>
    <w:p w14:paraId="5F68A2D1">
      <w:pPr>
        <w:pStyle w:val="3"/>
        <w:spacing w:before="156" w:after="156"/>
        <w:ind w:firstLine="281"/>
      </w:pPr>
      <w:bookmarkStart w:id="31" w:name="_Toc30138"/>
      <w:bookmarkStart w:id="32" w:name="_Toc26632"/>
      <w:bookmarkStart w:id="33" w:name="_Toc15456"/>
      <w:r>
        <w:t>3</w:t>
      </w:r>
      <w:r>
        <w:rPr>
          <w:rFonts w:hint="eastAsia"/>
        </w:rPr>
        <w:t>、</w:t>
      </w:r>
      <w:r>
        <w:t>气象条件</w:t>
      </w:r>
      <w:bookmarkEnd w:id="31"/>
      <w:bookmarkEnd w:id="32"/>
      <w:bookmarkEnd w:id="33"/>
    </w:p>
    <w:p w14:paraId="2945C840">
      <w:pPr>
        <w:pStyle w:val="5"/>
        <w:ind w:firstLine="480"/>
      </w:pPr>
      <w:r>
        <w:t>厂址所在地区气候属亚热带季风气侯，四季分明，春秋平分，冬长夏短，干湿明显</w:t>
      </w:r>
      <w:r>
        <w:rPr>
          <w:rFonts w:hint="eastAsia"/>
        </w:rPr>
        <w:t>，</w:t>
      </w:r>
      <w:r>
        <w:t>无霜期长；空气湿润，降水丰沛；太阳辐射弱，日照时间短；多云雾，少霜雪；光温水同季，立体气候显着，气候资源丰富，气象灾难频繁。其他气象特征统计如下：</w:t>
      </w:r>
    </w:p>
    <w:p w14:paraId="70546F2A">
      <w:pPr>
        <w:pStyle w:val="5"/>
        <w:ind w:firstLine="480"/>
      </w:pPr>
      <w:r>
        <w:t>年平均降雨量</w:t>
      </w:r>
      <w:r>
        <w:tab/>
      </w:r>
      <w:r>
        <w:t xml:space="preserve">                    </w:t>
      </w:r>
      <w:r>
        <w:rPr>
          <w:rFonts w:hint="eastAsia"/>
        </w:rPr>
        <w:t xml:space="preserve">   </w:t>
      </w:r>
      <w:r>
        <w:t xml:space="preserve"> 1510～1840mm</w:t>
      </w:r>
    </w:p>
    <w:p w14:paraId="54BDF865">
      <w:pPr>
        <w:pStyle w:val="5"/>
        <w:ind w:firstLine="480"/>
      </w:pPr>
      <w:r>
        <w:t xml:space="preserve">平均气温（年）                 </w:t>
      </w:r>
      <w:r>
        <w:tab/>
      </w:r>
      <w:r>
        <w:t xml:space="preserve">   15.6-19.6℃</w:t>
      </w:r>
    </w:p>
    <w:p w14:paraId="50AAC142">
      <w:pPr>
        <w:pStyle w:val="5"/>
        <w:ind w:firstLine="480"/>
      </w:pPr>
      <w:r>
        <w:t>极端最高气温（</w:t>
      </w:r>
      <w:r>
        <w:rPr>
          <w:rFonts w:hint="eastAsia"/>
        </w:rPr>
        <w:t>日</w:t>
      </w:r>
      <w:r>
        <w:t xml:space="preserve">）            </w:t>
      </w:r>
      <w:r>
        <w:tab/>
      </w:r>
      <w:r>
        <w:t xml:space="preserve">  </w:t>
      </w:r>
      <w:r>
        <w:rPr>
          <w:rFonts w:hint="eastAsia"/>
        </w:rPr>
        <w:t xml:space="preserve">    </w:t>
      </w:r>
      <w:r>
        <w:t xml:space="preserve"> </w:t>
      </w:r>
      <w:r>
        <w:rPr>
          <w:rFonts w:hint="eastAsia"/>
        </w:rPr>
        <w:t>40</w:t>
      </w:r>
      <w:r>
        <w:t>℃</w:t>
      </w:r>
    </w:p>
    <w:p w14:paraId="0EA84D85">
      <w:pPr>
        <w:pStyle w:val="5"/>
        <w:ind w:firstLine="480"/>
      </w:pPr>
      <w:r>
        <w:t>极端最低气温（</w:t>
      </w:r>
      <w:r>
        <w:rPr>
          <w:rFonts w:hint="eastAsia"/>
        </w:rPr>
        <w:t>日</w:t>
      </w:r>
      <w:r>
        <w:t xml:space="preserve">）                </w:t>
      </w:r>
      <w:r>
        <w:rPr>
          <w:rFonts w:hint="eastAsia"/>
        </w:rPr>
        <w:t xml:space="preserve">  </w:t>
      </w:r>
      <w:r>
        <w:t xml:space="preserve">  </w:t>
      </w:r>
      <w:r>
        <w:rPr>
          <w:rFonts w:hint="eastAsia"/>
        </w:rPr>
        <w:t>-</w:t>
      </w:r>
      <w:r>
        <w:t>10℃</w:t>
      </w:r>
    </w:p>
    <w:p w14:paraId="28482593">
      <w:pPr>
        <w:pStyle w:val="5"/>
        <w:ind w:firstLine="480"/>
      </w:pPr>
      <w:r>
        <w:t xml:space="preserve">年平均相对湿度（月）           </w:t>
      </w:r>
      <w:r>
        <w:tab/>
      </w:r>
      <w:r>
        <w:t xml:space="preserve">   70-80%</w:t>
      </w:r>
    </w:p>
    <w:p w14:paraId="219A11F1">
      <w:pPr>
        <w:pStyle w:val="5"/>
        <w:ind w:firstLine="480"/>
      </w:pPr>
      <w:r>
        <w:t xml:space="preserve">年平均蒸发量                      </w:t>
      </w:r>
      <w:r>
        <w:rPr>
          <w:rFonts w:hint="eastAsia"/>
        </w:rPr>
        <w:t xml:space="preserve">  </w:t>
      </w:r>
      <w:r>
        <w:t xml:space="preserve">  1379.2mm</w:t>
      </w:r>
    </w:p>
    <w:p w14:paraId="128E3CC7">
      <w:pPr>
        <w:pStyle w:val="5"/>
        <w:ind w:firstLine="480"/>
      </w:pPr>
      <w:r>
        <w:t xml:space="preserve">平均无霜期                       </w:t>
      </w:r>
      <w:r>
        <w:rPr>
          <w:rFonts w:hint="eastAsia"/>
        </w:rPr>
        <w:t xml:space="preserve">  </w:t>
      </w:r>
      <w:r>
        <w:t xml:space="preserve">   268天</w:t>
      </w:r>
    </w:p>
    <w:p w14:paraId="53B3588D">
      <w:pPr>
        <w:pStyle w:val="5"/>
        <w:ind w:firstLine="480"/>
      </w:pPr>
      <w:r>
        <w:t xml:space="preserve">平均日照数                       </w:t>
      </w:r>
      <w:r>
        <w:rPr>
          <w:rFonts w:hint="eastAsia"/>
        </w:rPr>
        <w:t xml:space="preserve"> </w:t>
      </w:r>
      <w:r>
        <w:t xml:space="preserve">  </w:t>
      </w:r>
      <w:r>
        <w:rPr>
          <w:rFonts w:hint="eastAsia"/>
        </w:rPr>
        <w:t xml:space="preserve"> </w:t>
      </w:r>
      <w:r>
        <w:t xml:space="preserve"> 1207.9小时</w:t>
      </w:r>
    </w:p>
    <w:p w14:paraId="780053ED">
      <w:pPr>
        <w:pStyle w:val="5"/>
        <w:ind w:firstLine="480"/>
      </w:pPr>
      <w:r>
        <w:t xml:space="preserve">平均气压                          </w:t>
      </w:r>
      <w:r>
        <w:rPr>
          <w:rFonts w:hint="eastAsia"/>
        </w:rPr>
        <w:t xml:space="preserve">  </w:t>
      </w:r>
      <w:r>
        <w:t xml:space="preserve">  929.3mba</w:t>
      </w:r>
      <w:r>
        <w:rPr>
          <w:rFonts w:hint="eastAsia"/>
        </w:rPr>
        <w:t>r</w:t>
      </w:r>
    </w:p>
    <w:p w14:paraId="293257F4">
      <w:pPr>
        <w:pStyle w:val="5"/>
        <w:ind w:firstLine="480"/>
      </w:pPr>
      <w:r>
        <w:t>年主导风向</w:t>
      </w:r>
      <w:r>
        <w:tab/>
      </w:r>
      <w:r>
        <w:t xml:space="preserve">                    </w:t>
      </w:r>
      <w:r>
        <w:rPr>
          <w:rFonts w:hint="eastAsia"/>
        </w:rPr>
        <w:t xml:space="preserve"> </w:t>
      </w:r>
      <w:r>
        <w:t xml:space="preserve">   东南风及东北风</w:t>
      </w:r>
    </w:p>
    <w:p w14:paraId="0FC8A448">
      <w:pPr>
        <w:pStyle w:val="5"/>
        <w:ind w:firstLine="480"/>
      </w:pPr>
      <w:r>
        <w:t xml:space="preserve">年平均风速                        </w:t>
      </w:r>
      <w:r>
        <w:rPr>
          <w:rFonts w:hint="eastAsia"/>
        </w:rPr>
        <w:t xml:space="preserve">  </w:t>
      </w:r>
      <w:r>
        <w:t xml:space="preserve">  1.7m/s</w:t>
      </w:r>
    </w:p>
    <w:p w14:paraId="61E2E243">
      <w:pPr>
        <w:pStyle w:val="5"/>
        <w:ind w:firstLine="480"/>
      </w:pPr>
      <w:r>
        <w:t xml:space="preserve">瞬时最大风速                     </w:t>
      </w:r>
      <w:r>
        <w:rPr>
          <w:rFonts w:hint="eastAsia"/>
        </w:rPr>
        <w:t xml:space="preserve">  </w:t>
      </w:r>
      <w:r>
        <w:t xml:space="preserve">   17m/s</w:t>
      </w:r>
    </w:p>
    <w:p w14:paraId="608F267D">
      <w:pPr>
        <w:pStyle w:val="3"/>
        <w:spacing w:before="156" w:after="156"/>
        <w:ind w:firstLine="281"/>
      </w:pPr>
      <w:bookmarkStart w:id="34" w:name="_Toc17618"/>
      <w:bookmarkStart w:id="35" w:name="_Toc23252"/>
      <w:bookmarkStart w:id="36" w:name="_Toc4516"/>
      <w:r>
        <w:t>4</w:t>
      </w:r>
      <w:r>
        <w:rPr>
          <w:rFonts w:hint="eastAsia"/>
        </w:rPr>
        <w:t>、</w:t>
      </w:r>
      <w:r>
        <w:t>地震基本烈度</w:t>
      </w:r>
      <w:bookmarkEnd w:id="34"/>
      <w:bookmarkEnd w:id="35"/>
      <w:bookmarkEnd w:id="36"/>
    </w:p>
    <w:p w14:paraId="095DABDF">
      <w:pPr>
        <w:pStyle w:val="5"/>
        <w:ind w:firstLine="480"/>
      </w:pPr>
      <w:r>
        <w:t>厂区基本烈度按6度考虑。</w:t>
      </w:r>
    </w:p>
    <w:p w14:paraId="0054B2F2">
      <w:pPr>
        <w:pStyle w:val="3"/>
        <w:spacing w:before="156" w:after="156"/>
        <w:ind w:firstLine="281"/>
      </w:pPr>
      <w:bookmarkStart w:id="37" w:name="_Toc29219"/>
      <w:bookmarkStart w:id="38" w:name="_Toc16069"/>
      <w:bookmarkStart w:id="39" w:name="_Toc12460"/>
      <w:r>
        <w:t xml:space="preserve">5 </w:t>
      </w:r>
      <w:r>
        <w:rPr>
          <w:rFonts w:hint="eastAsia"/>
        </w:rPr>
        <w:t>、</w:t>
      </w:r>
      <w:r>
        <w:t>公用工程条件</w:t>
      </w:r>
      <w:bookmarkEnd w:id="37"/>
      <w:bookmarkEnd w:id="38"/>
      <w:bookmarkEnd w:id="39"/>
    </w:p>
    <w:p w14:paraId="75E2E1F4">
      <w:pPr>
        <w:pStyle w:val="5"/>
        <w:ind w:firstLine="480"/>
      </w:pPr>
      <w:r>
        <w:t>5.1</w:t>
      </w:r>
      <w:r>
        <w:rPr>
          <w:rFonts w:hint="eastAsia"/>
        </w:rPr>
        <w:t>、</w:t>
      </w:r>
      <w:r>
        <w:t>供电</w:t>
      </w:r>
    </w:p>
    <w:p w14:paraId="7DB1E2EB">
      <w:pPr>
        <w:pStyle w:val="5"/>
        <w:ind w:firstLine="720" w:firstLineChars="300"/>
      </w:pPr>
      <w:r>
        <w:t>厂内供电额定电压：</w:t>
      </w:r>
      <w:r>
        <w:rPr>
          <w:rFonts w:hint="eastAsia"/>
        </w:rPr>
        <w:t>6kV</w:t>
      </w:r>
      <w:r>
        <w:t>, 50HZ（三相交流）；</w:t>
      </w:r>
    </w:p>
    <w:p w14:paraId="4D531694">
      <w:pPr>
        <w:pStyle w:val="5"/>
        <w:ind w:firstLine="720" w:firstLineChars="300"/>
      </w:pPr>
      <w:r>
        <w:rPr>
          <w:rFonts w:hint="eastAsia"/>
        </w:rPr>
        <w:t>6</w:t>
      </w:r>
      <w:r>
        <w:t>90</w:t>
      </w:r>
      <w:r>
        <w:rPr>
          <w:rFonts w:hint="eastAsia"/>
        </w:rPr>
        <w:t>V</w:t>
      </w:r>
      <w:r>
        <w:t>, 50HZ（三相交流）；</w:t>
      </w:r>
    </w:p>
    <w:p w14:paraId="1BF4B6A9">
      <w:pPr>
        <w:pStyle w:val="5"/>
        <w:ind w:firstLine="720" w:firstLineChars="300"/>
      </w:pPr>
      <w:r>
        <w:t>380V, 50HZ（三相交流）；</w:t>
      </w:r>
    </w:p>
    <w:p w14:paraId="13041E4A">
      <w:pPr>
        <w:pStyle w:val="5"/>
        <w:ind w:firstLine="720" w:firstLineChars="300"/>
      </w:pPr>
      <w:r>
        <w:t>220V, 50HZ（单相交流）</w:t>
      </w:r>
    </w:p>
    <w:p w14:paraId="0E875CC7">
      <w:pPr>
        <w:pStyle w:val="5"/>
        <w:ind w:firstLine="480"/>
      </w:pPr>
      <w:r>
        <w:t>5.2</w:t>
      </w:r>
      <w:r>
        <w:rPr>
          <w:rFonts w:hint="eastAsia"/>
        </w:rPr>
        <w:t>、</w:t>
      </w:r>
      <w:r>
        <w:t>工艺用压缩空气</w:t>
      </w:r>
    </w:p>
    <w:tbl>
      <w:tblPr>
        <w:tblStyle w:val="18"/>
        <w:tblW w:w="4784"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84"/>
      </w:tblGrid>
      <w:tr w14:paraId="47D9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784" w:type="dxa"/>
          </w:tcPr>
          <w:p w14:paraId="76E77E34">
            <w:pPr>
              <w:ind w:left="560" w:leftChars="200"/>
              <w:rPr>
                <w:rFonts w:ascii="宋体" w:hAnsi="宋体" w:cs="宋体"/>
                <w:kern w:val="0"/>
                <w:sz w:val="24"/>
                <w:szCs w:val="18"/>
              </w:rPr>
            </w:pPr>
            <w:r>
              <w:rPr>
                <w:rFonts w:hint="eastAsia" w:ascii="宋体" w:hAnsi="宋体" w:cs="宋体"/>
                <w:kern w:val="0"/>
                <w:sz w:val="24"/>
                <w:szCs w:val="18"/>
              </w:rPr>
              <w:t>0.55MPa、20Nm</w:t>
            </w:r>
            <w:r>
              <w:rPr>
                <w:rFonts w:hint="eastAsia" w:ascii="宋体" w:hAnsi="宋体" w:cs="宋体"/>
                <w:kern w:val="0"/>
                <w:sz w:val="24"/>
                <w:szCs w:val="18"/>
                <w:vertAlign w:val="superscript"/>
              </w:rPr>
              <w:t>3</w:t>
            </w:r>
            <w:r>
              <w:rPr>
                <w:rFonts w:hint="eastAsia" w:ascii="宋体" w:hAnsi="宋体" w:cs="宋体"/>
                <w:kern w:val="0"/>
                <w:sz w:val="24"/>
                <w:szCs w:val="18"/>
              </w:rPr>
              <w:t>/min</w:t>
            </w:r>
          </w:p>
        </w:tc>
      </w:tr>
    </w:tbl>
    <w:p w14:paraId="7EA792EA">
      <w:pPr>
        <w:pStyle w:val="5"/>
        <w:ind w:firstLine="480"/>
      </w:pPr>
      <w:r>
        <w:t>5.3</w:t>
      </w:r>
      <w:r>
        <w:rPr>
          <w:rFonts w:hint="eastAsia"/>
        </w:rPr>
        <w:t>、</w:t>
      </w:r>
      <w:r>
        <w:t>仪表用压缩空气</w:t>
      </w:r>
    </w:p>
    <w:tbl>
      <w:tblPr>
        <w:tblStyle w:val="18"/>
        <w:tblW w:w="9568"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84"/>
        <w:gridCol w:w="4784"/>
      </w:tblGrid>
      <w:tr w14:paraId="704B3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784" w:type="dxa"/>
          </w:tcPr>
          <w:p w14:paraId="092C49E5">
            <w:pPr>
              <w:ind w:left="560" w:leftChars="200"/>
              <w:rPr>
                <w:rFonts w:ascii="宋体" w:hAnsi="宋体" w:cs="宋体"/>
                <w:kern w:val="0"/>
                <w:sz w:val="24"/>
                <w:szCs w:val="18"/>
              </w:rPr>
            </w:pPr>
            <w:r>
              <w:rPr>
                <w:rFonts w:hint="eastAsia" w:ascii="宋体" w:hAnsi="宋体" w:cs="宋体"/>
                <w:kern w:val="0"/>
                <w:sz w:val="24"/>
                <w:szCs w:val="18"/>
              </w:rPr>
              <w:t>供气压力</w:t>
            </w:r>
          </w:p>
        </w:tc>
        <w:tc>
          <w:tcPr>
            <w:tcW w:w="4784" w:type="dxa"/>
          </w:tcPr>
          <w:p w14:paraId="07D458FC">
            <w:pPr>
              <w:ind w:firstLine="360" w:firstLineChars="150"/>
              <w:rPr>
                <w:rFonts w:ascii="宋体" w:hAnsi="宋体" w:cs="宋体"/>
                <w:kern w:val="0"/>
                <w:sz w:val="24"/>
                <w:szCs w:val="18"/>
              </w:rPr>
            </w:pPr>
            <w:r>
              <w:rPr>
                <w:rFonts w:hint="eastAsia" w:ascii="宋体" w:hAnsi="宋体" w:cs="宋体"/>
                <w:kern w:val="0"/>
                <w:sz w:val="24"/>
                <w:szCs w:val="18"/>
              </w:rPr>
              <w:t>0.55MPa、80-100Nm</w:t>
            </w:r>
            <w:r>
              <w:rPr>
                <w:rFonts w:hint="eastAsia" w:ascii="宋体" w:hAnsi="宋体" w:cs="宋体"/>
                <w:kern w:val="0"/>
                <w:sz w:val="24"/>
                <w:szCs w:val="18"/>
                <w:vertAlign w:val="superscript"/>
              </w:rPr>
              <w:t>3</w:t>
            </w:r>
            <w:r>
              <w:rPr>
                <w:rFonts w:hint="eastAsia" w:ascii="宋体" w:hAnsi="宋体" w:cs="宋体"/>
                <w:kern w:val="0"/>
                <w:sz w:val="24"/>
                <w:szCs w:val="18"/>
              </w:rPr>
              <w:t>/min</w:t>
            </w:r>
          </w:p>
        </w:tc>
      </w:tr>
      <w:tr w14:paraId="3F43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784" w:type="dxa"/>
          </w:tcPr>
          <w:p w14:paraId="3BEF849B">
            <w:pPr>
              <w:ind w:left="560" w:leftChars="200"/>
              <w:rPr>
                <w:rFonts w:ascii="宋体" w:hAnsi="宋体" w:cs="宋体"/>
                <w:kern w:val="0"/>
                <w:sz w:val="24"/>
                <w:szCs w:val="18"/>
              </w:rPr>
            </w:pPr>
            <w:r>
              <w:rPr>
                <w:rFonts w:hint="eastAsia" w:ascii="宋体" w:hAnsi="宋体" w:cs="宋体"/>
                <w:kern w:val="0"/>
                <w:sz w:val="24"/>
                <w:szCs w:val="18"/>
              </w:rPr>
              <w:t>干燥空气露点</w:t>
            </w:r>
          </w:p>
        </w:tc>
        <w:tc>
          <w:tcPr>
            <w:tcW w:w="4784" w:type="dxa"/>
          </w:tcPr>
          <w:p w14:paraId="0128A526">
            <w:pPr>
              <w:ind w:firstLine="360" w:firstLineChars="150"/>
              <w:rPr>
                <w:rFonts w:ascii="宋体" w:hAnsi="宋体" w:cs="宋体"/>
                <w:kern w:val="0"/>
                <w:sz w:val="24"/>
                <w:szCs w:val="18"/>
              </w:rPr>
            </w:pPr>
            <w:r>
              <w:rPr>
                <w:rFonts w:hint="eastAsia" w:ascii="宋体" w:hAnsi="宋体" w:cs="宋体"/>
                <w:kern w:val="0"/>
                <w:sz w:val="24"/>
                <w:szCs w:val="18"/>
              </w:rPr>
              <w:t>2-10℃</w:t>
            </w:r>
          </w:p>
        </w:tc>
      </w:tr>
      <w:tr w14:paraId="7F39E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9" w:hRule="atLeast"/>
        </w:trPr>
        <w:tc>
          <w:tcPr>
            <w:tcW w:w="4784" w:type="dxa"/>
          </w:tcPr>
          <w:p w14:paraId="066E7EB3">
            <w:pPr>
              <w:ind w:left="560" w:leftChars="200"/>
              <w:rPr>
                <w:rFonts w:ascii="宋体" w:hAnsi="宋体" w:cs="宋体"/>
                <w:kern w:val="0"/>
                <w:sz w:val="24"/>
                <w:szCs w:val="18"/>
              </w:rPr>
            </w:pPr>
            <w:r>
              <w:rPr>
                <w:rFonts w:hint="eastAsia" w:ascii="宋体" w:hAnsi="宋体" w:cs="宋体"/>
                <w:kern w:val="0"/>
                <w:sz w:val="24"/>
                <w:szCs w:val="18"/>
              </w:rPr>
              <w:t>含油量</w:t>
            </w:r>
          </w:p>
        </w:tc>
        <w:tc>
          <w:tcPr>
            <w:tcW w:w="4784" w:type="dxa"/>
          </w:tcPr>
          <w:p w14:paraId="7A063778">
            <w:pPr>
              <w:ind w:firstLine="360" w:firstLineChars="150"/>
              <w:rPr>
                <w:rFonts w:ascii="宋体" w:hAnsi="宋体" w:cs="宋体"/>
                <w:kern w:val="0"/>
                <w:sz w:val="24"/>
                <w:szCs w:val="18"/>
              </w:rPr>
            </w:pPr>
            <w:r>
              <w:rPr>
                <w:rFonts w:hint="eastAsia" w:ascii="宋体" w:hAnsi="宋体" w:cs="宋体"/>
                <w:kern w:val="0"/>
                <w:sz w:val="24"/>
                <w:szCs w:val="18"/>
              </w:rPr>
              <w:t>≤1mg/m</w:t>
            </w:r>
            <w:r>
              <w:rPr>
                <w:rFonts w:hint="eastAsia" w:ascii="宋体" w:hAnsi="宋体" w:cs="宋体"/>
                <w:kern w:val="0"/>
                <w:sz w:val="24"/>
                <w:szCs w:val="18"/>
                <w:vertAlign w:val="superscript"/>
              </w:rPr>
              <w:t>3</w:t>
            </w:r>
          </w:p>
        </w:tc>
      </w:tr>
      <w:tr w14:paraId="00BE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784" w:type="dxa"/>
          </w:tcPr>
          <w:p w14:paraId="03E42BA3">
            <w:pPr>
              <w:ind w:left="560" w:leftChars="200"/>
              <w:rPr>
                <w:rFonts w:ascii="宋体" w:hAnsi="宋体" w:cs="宋体"/>
                <w:kern w:val="0"/>
                <w:sz w:val="24"/>
                <w:szCs w:val="18"/>
              </w:rPr>
            </w:pPr>
            <w:r>
              <w:rPr>
                <w:rFonts w:hint="eastAsia" w:ascii="宋体" w:hAnsi="宋体" w:cs="宋体"/>
                <w:kern w:val="0"/>
                <w:sz w:val="24"/>
                <w:szCs w:val="18"/>
              </w:rPr>
              <w:t>含尘数量粒径＜1μm</w:t>
            </w:r>
          </w:p>
        </w:tc>
        <w:tc>
          <w:tcPr>
            <w:tcW w:w="4784" w:type="dxa"/>
          </w:tcPr>
          <w:p w14:paraId="15C04338">
            <w:pPr>
              <w:ind w:firstLine="360" w:firstLineChars="150"/>
              <w:rPr>
                <w:rFonts w:ascii="宋体" w:hAnsi="宋体" w:cs="宋体"/>
                <w:kern w:val="0"/>
                <w:sz w:val="24"/>
                <w:szCs w:val="18"/>
              </w:rPr>
            </w:pPr>
            <w:r>
              <w:rPr>
                <w:rFonts w:hint="eastAsia" w:ascii="宋体" w:hAnsi="宋体" w:cs="宋体"/>
                <w:kern w:val="0"/>
                <w:sz w:val="24"/>
                <w:szCs w:val="18"/>
              </w:rPr>
              <w:t>≯ 20粒/L</w:t>
            </w:r>
          </w:p>
        </w:tc>
      </w:tr>
    </w:tbl>
    <w:p w14:paraId="2D7ABDB5">
      <w:pPr>
        <w:pStyle w:val="5"/>
        <w:ind w:firstLine="480"/>
      </w:pPr>
      <w:r>
        <w:t>5.4</w:t>
      </w:r>
      <w:r>
        <w:rPr>
          <w:rFonts w:hint="eastAsia"/>
        </w:rPr>
        <w:t>、</w:t>
      </w:r>
      <w:r>
        <w:t>全厂用蒸汽</w:t>
      </w:r>
    </w:p>
    <w:tbl>
      <w:tblPr>
        <w:tblStyle w:val="18"/>
        <w:tblW w:w="9568"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87"/>
        <w:gridCol w:w="2413"/>
        <w:gridCol w:w="2368"/>
      </w:tblGrid>
      <w:tr w14:paraId="6C27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87" w:type="dxa"/>
          </w:tcPr>
          <w:p w14:paraId="4E4297BC">
            <w:pPr>
              <w:ind w:left="560" w:leftChars="200"/>
              <w:rPr>
                <w:rFonts w:ascii="宋体" w:hAnsi="宋体" w:cs="宋体"/>
                <w:kern w:val="0"/>
                <w:sz w:val="24"/>
                <w:szCs w:val="18"/>
              </w:rPr>
            </w:pPr>
            <w:r>
              <w:rPr>
                <w:rFonts w:hint="eastAsia" w:ascii="宋体" w:hAnsi="宋体" w:cs="宋体"/>
                <w:kern w:val="0"/>
                <w:sz w:val="24"/>
                <w:szCs w:val="18"/>
              </w:rPr>
              <w:t>蒸汽压力</w:t>
            </w:r>
          </w:p>
        </w:tc>
        <w:tc>
          <w:tcPr>
            <w:tcW w:w="2413" w:type="dxa"/>
          </w:tcPr>
          <w:p w14:paraId="51435FE5">
            <w:pPr>
              <w:rPr>
                <w:rFonts w:ascii="宋体" w:hAnsi="宋体" w:cs="宋体"/>
                <w:kern w:val="0"/>
                <w:sz w:val="24"/>
                <w:szCs w:val="18"/>
              </w:rPr>
            </w:pPr>
            <w:r>
              <w:rPr>
                <w:rFonts w:hint="eastAsia" w:ascii="宋体" w:hAnsi="宋体" w:cs="宋体"/>
                <w:kern w:val="0"/>
                <w:sz w:val="24"/>
                <w:szCs w:val="18"/>
              </w:rPr>
              <w:t>0.4-0.5MPa</w:t>
            </w:r>
          </w:p>
        </w:tc>
        <w:tc>
          <w:tcPr>
            <w:tcW w:w="2368" w:type="dxa"/>
          </w:tcPr>
          <w:p w14:paraId="7B4B10B5">
            <w:pPr>
              <w:rPr>
                <w:rFonts w:ascii="宋体" w:hAnsi="宋体" w:cs="宋体"/>
                <w:kern w:val="0"/>
                <w:sz w:val="24"/>
                <w:szCs w:val="18"/>
              </w:rPr>
            </w:pPr>
            <w:r>
              <w:rPr>
                <w:rFonts w:hint="eastAsia" w:ascii="宋体" w:hAnsi="宋体" w:cs="宋体"/>
                <w:kern w:val="0"/>
                <w:sz w:val="24"/>
                <w:szCs w:val="18"/>
              </w:rPr>
              <w:t>0.85-0.92MPa</w:t>
            </w:r>
          </w:p>
        </w:tc>
      </w:tr>
      <w:tr w14:paraId="7AB9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4787" w:type="dxa"/>
          </w:tcPr>
          <w:p w14:paraId="6F06FA1D">
            <w:pPr>
              <w:ind w:left="560" w:leftChars="200"/>
              <w:rPr>
                <w:rFonts w:ascii="宋体" w:hAnsi="宋体" w:cs="宋体"/>
                <w:kern w:val="0"/>
                <w:sz w:val="24"/>
                <w:szCs w:val="18"/>
              </w:rPr>
            </w:pPr>
            <w:r>
              <w:rPr>
                <w:rFonts w:hint="eastAsia" w:ascii="宋体" w:hAnsi="宋体" w:cs="宋体"/>
                <w:kern w:val="0"/>
                <w:sz w:val="24"/>
                <w:szCs w:val="18"/>
              </w:rPr>
              <w:t>蒸汽温度</w:t>
            </w:r>
          </w:p>
        </w:tc>
        <w:tc>
          <w:tcPr>
            <w:tcW w:w="2413" w:type="dxa"/>
          </w:tcPr>
          <w:p w14:paraId="15ECC139">
            <w:pPr>
              <w:rPr>
                <w:rFonts w:ascii="宋体" w:hAnsi="宋体" w:cs="宋体"/>
                <w:kern w:val="0"/>
                <w:sz w:val="24"/>
                <w:szCs w:val="18"/>
              </w:rPr>
            </w:pPr>
            <w:r>
              <w:rPr>
                <w:rFonts w:hint="eastAsia" w:ascii="宋体" w:hAnsi="宋体" w:cs="宋体"/>
                <w:kern w:val="0"/>
                <w:sz w:val="24"/>
                <w:szCs w:val="18"/>
              </w:rPr>
              <w:t>145±5℃</w:t>
            </w:r>
          </w:p>
        </w:tc>
        <w:tc>
          <w:tcPr>
            <w:tcW w:w="2368" w:type="dxa"/>
          </w:tcPr>
          <w:p w14:paraId="3A69C712">
            <w:pPr>
              <w:rPr>
                <w:rFonts w:ascii="宋体" w:hAnsi="宋体" w:cs="宋体"/>
                <w:kern w:val="0"/>
                <w:sz w:val="24"/>
                <w:szCs w:val="18"/>
              </w:rPr>
            </w:pPr>
            <w:r>
              <w:rPr>
                <w:rFonts w:hint="eastAsia" w:ascii="宋体" w:hAnsi="宋体" w:cs="宋体"/>
                <w:kern w:val="0"/>
                <w:sz w:val="24"/>
                <w:szCs w:val="18"/>
              </w:rPr>
              <w:t>185±5℃</w:t>
            </w:r>
          </w:p>
        </w:tc>
      </w:tr>
    </w:tbl>
    <w:p w14:paraId="339FE583">
      <w:pPr>
        <w:pStyle w:val="5"/>
        <w:ind w:firstLine="480"/>
      </w:pPr>
      <w:r>
        <w:t>5.5</w:t>
      </w:r>
      <w:r>
        <w:rPr>
          <w:rFonts w:hint="eastAsia"/>
        </w:rPr>
        <w:t>、</w:t>
      </w:r>
      <w:r>
        <w:t>生产用水水质</w:t>
      </w:r>
    </w:p>
    <w:tbl>
      <w:tblPr>
        <w:tblStyle w:val="18"/>
        <w:tblW w:w="9568"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192"/>
        <w:gridCol w:w="4376"/>
      </w:tblGrid>
      <w:tr w14:paraId="3313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14040F89">
            <w:pPr>
              <w:ind w:left="560" w:leftChars="200"/>
              <w:rPr>
                <w:rFonts w:ascii="宋体" w:hAnsi="宋体" w:cs="宋体"/>
                <w:kern w:val="0"/>
                <w:sz w:val="24"/>
                <w:szCs w:val="18"/>
              </w:rPr>
            </w:pPr>
            <w:r>
              <w:rPr>
                <w:rFonts w:hint="eastAsia" w:ascii="宋体" w:hAnsi="宋体" w:cs="宋体"/>
                <w:kern w:val="0"/>
                <w:sz w:val="24"/>
                <w:szCs w:val="18"/>
              </w:rPr>
              <w:t>温度</w:t>
            </w:r>
          </w:p>
        </w:tc>
        <w:tc>
          <w:tcPr>
            <w:tcW w:w="4376" w:type="dxa"/>
          </w:tcPr>
          <w:p w14:paraId="16E63C27">
            <w:pPr>
              <w:rPr>
                <w:rFonts w:ascii="宋体" w:hAnsi="宋体" w:cs="宋体"/>
                <w:kern w:val="0"/>
                <w:sz w:val="24"/>
                <w:szCs w:val="18"/>
              </w:rPr>
            </w:pPr>
            <w:r>
              <w:rPr>
                <w:rFonts w:hint="eastAsia" w:ascii="宋体" w:hAnsi="宋体" w:cs="宋体"/>
                <w:kern w:val="0"/>
                <w:sz w:val="24"/>
                <w:szCs w:val="18"/>
              </w:rPr>
              <w:t>14-35℃（暂按此计算）</w:t>
            </w:r>
          </w:p>
        </w:tc>
      </w:tr>
      <w:tr w14:paraId="16A1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4E2B60A4">
            <w:pPr>
              <w:ind w:left="560" w:leftChars="200"/>
              <w:rPr>
                <w:rFonts w:ascii="宋体" w:hAnsi="宋体" w:cs="宋体"/>
                <w:kern w:val="0"/>
                <w:sz w:val="24"/>
                <w:szCs w:val="18"/>
              </w:rPr>
            </w:pPr>
            <w:r>
              <w:rPr>
                <w:rFonts w:hint="eastAsia" w:ascii="宋体" w:hAnsi="宋体" w:cs="宋体"/>
                <w:kern w:val="0"/>
                <w:sz w:val="24"/>
                <w:szCs w:val="18"/>
              </w:rPr>
              <w:t>混浊度（SiO</w:t>
            </w:r>
            <w:r>
              <w:rPr>
                <w:rFonts w:hint="eastAsia" w:ascii="宋体" w:hAnsi="宋体" w:cs="宋体"/>
                <w:kern w:val="0"/>
                <w:sz w:val="24"/>
                <w:szCs w:val="18"/>
                <w:vertAlign w:val="subscript"/>
              </w:rPr>
              <w:t>2</w:t>
            </w:r>
            <w:r>
              <w:rPr>
                <w:rFonts w:hint="eastAsia" w:ascii="宋体" w:hAnsi="宋体" w:cs="宋体"/>
                <w:kern w:val="0"/>
                <w:sz w:val="24"/>
                <w:szCs w:val="18"/>
              </w:rPr>
              <w:t>计）</w:t>
            </w:r>
          </w:p>
        </w:tc>
        <w:tc>
          <w:tcPr>
            <w:tcW w:w="4376" w:type="dxa"/>
          </w:tcPr>
          <w:p w14:paraId="7F3A0493">
            <w:pPr>
              <w:rPr>
                <w:rFonts w:ascii="宋体" w:hAnsi="宋体" w:cs="宋体"/>
                <w:kern w:val="0"/>
                <w:sz w:val="24"/>
                <w:szCs w:val="18"/>
              </w:rPr>
            </w:pPr>
            <w:r>
              <w:rPr>
                <w:rFonts w:hint="eastAsia" w:ascii="宋体" w:hAnsi="宋体" w:cs="宋体"/>
                <w:kern w:val="0"/>
                <w:sz w:val="24"/>
                <w:szCs w:val="18"/>
              </w:rPr>
              <w:t>＜1mg/L</w:t>
            </w:r>
          </w:p>
        </w:tc>
      </w:tr>
      <w:tr w14:paraId="6F69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0EC8996F">
            <w:pPr>
              <w:ind w:left="560" w:leftChars="200"/>
              <w:rPr>
                <w:rFonts w:ascii="宋体" w:hAnsi="宋体" w:cs="宋体"/>
                <w:kern w:val="0"/>
                <w:sz w:val="24"/>
                <w:szCs w:val="18"/>
              </w:rPr>
            </w:pPr>
            <w:r>
              <w:rPr>
                <w:rFonts w:hint="eastAsia" w:ascii="宋体" w:hAnsi="宋体" w:cs="宋体"/>
                <w:kern w:val="0"/>
                <w:sz w:val="24"/>
                <w:szCs w:val="18"/>
              </w:rPr>
              <w:t>色度（以铂单位计）</w:t>
            </w:r>
          </w:p>
        </w:tc>
        <w:tc>
          <w:tcPr>
            <w:tcW w:w="4376" w:type="dxa"/>
          </w:tcPr>
          <w:p w14:paraId="39B08F86">
            <w:pPr>
              <w:rPr>
                <w:rFonts w:ascii="宋体" w:hAnsi="宋体" w:cs="宋体"/>
                <w:kern w:val="0"/>
                <w:sz w:val="24"/>
                <w:szCs w:val="18"/>
              </w:rPr>
            </w:pPr>
            <w:r>
              <w:rPr>
                <w:rFonts w:hint="eastAsia" w:ascii="宋体" w:hAnsi="宋体" w:cs="宋体"/>
                <w:kern w:val="0"/>
                <w:sz w:val="24"/>
                <w:szCs w:val="18"/>
              </w:rPr>
              <w:t>＜25度</w:t>
            </w:r>
          </w:p>
        </w:tc>
      </w:tr>
      <w:tr w14:paraId="635A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288C32B6">
            <w:pPr>
              <w:ind w:left="560" w:leftChars="200"/>
              <w:rPr>
                <w:rFonts w:ascii="宋体" w:hAnsi="宋体" w:cs="宋体"/>
                <w:kern w:val="0"/>
                <w:sz w:val="24"/>
                <w:szCs w:val="18"/>
              </w:rPr>
            </w:pPr>
            <w:r>
              <w:rPr>
                <w:rFonts w:hint="eastAsia" w:ascii="宋体" w:hAnsi="宋体" w:cs="宋体"/>
                <w:kern w:val="0"/>
                <w:sz w:val="24"/>
                <w:szCs w:val="18"/>
              </w:rPr>
              <w:t>总硬度</w:t>
            </w:r>
          </w:p>
        </w:tc>
        <w:tc>
          <w:tcPr>
            <w:tcW w:w="4376" w:type="dxa"/>
          </w:tcPr>
          <w:p w14:paraId="14871A58">
            <w:pPr>
              <w:rPr>
                <w:rFonts w:ascii="宋体" w:hAnsi="宋体" w:cs="宋体"/>
                <w:kern w:val="0"/>
                <w:sz w:val="24"/>
                <w:szCs w:val="18"/>
              </w:rPr>
            </w:pPr>
            <w:r>
              <w:rPr>
                <w:rFonts w:hint="eastAsia" w:ascii="宋体" w:hAnsi="宋体" w:cs="宋体"/>
                <w:kern w:val="0"/>
                <w:sz w:val="24"/>
                <w:szCs w:val="18"/>
              </w:rPr>
              <w:t>＜100mg/L</w:t>
            </w:r>
          </w:p>
        </w:tc>
      </w:tr>
      <w:tr w14:paraId="6E5BB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193CBD2A">
            <w:pPr>
              <w:ind w:left="560" w:leftChars="200"/>
              <w:rPr>
                <w:rFonts w:ascii="宋体" w:hAnsi="宋体" w:cs="宋体"/>
                <w:kern w:val="0"/>
                <w:sz w:val="24"/>
                <w:szCs w:val="18"/>
              </w:rPr>
            </w:pPr>
            <w:r>
              <w:rPr>
                <w:rFonts w:hint="eastAsia" w:ascii="宋体" w:hAnsi="宋体" w:cs="宋体"/>
                <w:kern w:val="0"/>
                <w:sz w:val="24"/>
                <w:szCs w:val="18"/>
              </w:rPr>
              <w:t>铁（Fe）</w:t>
            </w:r>
          </w:p>
        </w:tc>
        <w:tc>
          <w:tcPr>
            <w:tcW w:w="4376" w:type="dxa"/>
          </w:tcPr>
          <w:p w14:paraId="5A88811E">
            <w:pPr>
              <w:rPr>
                <w:rFonts w:ascii="宋体" w:hAnsi="宋体" w:cs="宋体"/>
                <w:kern w:val="0"/>
                <w:sz w:val="24"/>
                <w:szCs w:val="18"/>
              </w:rPr>
            </w:pPr>
            <w:r>
              <w:rPr>
                <w:rFonts w:hint="eastAsia" w:ascii="宋体" w:hAnsi="宋体" w:cs="宋体"/>
                <w:kern w:val="0"/>
                <w:sz w:val="24"/>
                <w:szCs w:val="18"/>
              </w:rPr>
              <w:t>0.3～1.0 mg/L</w:t>
            </w:r>
          </w:p>
        </w:tc>
      </w:tr>
      <w:tr w14:paraId="17B5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27C79D34">
            <w:pPr>
              <w:ind w:left="560" w:leftChars="200"/>
              <w:rPr>
                <w:rFonts w:ascii="宋体" w:hAnsi="宋体" w:cs="宋体"/>
                <w:kern w:val="0"/>
                <w:sz w:val="24"/>
                <w:szCs w:val="18"/>
              </w:rPr>
            </w:pPr>
            <w:r>
              <w:rPr>
                <w:rFonts w:hint="eastAsia" w:ascii="宋体" w:hAnsi="宋体" w:cs="宋体"/>
                <w:kern w:val="0"/>
                <w:sz w:val="24"/>
                <w:szCs w:val="18"/>
              </w:rPr>
              <w:t>氯化物（以Cl计）</w:t>
            </w:r>
          </w:p>
        </w:tc>
        <w:tc>
          <w:tcPr>
            <w:tcW w:w="4376" w:type="dxa"/>
          </w:tcPr>
          <w:p w14:paraId="2D8F9105">
            <w:pPr>
              <w:rPr>
                <w:rFonts w:ascii="宋体" w:hAnsi="宋体" w:cs="宋体"/>
                <w:kern w:val="0"/>
                <w:sz w:val="24"/>
                <w:szCs w:val="18"/>
              </w:rPr>
            </w:pPr>
            <w:r>
              <w:rPr>
                <w:rFonts w:hint="eastAsia" w:ascii="宋体" w:hAnsi="宋体" w:cs="宋体"/>
                <w:kern w:val="0"/>
                <w:sz w:val="24"/>
                <w:szCs w:val="18"/>
              </w:rPr>
              <w:t>100mg/L</w:t>
            </w:r>
          </w:p>
        </w:tc>
      </w:tr>
      <w:tr w14:paraId="7A15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1DEF0F27">
            <w:pPr>
              <w:ind w:left="560" w:leftChars="200"/>
              <w:rPr>
                <w:rFonts w:ascii="宋体" w:hAnsi="宋体" w:cs="宋体"/>
                <w:kern w:val="0"/>
                <w:sz w:val="24"/>
                <w:szCs w:val="18"/>
              </w:rPr>
            </w:pPr>
            <w:r>
              <w:rPr>
                <w:rFonts w:hint="eastAsia" w:ascii="宋体" w:hAnsi="宋体" w:cs="宋体"/>
                <w:kern w:val="0"/>
                <w:sz w:val="24"/>
                <w:szCs w:val="18"/>
              </w:rPr>
              <w:t>pH</w:t>
            </w:r>
          </w:p>
        </w:tc>
        <w:tc>
          <w:tcPr>
            <w:tcW w:w="4376" w:type="dxa"/>
          </w:tcPr>
          <w:p w14:paraId="6C978C30">
            <w:pPr>
              <w:rPr>
                <w:rFonts w:ascii="宋体" w:hAnsi="宋体" w:cs="宋体"/>
                <w:kern w:val="0"/>
                <w:sz w:val="24"/>
                <w:szCs w:val="18"/>
              </w:rPr>
            </w:pPr>
            <w:r>
              <w:rPr>
                <w:rFonts w:hint="eastAsia" w:ascii="宋体" w:hAnsi="宋体" w:cs="宋体"/>
                <w:kern w:val="0"/>
                <w:sz w:val="24"/>
                <w:szCs w:val="18"/>
              </w:rPr>
              <w:t>6.5～8</w:t>
            </w:r>
          </w:p>
        </w:tc>
      </w:tr>
      <w:tr w14:paraId="4848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0FEE5DCA">
            <w:pPr>
              <w:ind w:left="560" w:leftChars="200"/>
              <w:rPr>
                <w:rFonts w:ascii="宋体" w:hAnsi="宋体" w:cs="宋体"/>
                <w:kern w:val="0"/>
                <w:sz w:val="24"/>
                <w:szCs w:val="18"/>
              </w:rPr>
            </w:pPr>
            <w:r>
              <w:rPr>
                <w:rFonts w:hint="eastAsia" w:ascii="宋体" w:hAnsi="宋体" w:cs="宋体"/>
                <w:kern w:val="0"/>
                <w:sz w:val="24"/>
                <w:szCs w:val="18"/>
              </w:rPr>
              <w:t>进口水压</w:t>
            </w:r>
          </w:p>
        </w:tc>
        <w:tc>
          <w:tcPr>
            <w:tcW w:w="4376" w:type="dxa"/>
          </w:tcPr>
          <w:p w14:paraId="0B82EFC3">
            <w:pPr>
              <w:rPr>
                <w:rFonts w:ascii="宋体" w:hAnsi="宋体" w:cs="宋体"/>
                <w:kern w:val="0"/>
                <w:sz w:val="24"/>
                <w:szCs w:val="18"/>
              </w:rPr>
            </w:pPr>
            <w:r>
              <w:rPr>
                <w:rFonts w:hint="eastAsia" w:ascii="宋体" w:hAnsi="宋体" w:cs="宋体"/>
                <w:kern w:val="0"/>
                <w:sz w:val="24"/>
                <w:szCs w:val="18"/>
              </w:rPr>
              <w:t>≥0.4MPa</w:t>
            </w:r>
          </w:p>
        </w:tc>
      </w:tr>
    </w:tbl>
    <w:p w14:paraId="2E38C8F1">
      <w:pPr>
        <w:pStyle w:val="5"/>
        <w:ind w:firstLine="480"/>
      </w:pPr>
      <w:r>
        <w:rPr>
          <w:rFonts w:hint="eastAsia"/>
        </w:rPr>
        <w:t>5</w:t>
      </w:r>
      <w:r>
        <w:t>.6</w:t>
      </w:r>
      <w:r>
        <w:rPr>
          <w:rFonts w:hint="eastAsia"/>
        </w:rPr>
        <w:t>轻污水</w:t>
      </w:r>
    </w:p>
    <w:tbl>
      <w:tblPr>
        <w:tblStyle w:val="18"/>
        <w:tblW w:w="9568"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192"/>
        <w:gridCol w:w="4376"/>
      </w:tblGrid>
      <w:tr w14:paraId="323E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3D713F76">
            <w:pPr>
              <w:pStyle w:val="5"/>
              <w:ind w:firstLine="480"/>
            </w:pPr>
            <w:r>
              <w:rPr>
                <w:rFonts w:hint="eastAsia"/>
              </w:rPr>
              <w:t>温度</w:t>
            </w:r>
          </w:p>
        </w:tc>
        <w:tc>
          <w:tcPr>
            <w:tcW w:w="4376" w:type="dxa"/>
          </w:tcPr>
          <w:p w14:paraId="77761F0F">
            <w:pPr>
              <w:pStyle w:val="5"/>
              <w:ind w:firstLine="0" w:firstLineChars="0"/>
            </w:pPr>
            <w:r>
              <w:rPr>
                <w:rFonts w:hint="eastAsia"/>
              </w:rPr>
              <w:t>73-75℃</w:t>
            </w:r>
          </w:p>
        </w:tc>
      </w:tr>
      <w:tr w14:paraId="3C1C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1AF4AC8C">
            <w:pPr>
              <w:pStyle w:val="5"/>
              <w:ind w:firstLine="480"/>
            </w:pPr>
            <w:r>
              <w:rPr>
                <w:rFonts w:hint="eastAsia"/>
              </w:rPr>
              <w:t>COD</w:t>
            </w:r>
          </w:p>
        </w:tc>
        <w:tc>
          <w:tcPr>
            <w:tcW w:w="4376" w:type="dxa"/>
          </w:tcPr>
          <w:p w14:paraId="6378F2DF">
            <w:pPr>
              <w:pStyle w:val="5"/>
              <w:ind w:firstLine="0" w:firstLineChars="0"/>
            </w:pPr>
            <w:r>
              <w:rPr>
                <w:rFonts w:hint="eastAsia"/>
              </w:rPr>
              <w:t>250±50mg/L</w:t>
            </w:r>
          </w:p>
        </w:tc>
      </w:tr>
      <w:tr w14:paraId="5AA6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192" w:type="dxa"/>
          </w:tcPr>
          <w:p w14:paraId="727C8399">
            <w:pPr>
              <w:pStyle w:val="5"/>
              <w:ind w:firstLine="480"/>
            </w:pPr>
            <w:r>
              <w:rPr>
                <w:rFonts w:hint="eastAsia"/>
              </w:rPr>
              <w:t>碱含量</w:t>
            </w:r>
          </w:p>
        </w:tc>
        <w:tc>
          <w:tcPr>
            <w:tcW w:w="4376" w:type="dxa"/>
          </w:tcPr>
          <w:p w14:paraId="673EFCD6">
            <w:pPr>
              <w:pStyle w:val="5"/>
              <w:ind w:firstLine="0" w:firstLineChars="0"/>
            </w:pPr>
            <w:r>
              <w:rPr>
                <w:rFonts w:hint="eastAsia"/>
              </w:rPr>
              <w:t>0.02-0.03g/L</w:t>
            </w:r>
          </w:p>
        </w:tc>
      </w:tr>
    </w:tbl>
    <w:p w14:paraId="0D31F140">
      <w:pPr>
        <w:pStyle w:val="5"/>
        <w:ind w:firstLine="0" w:firstLineChars="0"/>
        <w:rPr>
          <w:highlight w:val="yellow"/>
        </w:rPr>
      </w:pPr>
    </w:p>
    <w:p w14:paraId="405B8A83">
      <w:pPr>
        <w:pStyle w:val="5"/>
        <w:ind w:firstLine="480"/>
      </w:pPr>
      <w:r>
        <w:t>5.7</w:t>
      </w:r>
      <w:r>
        <w:rPr>
          <w:rFonts w:hint="eastAsia"/>
        </w:rPr>
        <w:t>、</w:t>
      </w:r>
      <w:r>
        <w:t>生活用水水质</w:t>
      </w:r>
    </w:p>
    <w:p w14:paraId="16DD9A58">
      <w:pPr>
        <w:pStyle w:val="23"/>
        <w:ind w:firstLine="720"/>
        <w:rPr>
          <w:rFonts w:hint="default"/>
        </w:rPr>
      </w:pPr>
      <w:r>
        <w:t>达到生活用水水质标准，水压不小于0.3MPa。</w:t>
      </w:r>
    </w:p>
    <w:p w14:paraId="67179B25">
      <w:pPr>
        <w:pStyle w:val="23"/>
        <w:ind w:firstLine="480" w:firstLineChars="0"/>
        <w:rPr>
          <w:rFonts w:hint="default"/>
        </w:rPr>
      </w:pPr>
      <w:r>
        <w:rPr>
          <w:rFonts w:hint="default"/>
        </w:rPr>
        <w:t>5.8</w:t>
      </w:r>
      <w:r>
        <w:t>、生产系统温水</w:t>
      </w:r>
    </w:p>
    <w:p w14:paraId="6ADE723B">
      <w:pPr>
        <w:pStyle w:val="23"/>
        <w:ind w:firstLine="480" w:firstLineChars="0"/>
        <w:rPr>
          <w:rFonts w:hint="default"/>
        </w:rPr>
      </w:pPr>
      <w:r>
        <w:t xml:space="preserve"> </w:t>
      </w:r>
      <w:r>
        <w:rPr>
          <w:rFonts w:hint="default"/>
        </w:rPr>
        <w:t xml:space="preserve"> </w:t>
      </w:r>
      <w:r>
        <w:t>水温</w:t>
      </w:r>
      <w:r>
        <w:rPr>
          <w:rFonts w:hint="default"/>
        </w:rPr>
        <w:t>40</w:t>
      </w:r>
      <w:r>
        <w:t>-</w:t>
      </w:r>
      <w:r>
        <w:rPr>
          <w:rFonts w:hint="default"/>
        </w:rPr>
        <w:t>50</w:t>
      </w:r>
      <w:r>
        <w:t>℃</w:t>
      </w:r>
    </w:p>
    <w:p w14:paraId="0F727FB6">
      <w:pPr>
        <w:spacing w:line="480" w:lineRule="exact"/>
        <w:jc w:val="center"/>
        <w:rPr>
          <w:rFonts w:ascii="仿宋" w:hAnsi="Times New Roman" w:eastAsia="仿宋"/>
          <w:b/>
          <w:kern w:val="0"/>
          <w:szCs w:val="20"/>
        </w:rPr>
      </w:pPr>
    </w:p>
    <w:p w14:paraId="4304F2BF">
      <w:pPr>
        <w:pStyle w:val="2"/>
      </w:pPr>
      <w:bookmarkStart w:id="40" w:name="_Toc12450"/>
      <w:bookmarkStart w:id="41" w:name="_Toc17576"/>
      <w:bookmarkStart w:id="42" w:name="_Toc23341"/>
      <w:r>
        <w:rPr>
          <w:rFonts w:hint="eastAsia"/>
        </w:rPr>
        <w:t>第二节 备料工段</w:t>
      </w:r>
      <w:bookmarkEnd w:id="40"/>
      <w:bookmarkEnd w:id="41"/>
      <w:bookmarkEnd w:id="42"/>
    </w:p>
    <w:p w14:paraId="454E1837">
      <w:pPr>
        <w:pStyle w:val="3"/>
        <w:spacing w:before="156" w:after="156"/>
        <w:ind w:firstLine="281"/>
      </w:pPr>
      <w:bookmarkStart w:id="43" w:name="_Toc7033"/>
      <w:bookmarkStart w:id="44" w:name="_Toc29519"/>
      <w:bookmarkStart w:id="45" w:name="_Toc4754"/>
      <w:r>
        <w:rPr>
          <w:rFonts w:hint="eastAsia"/>
        </w:rPr>
        <w:t>1、技术简要说明</w:t>
      </w:r>
      <w:bookmarkEnd w:id="43"/>
      <w:bookmarkEnd w:id="44"/>
      <w:bookmarkEnd w:id="45"/>
    </w:p>
    <w:p w14:paraId="2FC7C16C">
      <w:pPr>
        <w:adjustRightInd w:val="0"/>
        <w:snapToGrid w:val="0"/>
        <w:spacing w:line="480" w:lineRule="exact"/>
        <w:ind w:firstLine="560"/>
        <w:rPr>
          <w:rFonts w:ascii="宋体" w:hAnsi="宋体" w:cs="宋体"/>
          <w:kern w:val="0"/>
          <w:sz w:val="24"/>
          <w:szCs w:val="24"/>
        </w:rPr>
      </w:pPr>
      <w:r>
        <w:rPr>
          <w:rFonts w:hint="eastAsia" w:ascii="宋体" w:hAnsi="宋体" w:cs="宋体"/>
          <w:kern w:val="0"/>
          <w:sz w:val="24"/>
          <w:szCs w:val="24"/>
        </w:rPr>
        <w:t>备料工段主要由原料接收系统、原料堆场、原料筛选、再碎、原料洗涤、缓冲仓等部分组成。</w:t>
      </w:r>
    </w:p>
    <w:p w14:paraId="2F631A50">
      <w:pPr>
        <w:adjustRightInd w:val="0"/>
        <w:snapToGrid w:val="0"/>
        <w:spacing w:line="480" w:lineRule="exact"/>
        <w:ind w:firstLine="560"/>
        <w:rPr>
          <w:rFonts w:ascii="宋体" w:hAnsi="宋体" w:cs="宋体"/>
          <w:color w:val="000000"/>
          <w:kern w:val="0"/>
          <w:sz w:val="24"/>
          <w:szCs w:val="24"/>
          <w:lang w:bidi="ar"/>
        </w:rPr>
      </w:pPr>
      <w:r>
        <w:rPr>
          <w:rFonts w:hint="eastAsia" w:ascii="宋体" w:hAnsi="宋体" w:cs="宋体"/>
          <w:kern w:val="0"/>
          <w:sz w:val="24"/>
          <w:szCs w:val="24"/>
        </w:rPr>
        <w:t>工艺概述：配置一套液压翻板卸车及刮板输送机系统供原料卸车使用，设置一个容积</w:t>
      </w:r>
      <w:r>
        <w:rPr>
          <w:rFonts w:ascii="宋体" w:hAnsi="宋体" w:cs="宋体"/>
          <w:kern w:val="0"/>
          <w:sz w:val="24"/>
          <w:szCs w:val="24"/>
        </w:rPr>
        <w:t>8</w:t>
      </w:r>
      <w:r>
        <w:rPr>
          <w:rFonts w:hint="eastAsia" w:ascii="宋体" w:hAnsi="宋体" w:cs="宋体"/>
          <w:kern w:val="0"/>
          <w:sz w:val="24"/>
          <w:szCs w:val="24"/>
        </w:rPr>
        <w:t>万m³的活堆场分别存放竹、木原料</w:t>
      </w:r>
      <w:r>
        <w:rPr>
          <w:rFonts w:hint="eastAsia" w:ascii="宋体" w:hAnsi="宋体" w:cs="宋体"/>
          <w:sz w:val="24"/>
          <w:szCs w:val="24"/>
        </w:rPr>
        <w:t>，堆场配备变频调速出料螺旋装置及两套地下皮带装置</w:t>
      </w:r>
      <w:r>
        <w:rPr>
          <w:rFonts w:hint="eastAsia" w:ascii="仿宋" w:hAnsi="仿宋" w:eastAsia="仿宋" w:cs="仿宋"/>
          <w:szCs w:val="28"/>
        </w:rPr>
        <w:t>，</w:t>
      </w:r>
      <w:r>
        <w:rPr>
          <w:rFonts w:hint="eastAsia" w:ascii="宋体" w:hAnsi="宋体" w:cs="宋体"/>
          <w:sz w:val="24"/>
          <w:szCs w:val="24"/>
        </w:rPr>
        <w:t>地下皮带送出的原料汇集后由一套共用皮带分时段送入摇摆筛、盘式再碎机、水洗系统进行处理，经处理的原料由共用皮带输送至</w:t>
      </w:r>
      <w:r>
        <w:rPr>
          <w:rFonts w:ascii="宋体" w:hAnsi="宋体" w:cs="宋体"/>
          <w:sz w:val="24"/>
          <w:szCs w:val="24"/>
        </w:rPr>
        <w:t>24</w:t>
      </w:r>
      <w:r>
        <w:rPr>
          <w:rFonts w:hint="eastAsia" w:ascii="宋体" w:hAnsi="宋体" w:cs="宋体"/>
          <w:sz w:val="24"/>
          <w:szCs w:val="24"/>
        </w:rPr>
        <w:t>00</w:t>
      </w:r>
      <w:r>
        <w:rPr>
          <w:rFonts w:hint="eastAsia" w:ascii="宋体" w:hAnsi="宋体" w:cs="宋体"/>
          <w:kern w:val="0"/>
          <w:sz w:val="24"/>
          <w:szCs w:val="24"/>
        </w:rPr>
        <w:t>m³</w:t>
      </w:r>
      <w:r>
        <w:rPr>
          <w:rFonts w:hint="eastAsia" w:ascii="宋体" w:hAnsi="宋体" w:cs="宋体"/>
          <w:sz w:val="24"/>
          <w:szCs w:val="24"/>
        </w:rPr>
        <w:t>缓冲仓（设格区独立储存）。缓冲仓中的</w:t>
      </w:r>
      <w:r>
        <w:rPr>
          <w:rFonts w:hint="eastAsia" w:ascii="宋体" w:hAnsi="宋体" w:cs="宋体"/>
          <w:kern w:val="0"/>
          <w:sz w:val="24"/>
          <w:szCs w:val="24"/>
        </w:rPr>
        <w:t>竹料或木料，通过共用装锅皮带送入蒸煮锅分别生产竹浆、木浆，泵入各自喷放锅。筛选产生的锯糠、竹屑设置场地堆放由甲方处置。</w:t>
      </w:r>
      <w:r>
        <w:rPr>
          <w:rFonts w:hint="eastAsia" w:ascii="宋体" w:hAnsi="宋体" w:cs="宋体"/>
          <w:color w:val="000000"/>
          <w:kern w:val="0"/>
          <w:sz w:val="24"/>
          <w:szCs w:val="24"/>
          <w:lang w:bidi="ar"/>
        </w:rPr>
        <w:t>原料水洗设置水处理系统实现水洗水循环使用。原料筛洗生产能力满足蒸煮系统生产的供料需求。</w:t>
      </w:r>
    </w:p>
    <w:p w14:paraId="7C28FE88">
      <w:pPr>
        <w:pStyle w:val="5"/>
        <w:ind w:firstLine="480"/>
      </w:pPr>
      <w:r>
        <w:rPr>
          <w:rFonts w:hint="eastAsia"/>
        </w:rPr>
        <w:t>项目生产原料供给模式为汽车供料。外来原料经</w:t>
      </w:r>
      <w:r>
        <w:rPr>
          <w:rFonts w:hint="eastAsia" w:cs="宋体"/>
          <w:kern w:val="0"/>
          <w:szCs w:val="24"/>
        </w:rPr>
        <w:t>液压翻板卸车及刮板输送机卸料，由</w:t>
      </w:r>
      <w:r>
        <w:rPr>
          <w:rFonts w:hint="eastAsia"/>
        </w:rPr>
        <w:t>皮带输送机送至盘筛后再由皮带输送机送至堆场贮存。堆场贮存的原料通过筛选后经皮带输送机进入洗涤工段，去除混杂在原料中的锯糠、泥沙等杂物。过大片料经再碎机再碎处理，锯糠经皮带输送机进行收集存放，泥沙收集后由专用汽车送至厂区外。</w:t>
      </w:r>
    </w:p>
    <w:p w14:paraId="5F28E006">
      <w:pPr>
        <w:pStyle w:val="15"/>
        <w:widowControl/>
        <w:spacing w:beforeAutospacing="0" w:afterAutospacing="0" w:line="460" w:lineRule="exact"/>
        <w:ind w:firstLine="480" w:firstLineChars="200"/>
        <w:rPr>
          <w:rFonts w:ascii="Times New Roman Regular" w:hAnsi="Times New Roman Regular" w:cs="Times New Roman Regular"/>
        </w:rPr>
      </w:pPr>
      <w:r>
        <w:rPr>
          <w:rFonts w:ascii="Times New Roman Regular" w:hAnsi="Times New Roman Regular" w:cs="Times New Roman Regular"/>
        </w:rPr>
        <w:t>竹片堆场雨水采用分区收集的形式，方堆四周设置挡墙，堆场装卸区域、备料车间四周设置雨水管沟，收集料堆以外雨水</w:t>
      </w:r>
      <w:r>
        <w:rPr>
          <w:rFonts w:hint="eastAsia" w:ascii="Times New Roman Regular" w:hAnsi="Times New Roman Regular" w:cs="Times New Roman Regular"/>
        </w:rPr>
        <w:t>。</w:t>
      </w:r>
    </w:p>
    <w:p w14:paraId="3796573D">
      <w:pPr>
        <w:pStyle w:val="5"/>
        <w:ind w:firstLine="480"/>
      </w:pPr>
      <w:r>
        <w:rPr>
          <w:rFonts w:hint="eastAsia"/>
        </w:rPr>
        <w:t>堆场去缓冲仓皮带输送能力根据筛选、水洗系统能力设定。</w:t>
      </w:r>
    </w:p>
    <w:p w14:paraId="0B849665">
      <w:pPr>
        <w:pStyle w:val="5"/>
        <w:ind w:firstLine="480"/>
        <w:rPr>
          <w:rFonts w:ascii="仿宋" w:hAnsi="Times New Roman" w:eastAsia="仿宋"/>
          <w:kern w:val="0"/>
          <w:szCs w:val="20"/>
        </w:rPr>
      </w:pPr>
      <w:r>
        <w:rPr>
          <w:rFonts w:hint="eastAsia"/>
        </w:rPr>
        <w:t>原料</w:t>
      </w:r>
      <w:r>
        <w:t>筛</w:t>
      </w:r>
      <w:r>
        <w:rPr>
          <w:rFonts w:hint="eastAsia"/>
        </w:rPr>
        <w:t>选设备数量2台，单台筛选</w:t>
      </w:r>
      <w:r>
        <w:t>能力不低于</w:t>
      </w:r>
      <w:r>
        <w:rPr>
          <w:rFonts w:hint="eastAsia"/>
        </w:rPr>
        <w:t>600</w:t>
      </w:r>
      <w:r>
        <w:t>m</w:t>
      </w:r>
      <w:r>
        <w:rPr>
          <w:vertAlign w:val="superscript"/>
        </w:rPr>
        <w:t>3</w:t>
      </w:r>
      <w:r>
        <w:t>/h</w:t>
      </w:r>
      <w:r>
        <w:rPr>
          <w:rFonts w:hint="eastAsia" w:ascii="仿宋" w:hAnsi="Times New Roman" w:eastAsia="仿宋"/>
          <w:kern w:val="0"/>
          <w:szCs w:val="20"/>
        </w:rPr>
        <w:t>。</w:t>
      </w:r>
    </w:p>
    <w:p w14:paraId="537CADC4">
      <w:pPr>
        <w:pStyle w:val="5"/>
        <w:ind w:firstLine="480"/>
      </w:pPr>
      <w:r>
        <w:t>再碎，采用盘式</w:t>
      </w:r>
      <w:r>
        <w:rPr>
          <w:rFonts w:hint="eastAsia"/>
        </w:rPr>
        <w:t>再碎</w:t>
      </w:r>
      <w:r>
        <w:t>机。</w:t>
      </w:r>
    </w:p>
    <w:p w14:paraId="7E1AD2F0">
      <w:pPr>
        <w:pStyle w:val="5"/>
        <w:ind w:firstLine="480"/>
        <w:rPr>
          <w:rFonts w:cs="宋体"/>
          <w:color w:val="000000"/>
          <w:kern w:val="0"/>
          <w:szCs w:val="24"/>
          <w:lang w:bidi="ar"/>
        </w:rPr>
      </w:pPr>
      <w:r>
        <w:rPr>
          <w:rFonts w:hint="eastAsia" w:cs="宋体"/>
          <w:kern w:val="0"/>
          <w:szCs w:val="24"/>
        </w:rPr>
        <w:t>水洗系统产能匹配筛选产能进行设计（同时具备旁通通道），</w:t>
      </w:r>
      <w:r>
        <w:rPr>
          <w:rFonts w:ascii="Times New Roman Regular" w:hAnsi="Times New Roman Regular" w:cs="Times New Roman Regular"/>
        </w:rPr>
        <w:t>备料工段设洗片废水回用系统1套</w:t>
      </w:r>
      <w:r>
        <w:rPr>
          <w:rFonts w:hint="eastAsia" w:cs="宋体"/>
        </w:rPr>
        <w:t>(</w:t>
      </w:r>
      <w:r>
        <w:rPr>
          <w:rFonts w:ascii="Times New Roman Regular" w:hAnsi="Times New Roman Regular" w:cs="Times New Roman Regular"/>
        </w:rPr>
        <w:t>设计规模≥600t/d</w:t>
      </w:r>
      <w:r>
        <w:rPr>
          <w:rFonts w:hint="eastAsia" w:cs="宋体"/>
        </w:rPr>
        <w:t>)</w:t>
      </w:r>
      <w:r>
        <w:rPr>
          <w:rFonts w:ascii="Times New Roman Regular" w:hAnsi="Times New Roman Regular" w:cs="Times New Roman Regular"/>
        </w:rPr>
        <w:t>，将洗片废水处理后回用于洗片</w:t>
      </w:r>
      <w:r>
        <w:rPr>
          <w:rFonts w:hint="eastAsia" w:cs="宋体"/>
          <w:color w:val="000000"/>
          <w:kern w:val="0"/>
          <w:szCs w:val="24"/>
          <w:lang w:bidi="ar"/>
        </w:rPr>
        <w:t>，少部分外排至污水厂处置。</w:t>
      </w:r>
    </w:p>
    <w:p w14:paraId="5722FE4D">
      <w:pPr>
        <w:adjustRightInd w:val="0"/>
        <w:snapToGrid w:val="0"/>
        <w:spacing w:line="480" w:lineRule="exact"/>
        <w:ind w:firstLine="560"/>
        <w:rPr>
          <w:sz w:val="24"/>
          <w:szCs w:val="24"/>
        </w:rPr>
      </w:pPr>
      <w:r>
        <w:rPr>
          <w:rFonts w:hint="eastAsia"/>
          <w:sz w:val="24"/>
          <w:szCs w:val="24"/>
        </w:rPr>
        <w:t>皮带驱动采用</w:t>
      </w:r>
      <w:r>
        <w:rPr>
          <w:rFonts w:hint="eastAsia" w:ascii="宋体" w:hAnsi="宋体" w:cs="宋体"/>
          <w:kern w:val="0"/>
          <w:sz w:val="24"/>
          <w:szCs w:val="24"/>
        </w:rPr>
        <w:t>高效电机+减速机传动</w:t>
      </w:r>
      <w:r>
        <w:rPr>
          <w:rFonts w:hint="eastAsia"/>
          <w:sz w:val="24"/>
          <w:szCs w:val="24"/>
        </w:rPr>
        <w:t>，皮带要配置防打滑加止逆器、防跑偏装置、现场拉线开关、声光报警装置、现场急停开关；配备永磁除铁器。皮带机栈道采用钢结构，双走道铺设格栅板。</w:t>
      </w:r>
    </w:p>
    <w:p w14:paraId="2F20ADAB">
      <w:pPr>
        <w:adjustRightInd w:val="0"/>
        <w:snapToGrid w:val="0"/>
        <w:spacing w:line="480" w:lineRule="exact"/>
        <w:ind w:firstLine="560"/>
        <w:rPr>
          <w:szCs w:val="28"/>
        </w:rPr>
      </w:pPr>
      <w:r>
        <w:rPr>
          <w:rFonts w:hint="eastAsia"/>
          <w:sz w:val="24"/>
          <w:szCs w:val="24"/>
        </w:rPr>
        <w:t>备料工段筛选与再碎应设置粉尘收集系统，采用</w:t>
      </w:r>
      <w:r>
        <w:rPr>
          <w:rFonts w:hint="eastAsia" w:ascii="宋体" w:hAnsi="宋体" w:cs="宋体"/>
          <w:kern w:val="0"/>
          <w:sz w:val="24"/>
          <w:szCs w:val="24"/>
        </w:rPr>
        <w:t>防飘撒装置</w:t>
      </w:r>
      <w:r>
        <w:rPr>
          <w:rFonts w:hint="eastAsia"/>
          <w:sz w:val="24"/>
          <w:szCs w:val="24"/>
        </w:rPr>
        <w:t>，排放满足《大气污染物综合排放标准》</w:t>
      </w:r>
      <w:r>
        <w:rPr>
          <w:rFonts w:hint="eastAsia" w:ascii="宋体" w:hAnsi="宋体" w:cs="宋体"/>
          <w:sz w:val="24"/>
          <w:szCs w:val="24"/>
        </w:rPr>
        <w:t>(GB16297-1996)</w:t>
      </w:r>
      <w:r>
        <w:rPr>
          <w:rFonts w:hint="eastAsia"/>
          <w:sz w:val="24"/>
          <w:szCs w:val="24"/>
        </w:rPr>
        <w:t>。</w:t>
      </w:r>
    </w:p>
    <w:p w14:paraId="778D221C">
      <w:pPr>
        <w:pStyle w:val="5"/>
        <w:ind w:firstLine="480"/>
      </w:pPr>
      <w:r>
        <w:rPr>
          <w:rFonts w:hint="eastAsia"/>
        </w:rPr>
        <w:t>缓冲仓容积不低于</w:t>
      </w:r>
      <w:r>
        <w:t>24</w:t>
      </w:r>
      <w:r>
        <w:rPr>
          <w:rFonts w:hint="eastAsia"/>
        </w:rPr>
        <w:t>00m</w:t>
      </w:r>
      <w:r>
        <w:rPr>
          <w:vertAlign w:val="superscript"/>
        </w:rPr>
        <w:t>3</w:t>
      </w:r>
      <w:r>
        <w:rPr>
          <w:rFonts w:hint="eastAsia"/>
        </w:rPr>
        <w:t>，缓冲仓隔成</w:t>
      </w:r>
      <w:r>
        <w:t>2</w:t>
      </w:r>
      <w:r>
        <w:rPr>
          <w:rFonts w:hint="eastAsia"/>
        </w:rPr>
        <w:t>格，配备</w:t>
      </w:r>
      <w:r>
        <w:t>2</w:t>
      </w:r>
      <w:r>
        <w:rPr>
          <w:rFonts w:hint="eastAsia"/>
        </w:rPr>
        <w:t>条变频出料螺旋；采用混凝土结构。可满足两个隔仓灵活切换储存原料。</w:t>
      </w:r>
    </w:p>
    <w:p w14:paraId="35D3B0BA">
      <w:pPr>
        <w:adjustRightInd w:val="0"/>
        <w:snapToGrid w:val="0"/>
        <w:spacing w:line="480" w:lineRule="exact"/>
        <w:ind w:firstLine="480" w:firstLineChars="200"/>
      </w:pPr>
      <w:r>
        <w:rPr>
          <w:rFonts w:hint="eastAsia" w:ascii="宋体" w:hAnsi="宋体" w:cs="宋体"/>
          <w:kern w:val="0"/>
          <w:sz w:val="24"/>
          <w:szCs w:val="24"/>
        </w:rPr>
        <w:t>场地要规划设计预留一个活堆场（本项目仅设计预留但暂不实施采购及安装）。</w:t>
      </w:r>
    </w:p>
    <w:p w14:paraId="38750F56">
      <w:pPr>
        <w:pStyle w:val="5"/>
        <w:ind w:firstLine="480"/>
      </w:pPr>
      <w:r>
        <w:rPr>
          <w:rFonts w:hint="eastAsia"/>
        </w:rPr>
        <w:t>备料工段大致工艺流程参见下图：</w:t>
      </w:r>
    </w:p>
    <w:p w14:paraId="441935DC">
      <w:pPr>
        <w:adjustRightInd w:val="0"/>
        <w:snapToGrid w:val="0"/>
        <w:rPr>
          <w:sz w:val="24"/>
          <w:szCs w:val="21"/>
          <w:lang w:val="en-AU"/>
        </w:rPr>
      </w:pPr>
      <w:r>
        <w:rPr>
          <w:sz w:val="24"/>
          <w:szCs w:val="21"/>
        </w:rPr>
        <w:drawing>
          <wp:inline distT="0" distB="0" distL="114300" distR="114300">
            <wp:extent cx="5756275" cy="8837295"/>
            <wp:effectExtent l="0" t="0" r="15875" b="1905"/>
            <wp:docPr id="9" name="图片 9" descr="58ad1a5a48c0b73c572f2ea5da5f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8ad1a5a48c0b73c572f2ea5da5f319"/>
                    <pic:cNvPicPr>
                      <a:picLocks noChangeAspect="1"/>
                    </pic:cNvPicPr>
                  </pic:nvPicPr>
                  <pic:blipFill>
                    <a:blip r:embed="rId12"/>
                    <a:stretch>
                      <a:fillRect/>
                    </a:stretch>
                  </pic:blipFill>
                  <pic:spPr>
                    <a:xfrm>
                      <a:off x="0" y="0"/>
                      <a:ext cx="5756275" cy="8837295"/>
                    </a:xfrm>
                    <a:prstGeom prst="rect">
                      <a:avLst/>
                    </a:prstGeom>
                  </pic:spPr>
                </pic:pic>
              </a:graphicData>
            </a:graphic>
          </wp:inline>
        </w:drawing>
      </w:r>
    </w:p>
    <w:p w14:paraId="76503404">
      <w:pPr>
        <w:jc w:val="center"/>
        <w:rPr>
          <w:sz w:val="24"/>
          <w:szCs w:val="21"/>
        </w:rPr>
      </w:pPr>
      <w:r>
        <w:rPr>
          <w:rFonts w:hint="eastAsia"/>
          <w:sz w:val="24"/>
          <w:szCs w:val="21"/>
        </w:rPr>
        <w:t>备料工段工艺流程简图</w:t>
      </w:r>
    </w:p>
    <w:p w14:paraId="234FDB9A">
      <w:pPr>
        <w:pStyle w:val="3"/>
        <w:spacing w:before="156" w:after="156"/>
        <w:ind w:firstLine="281"/>
      </w:pPr>
      <w:bookmarkStart w:id="46" w:name="_Toc21132"/>
      <w:bookmarkStart w:id="47" w:name="_Toc21605"/>
      <w:bookmarkStart w:id="48" w:name="_Toc6311"/>
      <w:r>
        <w:t>2</w:t>
      </w:r>
      <w:r>
        <w:rPr>
          <w:rFonts w:hint="eastAsia"/>
        </w:rPr>
        <w:t>、原料参数</w:t>
      </w:r>
      <w:bookmarkEnd w:id="46"/>
      <w:bookmarkEnd w:id="47"/>
      <w:bookmarkEnd w:id="48"/>
    </w:p>
    <w:p w14:paraId="2BDB1A8C">
      <w:pPr>
        <w:pStyle w:val="5"/>
        <w:ind w:firstLine="480"/>
      </w:pPr>
      <w:r>
        <w:rPr>
          <w:rFonts w:hint="eastAsia"/>
        </w:rPr>
        <w:t>合格片：长度</w:t>
      </w:r>
      <w:r>
        <w:t>5mm-45mm</w:t>
      </w:r>
      <w:r>
        <w:rPr>
          <w:rFonts w:hint="eastAsia"/>
        </w:rPr>
        <w:t>，</w:t>
      </w:r>
      <w:r>
        <w:t>厚度大于2mm小于8 mm以下，宽度5 mm以上。</w:t>
      </w:r>
    </w:p>
    <w:p w14:paraId="38AAF498">
      <w:pPr>
        <w:pStyle w:val="5"/>
        <w:ind w:firstLine="480"/>
      </w:pPr>
      <w:r>
        <w:rPr>
          <w:rFonts w:hint="eastAsia"/>
        </w:rPr>
        <w:t>大片：厚度</w:t>
      </w:r>
      <w:r>
        <w:t>8 mm以上或长度45 mm-80 mm。</w:t>
      </w:r>
    </w:p>
    <w:p w14:paraId="6A6619D7">
      <w:pPr>
        <w:pStyle w:val="5"/>
        <w:ind w:firstLine="480"/>
        <w:rPr>
          <w:rFonts w:ascii="仿宋" w:eastAsia="仿宋"/>
          <w:kern w:val="0"/>
          <w:szCs w:val="20"/>
        </w:rPr>
      </w:pPr>
      <w:r>
        <w:rPr>
          <w:rFonts w:hint="eastAsia"/>
        </w:rPr>
        <w:t>长条：长度</w:t>
      </w:r>
      <w:r>
        <w:t>80 mm以上。</w:t>
      </w:r>
    </w:p>
    <w:p w14:paraId="07D4C7B6">
      <w:pPr>
        <w:pStyle w:val="3"/>
        <w:spacing w:before="156" w:after="156"/>
        <w:ind w:firstLine="281"/>
        <w:rPr>
          <w:lang w:val="zh-CN"/>
        </w:rPr>
      </w:pPr>
      <w:bookmarkStart w:id="49" w:name="_Toc23536"/>
      <w:bookmarkStart w:id="50" w:name="_Toc22583"/>
      <w:bookmarkStart w:id="51" w:name="_Toc336"/>
      <w:r>
        <w:rPr>
          <w:rFonts w:hint="eastAsia"/>
          <w:lang w:val="zh-CN"/>
        </w:rPr>
        <w:t>3、主要技术指标</w:t>
      </w:r>
      <w:bookmarkEnd w:id="49"/>
      <w:bookmarkEnd w:id="50"/>
      <w:bookmarkEnd w:id="51"/>
    </w:p>
    <w:p w14:paraId="6FD195EA">
      <w:pPr>
        <w:jc w:val="center"/>
        <w:rPr>
          <w:sz w:val="24"/>
          <w:szCs w:val="21"/>
          <w:lang w:val="zh-CN"/>
        </w:rPr>
      </w:pPr>
      <w:r>
        <w:rPr>
          <w:rFonts w:hint="eastAsia"/>
          <w:sz w:val="24"/>
          <w:szCs w:val="21"/>
          <w:lang w:val="zh-CN"/>
        </w:rPr>
        <w:t>备料工段主要工艺技术指标</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720"/>
        <w:gridCol w:w="1009"/>
        <w:gridCol w:w="1391"/>
        <w:gridCol w:w="1807"/>
      </w:tblGrid>
      <w:tr w14:paraId="6981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blHeader/>
          <w:jc w:val="center"/>
        </w:trPr>
        <w:tc>
          <w:tcPr>
            <w:tcW w:w="720" w:type="dxa"/>
            <w:vAlign w:val="center"/>
          </w:tcPr>
          <w:p w14:paraId="68E8088C">
            <w:pPr>
              <w:spacing w:line="480" w:lineRule="exact"/>
              <w:jc w:val="center"/>
              <w:rPr>
                <w:rFonts w:ascii="宋体" w:hAnsi="宋体" w:cs="仿宋"/>
                <w:sz w:val="24"/>
              </w:rPr>
            </w:pPr>
            <w:r>
              <w:rPr>
                <w:rFonts w:hint="eastAsia" w:ascii="宋体" w:hAnsi="宋体" w:cs="仿宋"/>
                <w:sz w:val="24"/>
              </w:rPr>
              <w:t>序号</w:t>
            </w:r>
          </w:p>
        </w:tc>
        <w:tc>
          <w:tcPr>
            <w:tcW w:w="3720" w:type="dxa"/>
            <w:vAlign w:val="center"/>
          </w:tcPr>
          <w:p w14:paraId="0168E148">
            <w:pPr>
              <w:spacing w:line="480" w:lineRule="exact"/>
              <w:jc w:val="center"/>
              <w:rPr>
                <w:rFonts w:ascii="宋体" w:hAnsi="宋体" w:cs="仿宋"/>
                <w:sz w:val="24"/>
              </w:rPr>
            </w:pPr>
            <w:r>
              <w:rPr>
                <w:rFonts w:hint="eastAsia" w:ascii="宋体" w:hAnsi="宋体" w:cs="仿宋"/>
                <w:sz w:val="24"/>
              </w:rPr>
              <w:t>名    称</w:t>
            </w:r>
          </w:p>
        </w:tc>
        <w:tc>
          <w:tcPr>
            <w:tcW w:w="1009" w:type="dxa"/>
            <w:vAlign w:val="center"/>
          </w:tcPr>
          <w:p w14:paraId="4CBF25A4">
            <w:pPr>
              <w:spacing w:line="480" w:lineRule="exact"/>
              <w:jc w:val="center"/>
              <w:rPr>
                <w:rFonts w:ascii="宋体" w:hAnsi="宋体" w:cs="仿宋"/>
                <w:sz w:val="24"/>
              </w:rPr>
            </w:pPr>
            <w:r>
              <w:rPr>
                <w:rFonts w:hint="eastAsia" w:ascii="宋体" w:hAnsi="宋体" w:cs="仿宋"/>
                <w:sz w:val="24"/>
              </w:rPr>
              <w:t>单 位</w:t>
            </w:r>
          </w:p>
        </w:tc>
        <w:tc>
          <w:tcPr>
            <w:tcW w:w="1391" w:type="dxa"/>
            <w:vAlign w:val="center"/>
          </w:tcPr>
          <w:p w14:paraId="706FC51E">
            <w:pPr>
              <w:spacing w:line="480" w:lineRule="exact"/>
              <w:jc w:val="center"/>
              <w:rPr>
                <w:rFonts w:ascii="宋体" w:hAnsi="宋体" w:cs="仿宋"/>
                <w:sz w:val="24"/>
              </w:rPr>
            </w:pPr>
            <w:r>
              <w:rPr>
                <w:rFonts w:hint="eastAsia" w:ascii="宋体" w:hAnsi="宋体" w:cs="仿宋"/>
                <w:sz w:val="24"/>
              </w:rPr>
              <w:t>数 值</w:t>
            </w:r>
          </w:p>
        </w:tc>
        <w:tc>
          <w:tcPr>
            <w:tcW w:w="1807" w:type="dxa"/>
            <w:vAlign w:val="center"/>
          </w:tcPr>
          <w:p w14:paraId="6B08051B">
            <w:pPr>
              <w:spacing w:line="480" w:lineRule="exact"/>
              <w:jc w:val="center"/>
              <w:rPr>
                <w:rFonts w:ascii="宋体" w:hAnsi="宋体" w:cs="仿宋"/>
                <w:sz w:val="24"/>
              </w:rPr>
            </w:pPr>
            <w:r>
              <w:rPr>
                <w:rFonts w:hint="eastAsia" w:ascii="宋体" w:hAnsi="宋体" w:cs="仿宋"/>
                <w:sz w:val="24"/>
              </w:rPr>
              <w:t>备  注</w:t>
            </w:r>
          </w:p>
        </w:tc>
      </w:tr>
      <w:tr w14:paraId="2760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67E4A09B">
            <w:pPr>
              <w:spacing w:line="480" w:lineRule="exact"/>
              <w:jc w:val="center"/>
              <w:rPr>
                <w:rFonts w:ascii="宋体" w:hAnsi="宋体" w:cs="仿宋"/>
                <w:sz w:val="24"/>
              </w:rPr>
            </w:pPr>
            <w:r>
              <w:rPr>
                <w:rFonts w:hint="eastAsia" w:ascii="宋体" w:hAnsi="宋体" w:cs="仿宋"/>
                <w:sz w:val="24"/>
              </w:rPr>
              <w:t>1</w:t>
            </w:r>
          </w:p>
        </w:tc>
        <w:tc>
          <w:tcPr>
            <w:tcW w:w="3720" w:type="dxa"/>
            <w:vAlign w:val="center"/>
          </w:tcPr>
          <w:p w14:paraId="7EB1C484">
            <w:pPr>
              <w:spacing w:line="480" w:lineRule="exact"/>
              <w:jc w:val="center"/>
              <w:rPr>
                <w:rFonts w:ascii="宋体" w:hAnsi="宋体" w:cs="仿宋"/>
                <w:sz w:val="24"/>
              </w:rPr>
            </w:pPr>
            <w:r>
              <w:rPr>
                <w:rFonts w:hint="eastAsia" w:ascii="宋体" w:hAnsi="宋体" w:cs="仿宋"/>
                <w:sz w:val="24"/>
              </w:rPr>
              <w:t>年工作日</w:t>
            </w:r>
          </w:p>
        </w:tc>
        <w:tc>
          <w:tcPr>
            <w:tcW w:w="1009" w:type="dxa"/>
            <w:vAlign w:val="center"/>
          </w:tcPr>
          <w:p w14:paraId="03F5DC1A">
            <w:pPr>
              <w:spacing w:line="480" w:lineRule="exact"/>
              <w:jc w:val="center"/>
              <w:rPr>
                <w:rFonts w:ascii="宋体" w:hAnsi="宋体" w:cs="仿宋"/>
                <w:sz w:val="24"/>
              </w:rPr>
            </w:pPr>
            <w:r>
              <w:rPr>
                <w:rFonts w:hint="eastAsia" w:ascii="宋体" w:hAnsi="宋体" w:cs="仿宋"/>
                <w:sz w:val="24"/>
              </w:rPr>
              <w:t>d</w:t>
            </w:r>
          </w:p>
        </w:tc>
        <w:tc>
          <w:tcPr>
            <w:tcW w:w="1391" w:type="dxa"/>
            <w:vAlign w:val="center"/>
          </w:tcPr>
          <w:p w14:paraId="0D20F602">
            <w:pPr>
              <w:spacing w:line="480" w:lineRule="exact"/>
              <w:jc w:val="center"/>
              <w:rPr>
                <w:rFonts w:ascii="宋体" w:hAnsi="宋体" w:cs="仿宋"/>
                <w:sz w:val="24"/>
              </w:rPr>
            </w:pPr>
            <w:r>
              <w:rPr>
                <w:rFonts w:hint="eastAsia" w:ascii="宋体" w:hAnsi="宋体" w:cs="仿宋"/>
                <w:sz w:val="24"/>
              </w:rPr>
              <w:t>3</w:t>
            </w:r>
            <w:r>
              <w:rPr>
                <w:rFonts w:ascii="宋体" w:hAnsi="宋体" w:cs="仿宋"/>
                <w:sz w:val="24"/>
              </w:rPr>
              <w:t>3</w:t>
            </w:r>
            <w:r>
              <w:rPr>
                <w:rFonts w:hint="eastAsia" w:ascii="宋体" w:hAnsi="宋体" w:cs="仿宋"/>
                <w:sz w:val="24"/>
              </w:rPr>
              <w:t>0</w:t>
            </w:r>
          </w:p>
        </w:tc>
        <w:tc>
          <w:tcPr>
            <w:tcW w:w="1807" w:type="dxa"/>
            <w:vAlign w:val="center"/>
          </w:tcPr>
          <w:p w14:paraId="54C31B2F">
            <w:pPr>
              <w:spacing w:line="480" w:lineRule="exact"/>
              <w:jc w:val="center"/>
              <w:rPr>
                <w:rFonts w:ascii="宋体" w:hAnsi="宋体" w:cs="仿宋"/>
                <w:sz w:val="24"/>
              </w:rPr>
            </w:pPr>
          </w:p>
        </w:tc>
      </w:tr>
      <w:tr w14:paraId="036B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6DE39407">
            <w:pPr>
              <w:spacing w:line="480" w:lineRule="exact"/>
              <w:jc w:val="center"/>
              <w:rPr>
                <w:rFonts w:ascii="宋体" w:hAnsi="宋体" w:cs="仿宋"/>
                <w:sz w:val="24"/>
              </w:rPr>
            </w:pPr>
            <w:r>
              <w:rPr>
                <w:rFonts w:hint="eastAsia" w:ascii="宋体" w:hAnsi="宋体" w:cs="仿宋"/>
                <w:sz w:val="24"/>
              </w:rPr>
              <w:t>2</w:t>
            </w:r>
          </w:p>
        </w:tc>
        <w:tc>
          <w:tcPr>
            <w:tcW w:w="3720" w:type="dxa"/>
            <w:vAlign w:val="center"/>
          </w:tcPr>
          <w:p w14:paraId="4B96A43A">
            <w:pPr>
              <w:spacing w:line="480" w:lineRule="exact"/>
              <w:jc w:val="center"/>
              <w:rPr>
                <w:rFonts w:ascii="宋体" w:hAnsi="宋体" w:cs="仿宋"/>
                <w:sz w:val="24"/>
              </w:rPr>
            </w:pPr>
            <w:r>
              <w:rPr>
                <w:rFonts w:hint="eastAsia" w:ascii="宋体" w:hAnsi="宋体" w:cs="仿宋"/>
                <w:sz w:val="24"/>
              </w:rPr>
              <w:t>日工作时间</w:t>
            </w:r>
          </w:p>
        </w:tc>
        <w:tc>
          <w:tcPr>
            <w:tcW w:w="1009" w:type="dxa"/>
            <w:vAlign w:val="center"/>
          </w:tcPr>
          <w:p w14:paraId="6D1C6584">
            <w:pPr>
              <w:spacing w:line="480" w:lineRule="exact"/>
              <w:jc w:val="center"/>
              <w:rPr>
                <w:rFonts w:ascii="宋体" w:hAnsi="宋体" w:cs="仿宋"/>
                <w:sz w:val="24"/>
              </w:rPr>
            </w:pPr>
          </w:p>
        </w:tc>
        <w:tc>
          <w:tcPr>
            <w:tcW w:w="1391" w:type="dxa"/>
            <w:vAlign w:val="center"/>
          </w:tcPr>
          <w:p w14:paraId="3194B232">
            <w:pPr>
              <w:spacing w:line="480" w:lineRule="exact"/>
              <w:jc w:val="center"/>
              <w:rPr>
                <w:rFonts w:ascii="宋体" w:hAnsi="宋体" w:cs="仿宋"/>
                <w:sz w:val="24"/>
              </w:rPr>
            </w:pPr>
          </w:p>
        </w:tc>
        <w:tc>
          <w:tcPr>
            <w:tcW w:w="1807" w:type="dxa"/>
            <w:vAlign w:val="center"/>
          </w:tcPr>
          <w:p w14:paraId="64D669FF">
            <w:pPr>
              <w:spacing w:line="480" w:lineRule="exact"/>
              <w:jc w:val="center"/>
              <w:rPr>
                <w:rFonts w:ascii="宋体" w:hAnsi="宋体" w:cs="仿宋"/>
                <w:sz w:val="24"/>
              </w:rPr>
            </w:pPr>
          </w:p>
        </w:tc>
      </w:tr>
      <w:tr w14:paraId="6842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13DA8D2E">
            <w:pPr>
              <w:spacing w:line="480" w:lineRule="exact"/>
              <w:jc w:val="center"/>
              <w:rPr>
                <w:rFonts w:ascii="宋体" w:hAnsi="宋体" w:cs="仿宋"/>
                <w:sz w:val="24"/>
              </w:rPr>
            </w:pPr>
          </w:p>
        </w:tc>
        <w:tc>
          <w:tcPr>
            <w:tcW w:w="3720" w:type="dxa"/>
            <w:vAlign w:val="center"/>
          </w:tcPr>
          <w:p w14:paraId="19B5D4FC">
            <w:pPr>
              <w:spacing w:line="480" w:lineRule="exact"/>
              <w:jc w:val="center"/>
              <w:rPr>
                <w:rFonts w:ascii="宋体" w:hAnsi="宋体" w:cs="仿宋"/>
                <w:sz w:val="24"/>
              </w:rPr>
            </w:pPr>
            <w:r>
              <w:rPr>
                <w:rFonts w:hint="eastAsia" w:ascii="宋体" w:hAnsi="宋体" w:cs="仿宋"/>
                <w:sz w:val="24"/>
              </w:rPr>
              <w:t>原料接收至缓冲仓</w:t>
            </w:r>
          </w:p>
        </w:tc>
        <w:tc>
          <w:tcPr>
            <w:tcW w:w="1009" w:type="dxa"/>
            <w:vAlign w:val="center"/>
          </w:tcPr>
          <w:p w14:paraId="6B5AEB70">
            <w:pPr>
              <w:spacing w:line="480" w:lineRule="exact"/>
              <w:jc w:val="center"/>
              <w:rPr>
                <w:rFonts w:ascii="宋体" w:hAnsi="宋体" w:cs="仿宋"/>
                <w:sz w:val="24"/>
              </w:rPr>
            </w:pPr>
            <w:r>
              <w:rPr>
                <w:rFonts w:hint="eastAsia" w:ascii="宋体" w:hAnsi="宋体" w:cs="仿宋"/>
                <w:sz w:val="24"/>
              </w:rPr>
              <w:t>h</w:t>
            </w:r>
          </w:p>
        </w:tc>
        <w:tc>
          <w:tcPr>
            <w:tcW w:w="1391" w:type="dxa"/>
            <w:vAlign w:val="center"/>
          </w:tcPr>
          <w:p w14:paraId="1FC0C27E">
            <w:pPr>
              <w:spacing w:line="480" w:lineRule="exact"/>
              <w:jc w:val="center"/>
              <w:rPr>
                <w:rFonts w:ascii="宋体" w:hAnsi="宋体" w:cs="仿宋"/>
                <w:sz w:val="24"/>
              </w:rPr>
            </w:pPr>
          </w:p>
        </w:tc>
        <w:tc>
          <w:tcPr>
            <w:tcW w:w="1807" w:type="dxa"/>
            <w:vAlign w:val="center"/>
          </w:tcPr>
          <w:p w14:paraId="627C8716">
            <w:pPr>
              <w:spacing w:line="480" w:lineRule="exact"/>
              <w:jc w:val="center"/>
              <w:rPr>
                <w:rFonts w:ascii="宋体" w:hAnsi="宋体" w:cs="仿宋"/>
                <w:sz w:val="24"/>
              </w:rPr>
            </w:pPr>
          </w:p>
        </w:tc>
      </w:tr>
      <w:tr w14:paraId="57C25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67CAF628">
            <w:pPr>
              <w:spacing w:line="480" w:lineRule="exact"/>
              <w:jc w:val="center"/>
              <w:rPr>
                <w:rFonts w:ascii="宋体" w:hAnsi="宋体" w:cs="仿宋"/>
                <w:sz w:val="24"/>
              </w:rPr>
            </w:pPr>
          </w:p>
        </w:tc>
        <w:tc>
          <w:tcPr>
            <w:tcW w:w="3720" w:type="dxa"/>
            <w:vAlign w:val="center"/>
          </w:tcPr>
          <w:p w14:paraId="04E1A292">
            <w:pPr>
              <w:spacing w:line="480" w:lineRule="exact"/>
              <w:jc w:val="center"/>
              <w:rPr>
                <w:rFonts w:ascii="宋体" w:hAnsi="宋体" w:cs="仿宋"/>
                <w:sz w:val="24"/>
              </w:rPr>
            </w:pPr>
            <w:r>
              <w:rPr>
                <w:rFonts w:hint="eastAsia" w:ascii="宋体" w:hAnsi="宋体" w:cs="仿宋"/>
                <w:sz w:val="24"/>
              </w:rPr>
              <w:t>缓冲仓至化学浆车间</w:t>
            </w:r>
          </w:p>
        </w:tc>
        <w:tc>
          <w:tcPr>
            <w:tcW w:w="1009" w:type="dxa"/>
            <w:vAlign w:val="center"/>
          </w:tcPr>
          <w:p w14:paraId="4DD456F8">
            <w:pPr>
              <w:spacing w:line="480" w:lineRule="exact"/>
              <w:jc w:val="center"/>
              <w:rPr>
                <w:rFonts w:ascii="宋体" w:hAnsi="宋体" w:cs="仿宋"/>
                <w:sz w:val="24"/>
              </w:rPr>
            </w:pPr>
            <w:r>
              <w:rPr>
                <w:rFonts w:hint="eastAsia" w:ascii="宋体" w:hAnsi="宋体" w:cs="仿宋"/>
                <w:sz w:val="24"/>
              </w:rPr>
              <w:t>h</w:t>
            </w:r>
          </w:p>
        </w:tc>
        <w:tc>
          <w:tcPr>
            <w:tcW w:w="1391" w:type="dxa"/>
            <w:vAlign w:val="center"/>
          </w:tcPr>
          <w:p w14:paraId="365ADD18">
            <w:pPr>
              <w:spacing w:line="480" w:lineRule="exact"/>
              <w:jc w:val="center"/>
              <w:rPr>
                <w:rFonts w:ascii="宋体" w:hAnsi="宋体" w:cs="仿宋"/>
                <w:sz w:val="24"/>
              </w:rPr>
            </w:pPr>
            <w:r>
              <w:rPr>
                <w:rFonts w:hint="eastAsia" w:ascii="宋体" w:hAnsi="宋体" w:cs="仿宋"/>
                <w:sz w:val="24"/>
              </w:rPr>
              <w:t>24</w:t>
            </w:r>
          </w:p>
        </w:tc>
        <w:tc>
          <w:tcPr>
            <w:tcW w:w="1807" w:type="dxa"/>
            <w:vAlign w:val="center"/>
          </w:tcPr>
          <w:p w14:paraId="2D6430AB">
            <w:pPr>
              <w:spacing w:line="480" w:lineRule="exact"/>
              <w:jc w:val="center"/>
              <w:rPr>
                <w:rFonts w:ascii="宋体" w:hAnsi="宋体" w:cs="仿宋"/>
                <w:sz w:val="24"/>
              </w:rPr>
            </w:pPr>
          </w:p>
        </w:tc>
      </w:tr>
      <w:tr w14:paraId="4F34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2A10DDED">
            <w:pPr>
              <w:spacing w:line="480" w:lineRule="exact"/>
              <w:jc w:val="center"/>
              <w:rPr>
                <w:rFonts w:ascii="宋体" w:hAnsi="宋体" w:cs="仿宋"/>
                <w:sz w:val="24"/>
              </w:rPr>
            </w:pPr>
            <w:r>
              <w:rPr>
                <w:rFonts w:hint="eastAsia" w:ascii="宋体" w:hAnsi="宋体" w:cs="仿宋"/>
                <w:sz w:val="24"/>
              </w:rPr>
              <w:t>3</w:t>
            </w:r>
          </w:p>
        </w:tc>
        <w:tc>
          <w:tcPr>
            <w:tcW w:w="3720" w:type="dxa"/>
            <w:vAlign w:val="center"/>
          </w:tcPr>
          <w:p w14:paraId="6C0C01B4">
            <w:pPr>
              <w:spacing w:line="480" w:lineRule="exact"/>
              <w:jc w:val="center"/>
              <w:rPr>
                <w:rFonts w:ascii="宋体" w:hAnsi="宋体" w:cs="仿宋"/>
                <w:sz w:val="24"/>
              </w:rPr>
            </w:pPr>
            <w:r>
              <w:rPr>
                <w:rFonts w:hint="eastAsia" w:ascii="宋体" w:hAnsi="宋体" w:cs="仿宋"/>
                <w:sz w:val="24"/>
              </w:rPr>
              <w:t>设计能力</w:t>
            </w:r>
          </w:p>
        </w:tc>
        <w:tc>
          <w:tcPr>
            <w:tcW w:w="1009" w:type="dxa"/>
            <w:vAlign w:val="center"/>
          </w:tcPr>
          <w:p w14:paraId="48A53A3E">
            <w:pPr>
              <w:spacing w:line="480" w:lineRule="exact"/>
              <w:jc w:val="center"/>
              <w:rPr>
                <w:rFonts w:ascii="宋体" w:hAnsi="宋体" w:cs="仿宋"/>
                <w:sz w:val="24"/>
              </w:rPr>
            </w:pPr>
          </w:p>
        </w:tc>
        <w:tc>
          <w:tcPr>
            <w:tcW w:w="1391" w:type="dxa"/>
            <w:vAlign w:val="center"/>
          </w:tcPr>
          <w:p w14:paraId="78558818">
            <w:pPr>
              <w:spacing w:line="480" w:lineRule="exact"/>
              <w:jc w:val="center"/>
              <w:rPr>
                <w:rFonts w:ascii="宋体" w:hAnsi="宋体" w:cs="仿宋"/>
                <w:sz w:val="24"/>
              </w:rPr>
            </w:pPr>
          </w:p>
        </w:tc>
        <w:tc>
          <w:tcPr>
            <w:tcW w:w="1807" w:type="dxa"/>
            <w:vAlign w:val="center"/>
          </w:tcPr>
          <w:p w14:paraId="313503F9">
            <w:pPr>
              <w:spacing w:line="480" w:lineRule="exact"/>
              <w:jc w:val="center"/>
              <w:rPr>
                <w:rFonts w:ascii="宋体" w:hAnsi="宋体" w:cs="仿宋"/>
                <w:sz w:val="24"/>
              </w:rPr>
            </w:pPr>
          </w:p>
        </w:tc>
      </w:tr>
      <w:tr w14:paraId="00E67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54126EE1">
            <w:pPr>
              <w:spacing w:line="480" w:lineRule="exact"/>
              <w:jc w:val="center"/>
              <w:rPr>
                <w:rFonts w:ascii="宋体" w:hAnsi="宋体" w:cs="仿宋"/>
                <w:sz w:val="24"/>
              </w:rPr>
            </w:pPr>
          </w:p>
        </w:tc>
        <w:tc>
          <w:tcPr>
            <w:tcW w:w="3720" w:type="dxa"/>
            <w:vAlign w:val="center"/>
          </w:tcPr>
          <w:p w14:paraId="00527F10">
            <w:pPr>
              <w:spacing w:line="480" w:lineRule="exact"/>
              <w:jc w:val="center"/>
              <w:rPr>
                <w:rFonts w:ascii="宋体" w:hAnsi="宋体" w:cs="仿宋"/>
                <w:sz w:val="24"/>
              </w:rPr>
            </w:pPr>
            <w:r>
              <w:rPr>
                <w:rFonts w:hint="eastAsia" w:ascii="宋体" w:hAnsi="宋体" w:cs="仿宋"/>
                <w:sz w:val="24"/>
              </w:rPr>
              <w:t>原料接收</w:t>
            </w:r>
          </w:p>
        </w:tc>
        <w:tc>
          <w:tcPr>
            <w:tcW w:w="1009" w:type="dxa"/>
            <w:vAlign w:val="center"/>
          </w:tcPr>
          <w:p w14:paraId="71FE0220">
            <w:pPr>
              <w:spacing w:line="480" w:lineRule="exact"/>
              <w:jc w:val="center"/>
              <w:rPr>
                <w:rFonts w:ascii="宋体" w:hAnsi="宋体" w:cs="仿宋"/>
                <w:sz w:val="24"/>
              </w:rPr>
            </w:pPr>
            <w:r>
              <w:rPr>
                <w:rFonts w:hint="eastAsia" w:ascii="宋体" w:hAnsi="宋体" w:cs="仿宋"/>
                <w:sz w:val="24"/>
              </w:rPr>
              <w:drawing>
                <wp:inline distT="0" distB="0" distL="114300" distR="114300">
                  <wp:extent cx="431800" cy="20320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31800" cy="203200"/>
                          </a:xfrm>
                          <a:prstGeom prst="rect">
                            <a:avLst/>
                          </a:prstGeom>
                          <a:noFill/>
                          <a:ln>
                            <a:noFill/>
                          </a:ln>
                        </pic:spPr>
                      </pic:pic>
                    </a:graphicData>
                  </a:graphic>
                </wp:inline>
              </w:drawing>
            </w:r>
          </w:p>
        </w:tc>
        <w:tc>
          <w:tcPr>
            <w:tcW w:w="1391" w:type="dxa"/>
            <w:vAlign w:val="center"/>
          </w:tcPr>
          <w:p w14:paraId="09E89655">
            <w:pPr>
              <w:spacing w:line="480" w:lineRule="exact"/>
              <w:jc w:val="center"/>
              <w:rPr>
                <w:rFonts w:ascii="宋体" w:hAnsi="宋体" w:cs="仿宋"/>
                <w:sz w:val="24"/>
              </w:rPr>
            </w:pPr>
          </w:p>
        </w:tc>
        <w:tc>
          <w:tcPr>
            <w:tcW w:w="1807" w:type="dxa"/>
            <w:vAlign w:val="center"/>
          </w:tcPr>
          <w:p w14:paraId="22C288CD">
            <w:pPr>
              <w:spacing w:line="480" w:lineRule="exact"/>
              <w:jc w:val="center"/>
              <w:rPr>
                <w:rFonts w:ascii="宋体" w:hAnsi="宋体" w:cs="仿宋"/>
                <w:sz w:val="24"/>
              </w:rPr>
            </w:pPr>
          </w:p>
        </w:tc>
      </w:tr>
      <w:tr w14:paraId="17327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18E2E7EE">
            <w:pPr>
              <w:spacing w:line="480" w:lineRule="exact"/>
              <w:jc w:val="center"/>
              <w:rPr>
                <w:rFonts w:ascii="宋体" w:hAnsi="宋体" w:cs="仿宋"/>
                <w:sz w:val="24"/>
              </w:rPr>
            </w:pPr>
          </w:p>
        </w:tc>
        <w:tc>
          <w:tcPr>
            <w:tcW w:w="3720" w:type="dxa"/>
            <w:vAlign w:val="center"/>
          </w:tcPr>
          <w:p w14:paraId="021DEC58">
            <w:pPr>
              <w:spacing w:line="480" w:lineRule="exact"/>
              <w:jc w:val="center"/>
              <w:rPr>
                <w:rFonts w:ascii="宋体" w:hAnsi="宋体" w:cs="仿宋"/>
                <w:sz w:val="24"/>
              </w:rPr>
            </w:pPr>
            <w:r>
              <w:rPr>
                <w:rFonts w:hint="eastAsia" w:ascii="宋体" w:hAnsi="宋体" w:cs="仿宋"/>
                <w:sz w:val="24"/>
              </w:rPr>
              <w:t>原料筛选</w:t>
            </w:r>
          </w:p>
        </w:tc>
        <w:tc>
          <w:tcPr>
            <w:tcW w:w="1009" w:type="dxa"/>
            <w:vAlign w:val="center"/>
          </w:tcPr>
          <w:p w14:paraId="7D476E4A">
            <w:pPr>
              <w:spacing w:line="480" w:lineRule="exact"/>
              <w:jc w:val="center"/>
              <w:rPr>
                <w:rFonts w:ascii="宋体" w:hAnsi="宋体" w:cs="仿宋"/>
                <w:sz w:val="24"/>
              </w:rPr>
            </w:pPr>
            <w:r>
              <w:rPr>
                <w:rFonts w:hint="eastAsia" w:ascii="宋体" w:hAnsi="宋体" w:cs="仿宋"/>
                <w:sz w:val="24"/>
              </w:rPr>
              <w:drawing>
                <wp:inline distT="0" distB="0" distL="114300" distR="114300">
                  <wp:extent cx="431800" cy="203200"/>
                  <wp:effectExtent l="0" t="0" r="6350" b="508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3"/>
                          <a:stretch>
                            <a:fillRect/>
                          </a:stretch>
                        </pic:blipFill>
                        <pic:spPr>
                          <a:xfrm>
                            <a:off x="0" y="0"/>
                            <a:ext cx="431800" cy="203200"/>
                          </a:xfrm>
                          <a:prstGeom prst="rect">
                            <a:avLst/>
                          </a:prstGeom>
                          <a:noFill/>
                          <a:ln>
                            <a:noFill/>
                          </a:ln>
                        </pic:spPr>
                      </pic:pic>
                    </a:graphicData>
                  </a:graphic>
                </wp:inline>
              </w:drawing>
            </w:r>
          </w:p>
        </w:tc>
        <w:tc>
          <w:tcPr>
            <w:tcW w:w="1391" w:type="dxa"/>
            <w:vAlign w:val="center"/>
          </w:tcPr>
          <w:p w14:paraId="6548725E">
            <w:pPr>
              <w:spacing w:line="480" w:lineRule="exact"/>
              <w:jc w:val="center"/>
              <w:rPr>
                <w:rFonts w:ascii="宋体" w:hAnsi="宋体" w:cs="仿宋"/>
                <w:sz w:val="24"/>
              </w:rPr>
            </w:pPr>
          </w:p>
        </w:tc>
        <w:tc>
          <w:tcPr>
            <w:tcW w:w="1807" w:type="dxa"/>
            <w:vAlign w:val="center"/>
          </w:tcPr>
          <w:p w14:paraId="2838EA36">
            <w:pPr>
              <w:spacing w:line="480" w:lineRule="exact"/>
              <w:jc w:val="center"/>
              <w:rPr>
                <w:rFonts w:ascii="宋体" w:hAnsi="宋体" w:cs="仿宋"/>
                <w:sz w:val="24"/>
              </w:rPr>
            </w:pPr>
          </w:p>
        </w:tc>
      </w:tr>
      <w:tr w14:paraId="785A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20" w:type="dxa"/>
            <w:vAlign w:val="center"/>
          </w:tcPr>
          <w:p w14:paraId="1EEC1117">
            <w:pPr>
              <w:spacing w:line="480" w:lineRule="exact"/>
              <w:jc w:val="center"/>
              <w:rPr>
                <w:rFonts w:ascii="宋体" w:hAnsi="宋体" w:cs="仿宋"/>
                <w:sz w:val="24"/>
              </w:rPr>
            </w:pPr>
          </w:p>
        </w:tc>
        <w:tc>
          <w:tcPr>
            <w:tcW w:w="3720" w:type="dxa"/>
            <w:vAlign w:val="center"/>
          </w:tcPr>
          <w:p w14:paraId="35DF47A0">
            <w:pPr>
              <w:spacing w:line="480" w:lineRule="exact"/>
              <w:jc w:val="center"/>
              <w:rPr>
                <w:rFonts w:ascii="宋体" w:hAnsi="宋体" w:cs="仿宋"/>
                <w:sz w:val="24"/>
              </w:rPr>
            </w:pPr>
            <w:r>
              <w:rPr>
                <w:rFonts w:hint="eastAsia" w:ascii="宋体" w:hAnsi="宋体" w:cs="仿宋"/>
                <w:sz w:val="24"/>
              </w:rPr>
              <w:t>原料堆场堆料</w:t>
            </w:r>
          </w:p>
        </w:tc>
        <w:tc>
          <w:tcPr>
            <w:tcW w:w="1009" w:type="dxa"/>
            <w:vAlign w:val="center"/>
          </w:tcPr>
          <w:p w14:paraId="5A1E7B72">
            <w:pPr>
              <w:spacing w:line="480" w:lineRule="exact"/>
              <w:jc w:val="center"/>
              <w:rPr>
                <w:rFonts w:ascii="宋体" w:hAnsi="宋体" w:cs="仿宋"/>
                <w:sz w:val="24"/>
              </w:rPr>
            </w:pPr>
            <w:r>
              <w:rPr>
                <w:rFonts w:hint="eastAsia" w:ascii="宋体" w:hAnsi="宋体" w:cs="仿宋"/>
                <w:sz w:val="24"/>
              </w:rPr>
              <w:drawing>
                <wp:inline distT="0" distB="0" distL="114300" distR="114300">
                  <wp:extent cx="431800" cy="203200"/>
                  <wp:effectExtent l="0" t="0" r="6350" b="508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3"/>
                          <a:stretch>
                            <a:fillRect/>
                          </a:stretch>
                        </pic:blipFill>
                        <pic:spPr>
                          <a:xfrm>
                            <a:off x="0" y="0"/>
                            <a:ext cx="431800" cy="203200"/>
                          </a:xfrm>
                          <a:prstGeom prst="rect">
                            <a:avLst/>
                          </a:prstGeom>
                          <a:noFill/>
                          <a:ln>
                            <a:noFill/>
                          </a:ln>
                        </pic:spPr>
                      </pic:pic>
                    </a:graphicData>
                  </a:graphic>
                </wp:inline>
              </w:drawing>
            </w:r>
          </w:p>
        </w:tc>
        <w:tc>
          <w:tcPr>
            <w:tcW w:w="1391" w:type="dxa"/>
            <w:vAlign w:val="center"/>
          </w:tcPr>
          <w:p w14:paraId="00B89FE6">
            <w:pPr>
              <w:spacing w:line="480" w:lineRule="exact"/>
              <w:jc w:val="center"/>
              <w:rPr>
                <w:rFonts w:ascii="宋体" w:hAnsi="宋体" w:cs="仿宋"/>
                <w:sz w:val="24"/>
              </w:rPr>
            </w:pPr>
          </w:p>
        </w:tc>
        <w:tc>
          <w:tcPr>
            <w:tcW w:w="1807" w:type="dxa"/>
            <w:vAlign w:val="center"/>
          </w:tcPr>
          <w:p w14:paraId="72B747EC">
            <w:pPr>
              <w:spacing w:line="480" w:lineRule="exact"/>
              <w:ind w:firstLine="120" w:firstLineChars="50"/>
              <w:jc w:val="center"/>
              <w:rPr>
                <w:rFonts w:ascii="宋体" w:hAnsi="宋体" w:cs="仿宋"/>
                <w:sz w:val="24"/>
              </w:rPr>
            </w:pPr>
          </w:p>
        </w:tc>
      </w:tr>
      <w:tr w14:paraId="2446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20" w:type="dxa"/>
            <w:vAlign w:val="center"/>
          </w:tcPr>
          <w:p w14:paraId="7163B53D">
            <w:pPr>
              <w:spacing w:line="480" w:lineRule="exact"/>
              <w:jc w:val="center"/>
              <w:rPr>
                <w:rFonts w:ascii="宋体" w:hAnsi="宋体" w:cs="仿宋"/>
                <w:sz w:val="24"/>
              </w:rPr>
            </w:pPr>
          </w:p>
        </w:tc>
        <w:tc>
          <w:tcPr>
            <w:tcW w:w="3720" w:type="dxa"/>
            <w:vAlign w:val="center"/>
          </w:tcPr>
          <w:p w14:paraId="4EB68F21">
            <w:pPr>
              <w:spacing w:line="480" w:lineRule="exact"/>
              <w:jc w:val="center"/>
              <w:rPr>
                <w:rFonts w:ascii="宋体" w:hAnsi="宋体" w:cs="仿宋"/>
                <w:sz w:val="24"/>
              </w:rPr>
            </w:pPr>
            <w:r>
              <w:rPr>
                <w:rFonts w:hint="eastAsia" w:ascii="宋体" w:hAnsi="宋体" w:cs="仿宋"/>
                <w:sz w:val="24"/>
              </w:rPr>
              <w:t>原料堆场容积（合格竹片）</w:t>
            </w:r>
          </w:p>
        </w:tc>
        <w:tc>
          <w:tcPr>
            <w:tcW w:w="1009" w:type="dxa"/>
            <w:vAlign w:val="center"/>
          </w:tcPr>
          <w:p w14:paraId="596245C9">
            <w:pPr>
              <w:spacing w:line="480" w:lineRule="exact"/>
              <w:jc w:val="center"/>
              <w:rPr>
                <w:rFonts w:ascii="宋体" w:hAnsi="宋体" w:cs="仿宋"/>
                <w:sz w:val="24"/>
              </w:rPr>
            </w:pPr>
            <w:r>
              <w:rPr>
                <w:rFonts w:hint="eastAsia" w:ascii="宋体" w:hAnsi="宋体" w:cs="仿宋"/>
                <w:sz w:val="24"/>
              </w:rPr>
              <w:drawing>
                <wp:inline distT="0" distB="0" distL="114300" distR="114300">
                  <wp:extent cx="220345" cy="203200"/>
                  <wp:effectExtent l="0" t="0" r="825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20345" cy="203200"/>
                          </a:xfrm>
                          <a:prstGeom prst="rect">
                            <a:avLst/>
                          </a:prstGeom>
                          <a:noFill/>
                          <a:ln>
                            <a:noFill/>
                          </a:ln>
                        </pic:spPr>
                      </pic:pic>
                    </a:graphicData>
                  </a:graphic>
                </wp:inline>
              </w:drawing>
            </w:r>
          </w:p>
        </w:tc>
        <w:tc>
          <w:tcPr>
            <w:tcW w:w="1391" w:type="dxa"/>
            <w:vAlign w:val="center"/>
          </w:tcPr>
          <w:p w14:paraId="5492C62F">
            <w:pPr>
              <w:spacing w:line="480" w:lineRule="exact"/>
              <w:jc w:val="center"/>
              <w:rPr>
                <w:rFonts w:ascii="宋体" w:hAnsi="宋体" w:cs="仿宋"/>
                <w:sz w:val="24"/>
              </w:rPr>
            </w:pPr>
            <w:r>
              <w:rPr>
                <w:rFonts w:ascii="宋体" w:hAnsi="宋体" w:cs="仿宋"/>
                <w:sz w:val="24"/>
              </w:rPr>
              <w:t>8</w:t>
            </w:r>
            <w:r>
              <w:rPr>
                <w:rFonts w:hint="eastAsia" w:ascii="宋体" w:hAnsi="宋体" w:cs="仿宋"/>
                <w:sz w:val="24"/>
              </w:rPr>
              <w:t>0000</w:t>
            </w:r>
          </w:p>
        </w:tc>
        <w:tc>
          <w:tcPr>
            <w:tcW w:w="1807" w:type="dxa"/>
            <w:vAlign w:val="center"/>
          </w:tcPr>
          <w:p w14:paraId="752FD9A3">
            <w:pPr>
              <w:adjustRightInd w:val="0"/>
              <w:snapToGrid w:val="0"/>
              <w:spacing w:line="240" w:lineRule="atLeast"/>
              <w:jc w:val="center"/>
              <w:rPr>
                <w:rFonts w:ascii="宋体" w:hAnsi="宋体" w:cs="仿宋"/>
                <w:sz w:val="24"/>
              </w:rPr>
            </w:pPr>
            <w:r>
              <w:rPr>
                <w:rFonts w:hint="eastAsia" w:ascii="宋体" w:hAnsi="宋体" w:cs="仿宋"/>
                <w:sz w:val="24"/>
              </w:rPr>
              <w:t>不小于8万m</w:t>
            </w:r>
            <w:r>
              <w:rPr>
                <w:rFonts w:ascii="宋体" w:hAnsi="宋体" w:cs="仿宋"/>
                <w:sz w:val="24"/>
                <w:vertAlign w:val="superscript"/>
              </w:rPr>
              <w:t>3</w:t>
            </w:r>
          </w:p>
        </w:tc>
      </w:tr>
      <w:tr w14:paraId="36F79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20" w:type="dxa"/>
            <w:vAlign w:val="center"/>
          </w:tcPr>
          <w:p w14:paraId="1F6D30F7">
            <w:pPr>
              <w:spacing w:line="480" w:lineRule="exact"/>
              <w:jc w:val="center"/>
              <w:rPr>
                <w:rFonts w:ascii="宋体" w:hAnsi="宋体" w:cs="仿宋"/>
                <w:sz w:val="24"/>
              </w:rPr>
            </w:pPr>
          </w:p>
        </w:tc>
        <w:tc>
          <w:tcPr>
            <w:tcW w:w="3720" w:type="dxa"/>
            <w:vAlign w:val="center"/>
          </w:tcPr>
          <w:p w14:paraId="2DE6A398">
            <w:pPr>
              <w:spacing w:line="480" w:lineRule="exact"/>
              <w:jc w:val="center"/>
              <w:rPr>
                <w:rFonts w:ascii="宋体" w:hAnsi="宋体" w:cs="仿宋"/>
                <w:sz w:val="24"/>
              </w:rPr>
            </w:pPr>
            <w:r>
              <w:rPr>
                <w:rFonts w:hint="eastAsia" w:ascii="宋体" w:hAnsi="宋体" w:cs="仿宋"/>
                <w:sz w:val="24"/>
              </w:rPr>
              <w:t>原料堆场出料</w:t>
            </w:r>
          </w:p>
        </w:tc>
        <w:tc>
          <w:tcPr>
            <w:tcW w:w="1009" w:type="dxa"/>
            <w:vAlign w:val="center"/>
          </w:tcPr>
          <w:p w14:paraId="7391AD89">
            <w:pPr>
              <w:spacing w:line="480" w:lineRule="exact"/>
              <w:jc w:val="center"/>
              <w:rPr>
                <w:rFonts w:ascii="宋体" w:hAnsi="宋体" w:cs="仿宋"/>
                <w:sz w:val="24"/>
              </w:rPr>
            </w:pPr>
            <w:r>
              <w:rPr>
                <w:rFonts w:hint="eastAsia" w:ascii="宋体" w:hAnsi="宋体" w:cs="仿宋"/>
                <w:sz w:val="24"/>
              </w:rPr>
              <w:drawing>
                <wp:inline distT="0" distB="0" distL="114300" distR="114300">
                  <wp:extent cx="431800" cy="203200"/>
                  <wp:effectExtent l="0" t="0" r="635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431800" cy="203200"/>
                          </a:xfrm>
                          <a:prstGeom prst="rect">
                            <a:avLst/>
                          </a:prstGeom>
                          <a:noFill/>
                          <a:ln>
                            <a:noFill/>
                          </a:ln>
                        </pic:spPr>
                      </pic:pic>
                    </a:graphicData>
                  </a:graphic>
                </wp:inline>
              </w:drawing>
            </w:r>
          </w:p>
        </w:tc>
        <w:tc>
          <w:tcPr>
            <w:tcW w:w="1391" w:type="dxa"/>
            <w:vAlign w:val="center"/>
          </w:tcPr>
          <w:p w14:paraId="74D52588">
            <w:pPr>
              <w:spacing w:line="480" w:lineRule="exact"/>
              <w:jc w:val="center"/>
              <w:rPr>
                <w:rFonts w:ascii="宋体" w:hAnsi="宋体" w:cs="仿宋"/>
                <w:sz w:val="24"/>
              </w:rPr>
            </w:pPr>
          </w:p>
        </w:tc>
        <w:tc>
          <w:tcPr>
            <w:tcW w:w="1807" w:type="dxa"/>
            <w:vAlign w:val="center"/>
          </w:tcPr>
          <w:p w14:paraId="1D2D3E94">
            <w:pPr>
              <w:spacing w:line="480" w:lineRule="exact"/>
              <w:jc w:val="center"/>
              <w:rPr>
                <w:rFonts w:ascii="宋体" w:hAnsi="宋体" w:cs="仿宋"/>
                <w:sz w:val="24"/>
              </w:rPr>
            </w:pPr>
          </w:p>
        </w:tc>
      </w:tr>
      <w:tr w14:paraId="1184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720" w:type="dxa"/>
            <w:vAlign w:val="center"/>
          </w:tcPr>
          <w:p w14:paraId="430EC96F">
            <w:pPr>
              <w:spacing w:line="480" w:lineRule="exact"/>
              <w:jc w:val="center"/>
              <w:rPr>
                <w:rFonts w:ascii="宋体" w:hAnsi="宋体" w:cs="仿宋"/>
                <w:sz w:val="24"/>
              </w:rPr>
            </w:pPr>
            <w:r>
              <w:rPr>
                <w:rFonts w:hint="eastAsia" w:ascii="宋体" w:hAnsi="宋体" w:cs="仿宋"/>
                <w:sz w:val="24"/>
              </w:rPr>
              <w:t>4</w:t>
            </w:r>
          </w:p>
        </w:tc>
        <w:tc>
          <w:tcPr>
            <w:tcW w:w="3720" w:type="dxa"/>
            <w:vAlign w:val="center"/>
          </w:tcPr>
          <w:p w14:paraId="0AC0B583">
            <w:pPr>
              <w:spacing w:line="480" w:lineRule="exact"/>
              <w:jc w:val="center"/>
              <w:rPr>
                <w:rFonts w:ascii="宋体" w:hAnsi="宋体" w:cs="仿宋"/>
                <w:sz w:val="24"/>
              </w:rPr>
            </w:pPr>
            <w:r>
              <w:rPr>
                <w:rFonts w:ascii="宋体" w:hAnsi="宋体" w:cs="仿宋"/>
                <w:sz w:val="24"/>
              </w:rPr>
              <w:t>……</w:t>
            </w:r>
          </w:p>
        </w:tc>
        <w:tc>
          <w:tcPr>
            <w:tcW w:w="1009" w:type="dxa"/>
            <w:vAlign w:val="center"/>
          </w:tcPr>
          <w:p w14:paraId="2FD36A82">
            <w:pPr>
              <w:spacing w:line="480" w:lineRule="exact"/>
              <w:jc w:val="center"/>
              <w:rPr>
                <w:rFonts w:ascii="宋体" w:hAnsi="宋体" w:cs="仿宋"/>
                <w:sz w:val="24"/>
              </w:rPr>
            </w:pPr>
          </w:p>
        </w:tc>
        <w:tc>
          <w:tcPr>
            <w:tcW w:w="1391" w:type="dxa"/>
            <w:vAlign w:val="center"/>
          </w:tcPr>
          <w:p w14:paraId="180C440A">
            <w:pPr>
              <w:spacing w:line="480" w:lineRule="exact"/>
              <w:jc w:val="center"/>
              <w:rPr>
                <w:rFonts w:ascii="宋体" w:hAnsi="宋体" w:cs="仿宋"/>
                <w:sz w:val="24"/>
              </w:rPr>
            </w:pPr>
          </w:p>
        </w:tc>
        <w:tc>
          <w:tcPr>
            <w:tcW w:w="1807" w:type="dxa"/>
            <w:vAlign w:val="center"/>
          </w:tcPr>
          <w:p w14:paraId="41CB142D">
            <w:pPr>
              <w:spacing w:line="480" w:lineRule="exact"/>
              <w:jc w:val="center"/>
              <w:rPr>
                <w:rFonts w:ascii="宋体" w:hAnsi="宋体" w:cs="仿宋"/>
                <w:sz w:val="24"/>
              </w:rPr>
            </w:pPr>
          </w:p>
        </w:tc>
      </w:tr>
    </w:tbl>
    <w:p w14:paraId="72D28E84">
      <w:pPr>
        <w:tabs>
          <w:tab w:val="left" w:pos="858"/>
        </w:tabs>
        <w:kinsoku w:val="0"/>
        <w:overflowPunct w:val="0"/>
        <w:spacing w:before="96" w:after="120" w:line="500" w:lineRule="exact"/>
        <w:rPr>
          <w:rFonts w:ascii="仿宋" w:hAnsi="Times New Roman" w:eastAsia="仿宋"/>
          <w:b/>
          <w:kern w:val="0"/>
          <w:szCs w:val="20"/>
          <w:lang w:val="zh-CN"/>
        </w:rPr>
      </w:pPr>
    </w:p>
    <w:p w14:paraId="711464B9">
      <w:pPr>
        <w:pStyle w:val="3"/>
        <w:spacing w:before="156" w:after="156"/>
        <w:ind w:firstLine="281"/>
      </w:pPr>
      <w:bookmarkStart w:id="52" w:name="_Toc20575"/>
      <w:bookmarkStart w:id="53" w:name="_Toc12372"/>
      <w:bookmarkStart w:id="54" w:name="_Toc6003"/>
      <w:r>
        <w:rPr>
          <w:rFonts w:hint="eastAsia"/>
        </w:rPr>
        <w:t>4、</w:t>
      </w:r>
      <w:bookmarkEnd w:id="52"/>
      <w:bookmarkEnd w:id="53"/>
      <w:bookmarkEnd w:id="54"/>
      <w:r>
        <w:rPr>
          <w:rFonts w:hint="eastAsia"/>
        </w:rPr>
        <w:t>原料筛洗选后的质量要求</w:t>
      </w:r>
    </w:p>
    <w:p w14:paraId="3A17EA16">
      <w:pPr>
        <w:pStyle w:val="5"/>
        <w:ind w:firstLine="720" w:firstLineChars="300"/>
      </w:pPr>
      <w:r>
        <w:rPr>
          <w:rFonts w:hint="eastAsia"/>
        </w:rPr>
        <w:t>筛选后原料合格率≥90%。</w:t>
      </w:r>
    </w:p>
    <w:p w14:paraId="4B32096D">
      <w:pPr>
        <w:pStyle w:val="5"/>
        <w:ind w:firstLine="480"/>
      </w:pPr>
      <w:r>
        <w:rPr>
          <w:rFonts w:hint="eastAsia"/>
        </w:rPr>
        <w:t>4.1、原料合格率的测定：</w:t>
      </w:r>
    </w:p>
    <w:p w14:paraId="2C2EFC3A">
      <w:pPr>
        <w:pStyle w:val="23"/>
        <w:ind w:firstLine="960" w:firstLineChars="400"/>
        <w:rPr>
          <w:rFonts w:hint="default"/>
        </w:rPr>
      </w:pPr>
      <w:r>
        <w:t>备料验收振动筛规格：上层缝筛8mm，中层孔筛14mm，底层孔筛5mm。</w:t>
      </w:r>
    </w:p>
    <w:p w14:paraId="79FA1A54">
      <w:pPr>
        <w:pStyle w:val="23"/>
        <w:ind w:left="720" w:firstLine="240" w:firstLineChars="100"/>
        <w:rPr>
          <w:rFonts w:hint="default"/>
        </w:rPr>
      </w:pPr>
      <w:r>
        <w:t>将样品称重，记录样品总重，倒入振动筛中铺平，设定筛选时间为120秒。筛选完成后，最底一层为碎末，从其余各层检出大片、长条、节子、树皮、杂质、杂木、朽材，然后分别称取各成份的重量，计算出合格率、可用部分及不可用部分含量。</w:t>
      </w:r>
    </w:p>
    <w:p w14:paraId="0350AFA4">
      <w:pPr>
        <w:pStyle w:val="23"/>
        <w:ind w:firstLine="720"/>
        <w:rPr>
          <w:rFonts w:hint="default"/>
        </w:rPr>
      </w:pPr>
      <w:r>
        <w:t>大片含量（%）＝【样品中大片重量（克）÷样品总重量（克）】×100</w:t>
      </w:r>
    </w:p>
    <w:p w14:paraId="7605B6F8">
      <w:pPr>
        <w:pStyle w:val="23"/>
        <w:ind w:firstLine="720"/>
        <w:rPr>
          <w:rFonts w:hint="default"/>
        </w:rPr>
      </w:pPr>
      <w:r>
        <w:t>长条含量（%）＝【样品中长条重量（克）÷样品总重量（克）】×100</w:t>
      </w:r>
    </w:p>
    <w:p w14:paraId="11410C77">
      <w:pPr>
        <w:pStyle w:val="23"/>
        <w:ind w:firstLine="720"/>
        <w:rPr>
          <w:rFonts w:hint="default"/>
        </w:rPr>
      </w:pPr>
      <w:r>
        <w:t>节子含量（%）＝【样品中节子重量（克）÷样品总重量（克）】×100</w:t>
      </w:r>
    </w:p>
    <w:p w14:paraId="469149BA">
      <w:pPr>
        <w:pStyle w:val="23"/>
        <w:ind w:firstLine="720"/>
        <w:rPr>
          <w:rFonts w:hint="default"/>
        </w:rPr>
      </w:pPr>
      <w:r>
        <w:t>树皮含量（%）＝【样品中树皮重量（克）÷样品总重量（克）】×100</w:t>
      </w:r>
    </w:p>
    <w:p w14:paraId="09663C00">
      <w:pPr>
        <w:pStyle w:val="23"/>
        <w:ind w:firstLine="720"/>
        <w:rPr>
          <w:rFonts w:hint="default"/>
        </w:rPr>
      </w:pPr>
      <w:r>
        <w:t>朽材含量（%）＝【样品中朽材重量（克）÷样品总重量（克）】×100</w:t>
      </w:r>
    </w:p>
    <w:p w14:paraId="18116862">
      <w:pPr>
        <w:pStyle w:val="23"/>
        <w:ind w:firstLine="720"/>
        <w:rPr>
          <w:rFonts w:hint="default"/>
        </w:rPr>
      </w:pPr>
      <w:r>
        <w:t>杂木含量（%）＝【样品中杂木重量（克）÷样品总重量（克）】×100</w:t>
      </w:r>
    </w:p>
    <w:p w14:paraId="52782C84">
      <w:pPr>
        <w:pStyle w:val="23"/>
        <w:ind w:firstLine="720"/>
        <w:rPr>
          <w:rFonts w:hint="default"/>
        </w:rPr>
      </w:pPr>
      <w:r>
        <w:t>碎末含量（%）＝【样品中碎末重量（克）÷样品总重量（克）】×100</w:t>
      </w:r>
    </w:p>
    <w:p w14:paraId="5E3671F7">
      <w:pPr>
        <w:pStyle w:val="23"/>
        <w:ind w:firstLine="720"/>
        <w:rPr>
          <w:rFonts w:hint="default"/>
        </w:rPr>
      </w:pPr>
      <w:r>
        <w:t>可用部分含量（%）＝大片含量（%）+长条含量（%）+节子含量（%）</w:t>
      </w:r>
    </w:p>
    <w:p w14:paraId="42912345">
      <w:pPr>
        <w:pStyle w:val="23"/>
        <w:ind w:firstLine="720"/>
        <w:rPr>
          <w:rFonts w:hint="default"/>
        </w:rPr>
      </w:pPr>
      <w:r>
        <w:t>合格率（%）＝100—可用部分含量（%）—树皮含量（%）—朽材、碎末含量（%）</w:t>
      </w:r>
    </w:p>
    <w:p w14:paraId="460E7E6E">
      <w:pPr>
        <w:pStyle w:val="5"/>
        <w:ind w:firstLine="480"/>
      </w:pPr>
      <w:r>
        <w:rPr>
          <w:rFonts w:hint="eastAsia"/>
        </w:rPr>
        <w:t>4.2、原料水分的测定：</w:t>
      </w:r>
    </w:p>
    <w:p w14:paraId="0AAC92CA">
      <w:pPr>
        <w:pStyle w:val="23"/>
        <w:ind w:left="720" w:firstLine="480" w:firstLineChars="200"/>
        <w:rPr>
          <w:rFonts w:hint="default"/>
        </w:rPr>
      </w:pPr>
      <w:r>
        <w:t>在备料验收振动筛的合格层中先取一饭盒合格片留存；再取一标准杯的合格片称重（约300g），记录重量和预估水分；将样品平铺在烘烤盘上，置于烘箱内，在（120±5）℃在恒温度下，烘干至恒重（时间不少于5小时），烘后迅速称取重量。计算原料水分并记录。</w:t>
      </w:r>
    </w:p>
    <w:p w14:paraId="65CAE9C8">
      <w:pPr>
        <w:pStyle w:val="23"/>
        <w:ind w:left="720" w:firstLine="480" w:firstLineChars="200"/>
        <w:rPr>
          <w:rFonts w:hint="default"/>
        </w:rPr>
      </w:pPr>
      <w:r>
        <w:t>将实测水分与预估水分相比较，如预估水分与实测水分相差3.0%以上，将留存在饭盒中的样品按相同方法进行水分复测。</w:t>
      </w:r>
    </w:p>
    <w:p w14:paraId="2A59389F">
      <w:pPr>
        <w:pStyle w:val="3"/>
        <w:spacing w:before="156" w:after="156"/>
        <w:ind w:firstLine="281"/>
      </w:pPr>
      <w:bookmarkStart w:id="55" w:name="_Toc11247"/>
      <w:bookmarkStart w:id="56" w:name="_Toc5665"/>
      <w:bookmarkStart w:id="57" w:name="_Toc32496"/>
      <w:r>
        <w:rPr>
          <w:rFonts w:hint="eastAsia"/>
        </w:rPr>
        <w:t>5、设备</w:t>
      </w:r>
      <w:bookmarkEnd w:id="55"/>
      <w:bookmarkEnd w:id="56"/>
      <w:bookmarkEnd w:id="57"/>
    </w:p>
    <w:p w14:paraId="2D98AD7F">
      <w:pPr>
        <w:jc w:val="center"/>
        <w:rPr>
          <w:sz w:val="24"/>
          <w:szCs w:val="21"/>
        </w:rPr>
      </w:pPr>
      <w:r>
        <w:rPr>
          <w:rFonts w:hint="eastAsia"/>
          <w:sz w:val="24"/>
          <w:szCs w:val="21"/>
        </w:rPr>
        <w:t>备料工段主要工艺设备清单</w:t>
      </w:r>
    </w:p>
    <w:tbl>
      <w:tblPr>
        <w:tblStyle w:val="18"/>
        <w:tblW w:w="9169"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67"/>
        <w:gridCol w:w="3558"/>
        <w:gridCol w:w="926"/>
        <w:gridCol w:w="825"/>
        <w:gridCol w:w="3093"/>
      </w:tblGrid>
      <w:tr w14:paraId="4EE462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2" w:hRule="atLeast"/>
        </w:trPr>
        <w:tc>
          <w:tcPr>
            <w:tcW w:w="767" w:type="dxa"/>
          </w:tcPr>
          <w:p w14:paraId="46D9123E">
            <w:pPr>
              <w:spacing w:line="480" w:lineRule="exact"/>
              <w:jc w:val="center"/>
              <w:rPr>
                <w:rFonts w:ascii="宋体" w:hAnsi="宋体" w:cs="仿宋"/>
                <w:sz w:val="22"/>
              </w:rPr>
            </w:pPr>
            <w:r>
              <w:rPr>
                <w:rFonts w:hint="eastAsia" w:ascii="宋体" w:hAnsi="宋体" w:cs="仿宋"/>
                <w:sz w:val="22"/>
              </w:rPr>
              <w:t>序号</w:t>
            </w:r>
          </w:p>
        </w:tc>
        <w:tc>
          <w:tcPr>
            <w:tcW w:w="3558" w:type="dxa"/>
          </w:tcPr>
          <w:p w14:paraId="223B1122">
            <w:pPr>
              <w:spacing w:line="480" w:lineRule="exact"/>
              <w:jc w:val="center"/>
              <w:rPr>
                <w:rFonts w:ascii="宋体" w:hAnsi="宋体" w:cs="仿宋"/>
                <w:sz w:val="22"/>
              </w:rPr>
            </w:pPr>
            <w:r>
              <w:rPr>
                <w:rFonts w:hint="eastAsia" w:ascii="宋体" w:hAnsi="宋体" w:cs="仿宋"/>
                <w:sz w:val="22"/>
              </w:rPr>
              <w:t>设备名称</w:t>
            </w:r>
          </w:p>
        </w:tc>
        <w:tc>
          <w:tcPr>
            <w:tcW w:w="926" w:type="dxa"/>
          </w:tcPr>
          <w:p w14:paraId="593A9B01">
            <w:pPr>
              <w:spacing w:line="480" w:lineRule="exact"/>
              <w:jc w:val="center"/>
              <w:rPr>
                <w:rFonts w:ascii="宋体" w:hAnsi="宋体" w:cs="仿宋"/>
                <w:sz w:val="22"/>
              </w:rPr>
            </w:pPr>
            <w:r>
              <w:rPr>
                <w:rFonts w:hint="eastAsia" w:ascii="宋体" w:hAnsi="宋体" w:cs="仿宋"/>
                <w:sz w:val="22"/>
              </w:rPr>
              <w:t>单 位</w:t>
            </w:r>
          </w:p>
        </w:tc>
        <w:tc>
          <w:tcPr>
            <w:tcW w:w="825" w:type="dxa"/>
          </w:tcPr>
          <w:p w14:paraId="2BBA7744">
            <w:pPr>
              <w:spacing w:line="480" w:lineRule="exact"/>
              <w:jc w:val="center"/>
              <w:rPr>
                <w:rFonts w:ascii="宋体" w:hAnsi="宋体" w:cs="仿宋"/>
                <w:sz w:val="22"/>
              </w:rPr>
            </w:pPr>
            <w:r>
              <w:rPr>
                <w:rFonts w:hint="eastAsia" w:ascii="宋体" w:hAnsi="宋体" w:cs="仿宋"/>
                <w:sz w:val="22"/>
              </w:rPr>
              <w:t>数 量</w:t>
            </w:r>
          </w:p>
        </w:tc>
        <w:tc>
          <w:tcPr>
            <w:tcW w:w="3093" w:type="dxa"/>
          </w:tcPr>
          <w:p w14:paraId="2C5BAA7F">
            <w:pPr>
              <w:spacing w:line="480" w:lineRule="exact"/>
              <w:jc w:val="center"/>
              <w:rPr>
                <w:rFonts w:ascii="宋体" w:hAnsi="宋体" w:cs="仿宋"/>
                <w:sz w:val="22"/>
              </w:rPr>
            </w:pPr>
            <w:r>
              <w:rPr>
                <w:rFonts w:hint="eastAsia" w:ascii="宋体" w:hAnsi="宋体" w:cs="仿宋"/>
                <w:sz w:val="22"/>
              </w:rPr>
              <w:t>备 注</w:t>
            </w:r>
          </w:p>
        </w:tc>
      </w:tr>
      <w:tr w14:paraId="6ED465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767" w:type="dxa"/>
          </w:tcPr>
          <w:p w14:paraId="11005073">
            <w:pPr>
              <w:spacing w:line="480" w:lineRule="exact"/>
              <w:jc w:val="center"/>
              <w:rPr>
                <w:rFonts w:ascii="宋体" w:hAnsi="宋体" w:cs="仿宋"/>
                <w:sz w:val="22"/>
                <w:lang w:val="en-AU"/>
              </w:rPr>
            </w:pPr>
            <w:r>
              <w:rPr>
                <w:rFonts w:ascii="宋体" w:hAnsi="宋体" w:cs="仿宋"/>
                <w:sz w:val="22"/>
                <w:lang w:val="en-AU"/>
              </w:rPr>
              <w:t>1</w:t>
            </w:r>
          </w:p>
        </w:tc>
        <w:tc>
          <w:tcPr>
            <w:tcW w:w="3558" w:type="dxa"/>
          </w:tcPr>
          <w:p w14:paraId="7A243DB4">
            <w:pPr>
              <w:spacing w:line="480" w:lineRule="exact"/>
              <w:rPr>
                <w:rFonts w:ascii="宋体" w:hAnsi="宋体" w:cs="仿宋"/>
                <w:sz w:val="22"/>
              </w:rPr>
            </w:pPr>
            <w:r>
              <w:rPr>
                <w:rFonts w:hint="eastAsia" w:ascii="宋体" w:hAnsi="宋体" w:cs="仿宋"/>
                <w:sz w:val="22"/>
              </w:rPr>
              <w:t>原料筛</w:t>
            </w:r>
          </w:p>
        </w:tc>
        <w:tc>
          <w:tcPr>
            <w:tcW w:w="926" w:type="dxa"/>
          </w:tcPr>
          <w:p w14:paraId="060A4117">
            <w:pPr>
              <w:spacing w:line="480" w:lineRule="exact"/>
              <w:jc w:val="center"/>
              <w:rPr>
                <w:rFonts w:ascii="宋体" w:hAnsi="宋体" w:cs="仿宋"/>
                <w:sz w:val="22"/>
              </w:rPr>
            </w:pPr>
            <w:r>
              <w:rPr>
                <w:rFonts w:hint="eastAsia" w:ascii="宋体" w:hAnsi="宋体" w:cs="仿宋"/>
                <w:sz w:val="22"/>
              </w:rPr>
              <w:t>台</w:t>
            </w:r>
          </w:p>
        </w:tc>
        <w:tc>
          <w:tcPr>
            <w:tcW w:w="825" w:type="dxa"/>
          </w:tcPr>
          <w:p w14:paraId="75AB96DF">
            <w:pPr>
              <w:spacing w:line="480" w:lineRule="exact"/>
              <w:jc w:val="center"/>
              <w:rPr>
                <w:rFonts w:ascii="宋体" w:hAnsi="宋体" w:cs="仿宋"/>
                <w:sz w:val="22"/>
              </w:rPr>
            </w:pPr>
          </w:p>
        </w:tc>
        <w:tc>
          <w:tcPr>
            <w:tcW w:w="3093" w:type="dxa"/>
          </w:tcPr>
          <w:p w14:paraId="077796AA">
            <w:pPr>
              <w:spacing w:line="480" w:lineRule="exact"/>
              <w:rPr>
                <w:rFonts w:ascii="宋体" w:hAnsi="宋体" w:cs="仿宋"/>
                <w:sz w:val="22"/>
              </w:rPr>
            </w:pPr>
          </w:p>
        </w:tc>
      </w:tr>
      <w:tr w14:paraId="101D49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767" w:type="dxa"/>
          </w:tcPr>
          <w:p w14:paraId="6B58A38D">
            <w:pPr>
              <w:spacing w:line="480" w:lineRule="exact"/>
              <w:jc w:val="center"/>
              <w:rPr>
                <w:rFonts w:ascii="宋体" w:hAnsi="宋体" w:cs="仿宋"/>
                <w:sz w:val="22"/>
                <w:lang w:val="en-AU"/>
              </w:rPr>
            </w:pPr>
            <w:r>
              <w:rPr>
                <w:rFonts w:ascii="宋体" w:hAnsi="宋体" w:cs="仿宋"/>
                <w:sz w:val="22"/>
                <w:lang w:val="en-AU"/>
              </w:rPr>
              <w:t>2</w:t>
            </w:r>
          </w:p>
        </w:tc>
        <w:tc>
          <w:tcPr>
            <w:tcW w:w="3558" w:type="dxa"/>
          </w:tcPr>
          <w:p w14:paraId="00B92609">
            <w:pPr>
              <w:spacing w:line="480" w:lineRule="exact"/>
              <w:rPr>
                <w:rFonts w:ascii="宋体" w:hAnsi="宋体" w:cs="仿宋"/>
                <w:sz w:val="22"/>
              </w:rPr>
            </w:pPr>
            <w:r>
              <w:rPr>
                <w:rFonts w:hint="eastAsia" w:ascii="宋体" w:hAnsi="宋体" w:cs="仿宋"/>
                <w:sz w:val="22"/>
              </w:rPr>
              <w:t>再碎机</w:t>
            </w:r>
          </w:p>
        </w:tc>
        <w:tc>
          <w:tcPr>
            <w:tcW w:w="926" w:type="dxa"/>
          </w:tcPr>
          <w:p w14:paraId="69812F7C">
            <w:pPr>
              <w:spacing w:line="480" w:lineRule="exact"/>
              <w:jc w:val="center"/>
              <w:rPr>
                <w:rFonts w:ascii="宋体" w:hAnsi="宋体" w:cs="仿宋"/>
                <w:sz w:val="22"/>
              </w:rPr>
            </w:pPr>
            <w:r>
              <w:rPr>
                <w:rFonts w:hint="eastAsia" w:ascii="宋体" w:hAnsi="宋体" w:cs="仿宋"/>
                <w:sz w:val="22"/>
              </w:rPr>
              <w:t>台</w:t>
            </w:r>
          </w:p>
        </w:tc>
        <w:tc>
          <w:tcPr>
            <w:tcW w:w="825" w:type="dxa"/>
          </w:tcPr>
          <w:p w14:paraId="76420E8C">
            <w:pPr>
              <w:spacing w:line="480" w:lineRule="exact"/>
              <w:jc w:val="center"/>
              <w:rPr>
                <w:rFonts w:ascii="宋体" w:hAnsi="宋体" w:cs="仿宋"/>
                <w:sz w:val="22"/>
              </w:rPr>
            </w:pPr>
          </w:p>
        </w:tc>
        <w:tc>
          <w:tcPr>
            <w:tcW w:w="3093" w:type="dxa"/>
          </w:tcPr>
          <w:p w14:paraId="58E4D3F6">
            <w:pPr>
              <w:spacing w:line="480" w:lineRule="exact"/>
              <w:rPr>
                <w:rFonts w:ascii="宋体" w:hAnsi="宋体" w:cs="仿宋"/>
                <w:sz w:val="22"/>
              </w:rPr>
            </w:pPr>
          </w:p>
        </w:tc>
      </w:tr>
      <w:tr w14:paraId="2A1CD5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0" w:hRule="exact"/>
        </w:trPr>
        <w:tc>
          <w:tcPr>
            <w:tcW w:w="767" w:type="dxa"/>
          </w:tcPr>
          <w:p w14:paraId="50D99AB9">
            <w:pPr>
              <w:spacing w:line="480" w:lineRule="exact"/>
              <w:jc w:val="center"/>
              <w:rPr>
                <w:rFonts w:ascii="宋体" w:hAnsi="宋体" w:cs="仿宋"/>
                <w:sz w:val="22"/>
                <w:lang w:val="en-AU"/>
              </w:rPr>
            </w:pPr>
            <w:r>
              <w:rPr>
                <w:rFonts w:ascii="宋体" w:hAnsi="宋体" w:cs="仿宋"/>
                <w:sz w:val="22"/>
                <w:lang w:val="en-AU"/>
              </w:rPr>
              <w:t>3</w:t>
            </w:r>
          </w:p>
        </w:tc>
        <w:tc>
          <w:tcPr>
            <w:tcW w:w="3558" w:type="dxa"/>
          </w:tcPr>
          <w:p w14:paraId="1FE6DF6F">
            <w:pPr>
              <w:spacing w:line="400" w:lineRule="exact"/>
              <w:rPr>
                <w:rFonts w:ascii="宋体" w:hAnsi="宋体" w:cs="仿宋"/>
                <w:sz w:val="22"/>
              </w:rPr>
            </w:pPr>
            <w:r>
              <w:rPr>
                <w:rFonts w:hint="eastAsia" w:ascii="宋体" w:hAnsi="宋体" w:cs="仿宋"/>
                <w:sz w:val="22"/>
              </w:rPr>
              <w:t>螺旋取料机</w:t>
            </w:r>
          </w:p>
        </w:tc>
        <w:tc>
          <w:tcPr>
            <w:tcW w:w="926" w:type="dxa"/>
          </w:tcPr>
          <w:p w14:paraId="0712125A">
            <w:pPr>
              <w:spacing w:line="480" w:lineRule="exact"/>
              <w:jc w:val="center"/>
              <w:rPr>
                <w:rFonts w:ascii="宋体" w:hAnsi="宋体" w:cs="仿宋"/>
                <w:sz w:val="22"/>
              </w:rPr>
            </w:pPr>
            <w:r>
              <w:rPr>
                <w:rFonts w:hint="eastAsia" w:ascii="宋体" w:hAnsi="宋体" w:cs="仿宋"/>
                <w:sz w:val="22"/>
              </w:rPr>
              <w:t>套</w:t>
            </w:r>
          </w:p>
        </w:tc>
        <w:tc>
          <w:tcPr>
            <w:tcW w:w="825" w:type="dxa"/>
          </w:tcPr>
          <w:p w14:paraId="0753F54D">
            <w:pPr>
              <w:spacing w:line="480" w:lineRule="exact"/>
              <w:jc w:val="center"/>
              <w:rPr>
                <w:rFonts w:ascii="宋体" w:hAnsi="宋体" w:cs="仿宋"/>
                <w:sz w:val="22"/>
              </w:rPr>
            </w:pPr>
          </w:p>
        </w:tc>
        <w:tc>
          <w:tcPr>
            <w:tcW w:w="3093" w:type="dxa"/>
          </w:tcPr>
          <w:p w14:paraId="2FA55DAA">
            <w:pPr>
              <w:spacing w:line="400" w:lineRule="exact"/>
              <w:rPr>
                <w:rFonts w:ascii="宋体" w:hAnsi="宋体" w:cs="仿宋"/>
                <w:sz w:val="22"/>
              </w:rPr>
            </w:pPr>
          </w:p>
        </w:tc>
      </w:tr>
      <w:tr w14:paraId="0FA0D8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767" w:type="dxa"/>
          </w:tcPr>
          <w:p w14:paraId="4C4D9783">
            <w:pPr>
              <w:spacing w:line="480" w:lineRule="exact"/>
              <w:jc w:val="center"/>
              <w:rPr>
                <w:rFonts w:ascii="宋体" w:hAnsi="宋体" w:cs="仿宋"/>
                <w:sz w:val="22"/>
                <w:lang w:val="en-AU"/>
              </w:rPr>
            </w:pPr>
            <w:r>
              <w:rPr>
                <w:rFonts w:ascii="宋体" w:hAnsi="宋体" w:cs="仿宋"/>
                <w:sz w:val="22"/>
                <w:lang w:val="en-AU"/>
              </w:rPr>
              <w:t>4</w:t>
            </w:r>
          </w:p>
        </w:tc>
        <w:tc>
          <w:tcPr>
            <w:tcW w:w="3558" w:type="dxa"/>
          </w:tcPr>
          <w:p w14:paraId="73F04415">
            <w:pPr>
              <w:spacing w:line="480" w:lineRule="exact"/>
              <w:rPr>
                <w:rFonts w:ascii="宋体" w:hAnsi="宋体" w:cs="仿宋"/>
                <w:sz w:val="22"/>
              </w:rPr>
            </w:pPr>
            <w:r>
              <w:rPr>
                <w:rFonts w:hint="eastAsia" w:ascii="宋体" w:hAnsi="宋体" w:cs="仿宋"/>
                <w:sz w:val="22"/>
              </w:rPr>
              <w:t>洗涤机</w:t>
            </w:r>
          </w:p>
        </w:tc>
        <w:tc>
          <w:tcPr>
            <w:tcW w:w="926" w:type="dxa"/>
          </w:tcPr>
          <w:p w14:paraId="75FC8F98">
            <w:pPr>
              <w:spacing w:line="480" w:lineRule="exact"/>
              <w:jc w:val="center"/>
              <w:rPr>
                <w:rFonts w:ascii="宋体" w:hAnsi="宋体" w:cs="仿宋"/>
                <w:sz w:val="22"/>
              </w:rPr>
            </w:pPr>
            <w:r>
              <w:rPr>
                <w:rFonts w:hint="eastAsia" w:ascii="宋体" w:hAnsi="宋体" w:cs="仿宋"/>
                <w:sz w:val="22"/>
              </w:rPr>
              <w:t>台</w:t>
            </w:r>
          </w:p>
        </w:tc>
        <w:tc>
          <w:tcPr>
            <w:tcW w:w="825" w:type="dxa"/>
          </w:tcPr>
          <w:p w14:paraId="713225FB">
            <w:pPr>
              <w:spacing w:line="480" w:lineRule="exact"/>
              <w:jc w:val="center"/>
              <w:rPr>
                <w:rFonts w:ascii="宋体" w:hAnsi="宋体" w:cs="仿宋"/>
                <w:sz w:val="22"/>
              </w:rPr>
            </w:pPr>
          </w:p>
        </w:tc>
        <w:tc>
          <w:tcPr>
            <w:tcW w:w="3093" w:type="dxa"/>
          </w:tcPr>
          <w:p w14:paraId="12EB2A52">
            <w:pPr>
              <w:spacing w:line="480" w:lineRule="exact"/>
              <w:rPr>
                <w:rFonts w:ascii="宋体" w:hAnsi="宋体" w:cs="仿宋"/>
                <w:sz w:val="22"/>
              </w:rPr>
            </w:pPr>
          </w:p>
        </w:tc>
      </w:tr>
      <w:tr w14:paraId="15B427B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767" w:type="dxa"/>
          </w:tcPr>
          <w:p w14:paraId="4009A9F6">
            <w:pPr>
              <w:spacing w:line="480" w:lineRule="exact"/>
              <w:jc w:val="center"/>
              <w:rPr>
                <w:rFonts w:ascii="宋体" w:hAnsi="宋体" w:cs="仿宋"/>
                <w:sz w:val="22"/>
                <w:lang w:val="en-AU"/>
              </w:rPr>
            </w:pPr>
            <w:r>
              <w:rPr>
                <w:rFonts w:ascii="宋体" w:hAnsi="宋体" w:cs="仿宋"/>
                <w:sz w:val="22"/>
                <w:lang w:val="en-AU"/>
              </w:rPr>
              <w:t>5</w:t>
            </w:r>
          </w:p>
        </w:tc>
        <w:tc>
          <w:tcPr>
            <w:tcW w:w="3558" w:type="dxa"/>
          </w:tcPr>
          <w:p w14:paraId="1781C28D">
            <w:pPr>
              <w:spacing w:line="480" w:lineRule="exact"/>
              <w:rPr>
                <w:rFonts w:ascii="宋体" w:hAnsi="宋体" w:cs="仿宋"/>
                <w:sz w:val="22"/>
              </w:rPr>
            </w:pPr>
            <w:r>
              <w:rPr>
                <w:rFonts w:hint="eastAsia" w:ascii="宋体" w:hAnsi="宋体" w:cs="仿宋"/>
                <w:sz w:val="22"/>
              </w:rPr>
              <w:t>缓冲仓</w:t>
            </w:r>
          </w:p>
        </w:tc>
        <w:tc>
          <w:tcPr>
            <w:tcW w:w="926" w:type="dxa"/>
          </w:tcPr>
          <w:p w14:paraId="637B4687">
            <w:pPr>
              <w:spacing w:line="480" w:lineRule="exact"/>
              <w:jc w:val="center"/>
              <w:rPr>
                <w:rFonts w:ascii="宋体" w:hAnsi="宋体" w:cs="仿宋"/>
                <w:sz w:val="22"/>
              </w:rPr>
            </w:pPr>
            <w:r>
              <w:rPr>
                <w:rFonts w:hint="eastAsia" w:ascii="宋体" w:hAnsi="宋体" w:cs="仿宋"/>
                <w:sz w:val="22"/>
              </w:rPr>
              <w:t>套</w:t>
            </w:r>
          </w:p>
        </w:tc>
        <w:tc>
          <w:tcPr>
            <w:tcW w:w="825" w:type="dxa"/>
          </w:tcPr>
          <w:p w14:paraId="35025568">
            <w:pPr>
              <w:spacing w:line="480" w:lineRule="exact"/>
              <w:jc w:val="center"/>
              <w:rPr>
                <w:rFonts w:ascii="宋体" w:hAnsi="宋体" w:cs="仿宋"/>
                <w:sz w:val="22"/>
              </w:rPr>
            </w:pPr>
          </w:p>
        </w:tc>
        <w:tc>
          <w:tcPr>
            <w:tcW w:w="3093" w:type="dxa"/>
          </w:tcPr>
          <w:p w14:paraId="4D462F37">
            <w:pPr>
              <w:pStyle w:val="8"/>
              <w:ind w:left="420"/>
            </w:pPr>
          </w:p>
        </w:tc>
      </w:tr>
      <w:tr w14:paraId="4C102E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767" w:type="dxa"/>
          </w:tcPr>
          <w:p w14:paraId="762A31A5">
            <w:pPr>
              <w:spacing w:line="480" w:lineRule="exact"/>
              <w:jc w:val="center"/>
              <w:rPr>
                <w:rFonts w:ascii="宋体" w:hAnsi="宋体" w:cs="仿宋"/>
                <w:sz w:val="22"/>
                <w:lang w:val="en-AU"/>
              </w:rPr>
            </w:pPr>
            <w:r>
              <w:rPr>
                <w:rFonts w:ascii="宋体" w:hAnsi="宋体" w:cs="仿宋"/>
                <w:sz w:val="22"/>
                <w:lang w:val="en-AU"/>
              </w:rPr>
              <w:t>6</w:t>
            </w:r>
          </w:p>
        </w:tc>
        <w:tc>
          <w:tcPr>
            <w:tcW w:w="3558" w:type="dxa"/>
          </w:tcPr>
          <w:p w14:paraId="7C27DE8E">
            <w:pPr>
              <w:spacing w:line="480" w:lineRule="exact"/>
              <w:rPr>
                <w:rFonts w:ascii="宋体" w:hAnsi="宋体" w:cs="仿宋"/>
                <w:sz w:val="22"/>
                <w:highlight w:val="yellow"/>
              </w:rPr>
            </w:pPr>
            <w:r>
              <w:rPr>
                <w:rFonts w:hint="eastAsia" w:ascii="宋体" w:hAnsi="宋体" w:cs="仿宋"/>
                <w:sz w:val="22"/>
              </w:rPr>
              <w:t>液压翻板</w:t>
            </w:r>
          </w:p>
        </w:tc>
        <w:tc>
          <w:tcPr>
            <w:tcW w:w="926" w:type="dxa"/>
          </w:tcPr>
          <w:p w14:paraId="2220C653">
            <w:pPr>
              <w:spacing w:line="480" w:lineRule="exact"/>
              <w:jc w:val="center"/>
              <w:rPr>
                <w:rFonts w:ascii="宋体" w:hAnsi="宋体" w:cs="仿宋"/>
                <w:sz w:val="22"/>
              </w:rPr>
            </w:pPr>
            <w:r>
              <w:rPr>
                <w:rFonts w:hint="eastAsia" w:ascii="宋体" w:hAnsi="宋体" w:cs="仿宋"/>
                <w:sz w:val="22"/>
              </w:rPr>
              <w:t>套</w:t>
            </w:r>
          </w:p>
        </w:tc>
        <w:tc>
          <w:tcPr>
            <w:tcW w:w="825" w:type="dxa"/>
          </w:tcPr>
          <w:p w14:paraId="08E84891">
            <w:pPr>
              <w:spacing w:line="480" w:lineRule="exact"/>
              <w:jc w:val="center"/>
              <w:rPr>
                <w:rFonts w:ascii="宋体" w:hAnsi="宋体" w:cs="仿宋"/>
                <w:sz w:val="22"/>
              </w:rPr>
            </w:pPr>
          </w:p>
        </w:tc>
        <w:tc>
          <w:tcPr>
            <w:tcW w:w="3093" w:type="dxa"/>
          </w:tcPr>
          <w:p w14:paraId="4472702C">
            <w:pPr>
              <w:pStyle w:val="8"/>
              <w:ind w:left="420"/>
            </w:pPr>
          </w:p>
        </w:tc>
      </w:tr>
      <w:tr w14:paraId="224CC8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767" w:type="dxa"/>
          </w:tcPr>
          <w:p w14:paraId="201083D6">
            <w:pPr>
              <w:spacing w:line="480" w:lineRule="exact"/>
              <w:jc w:val="center"/>
              <w:rPr>
                <w:rFonts w:ascii="宋体" w:hAnsi="宋体" w:cs="仿宋"/>
                <w:sz w:val="22"/>
                <w:lang w:val="en-AU"/>
              </w:rPr>
            </w:pPr>
            <w:r>
              <w:rPr>
                <w:rFonts w:ascii="宋体" w:hAnsi="宋体" w:cs="仿宋"/>
                <w:sz w:val="22"/>
                <w:lang w:val="en-AU"/>
              </w:rPr>
              <w:t>7</w:t>
            </w:r>
          </w:p>
        </w:tc>
        <w:tc>
          <w:tcPr>
            <w:tcW w:w="3558" w:type="dxa"/>
          </w:tcPr>
          <w:p w14:paraId="4665BABE">
            <w:pPr>
              <w:spacing w:line="480" w:lineRule="exact"/>
              <w:rPr>
                <w:rFonts w:ascii="宋体" w:hAnsi="宋体" w:cs="仿宋"/>
                <w:sz w:val="22"/>
              </w:rPr>
            </w:pPr>
            <w:r>
              <w:rPr>
                <w:rFonts w:ascii="宋体" w:hAnsi="宋体" w:cs="仿宋"/>
                <w:sz w:val="22"/>
              </w:rPr>
              <w:t>……</w:t>
            </w:r>
          </w:p>
        </w:tc>
        <w:tc>
          <w:tcPr>
            <w:tcW w:w="926" w:type="dxa"/>
          </w:tcPr>
          <w:p w14:paraId="6BC40887">
            <w:pPr>
              <w:spacing w:line="480" w:lineRule="exact"/>
              <w:jc w:val="center"/>
              <w:rPr>
                <w:rFonts w:ascii="宋体" w:hAnsi="宋体" w:cs="仿宋"/>
                <w:sz w:val="22"/>
              </w:rPr>
            </w:pPr>
          </w:p>
        </w:tc>
        <w:tc>
          <w:tcPr>
            <w:tcW w:w="825" w:type="dxa"/>
          </w:tcPr>
          <w:p w14:paraId="6AD40D12">
            <w:pPr>
              <w:spacing w:line="480" w:lineRule="exact"/>
              <w:jc w:val="center"/>
              <w:rPr>
                <w:rFonts w:ascii="宋体" w:hAnsi="宋体" w:cs="仿宋"/>
                <w:sz w:val="22"/>
              </w:rPr>
            </w:pPr>
          </w:p>
        </w:tc>
        <w:tc>
          <w:tcPr>
            <w:tcW w:w="3093" w:type="dxa"/>
          </w:tcPr>
          <w:p w14:paraId="3ED8752D">
            <w:pPr>
              <w:pStyle w:val="8"/>
              <w:ind w:left="420"/>
            </w:pPr>
          </w:p>
        </w:tc>
      </w:tr>
    </w:tbl>
    <w:p w14:paraId="0ADE117F">
      <w:pPr>
        <w:rPr>
          <w:rFonts w:ascii="宋体" w:hAnsi="宋体" w:cs="宋体"/>
          <w:sz w:val="24"/>
          <w:szCs w:val="24"/>
          <w:lang w:val="zh-CN"/>
        </w:rPr>
      </w:pPr>
    </w:p>
    <w:p w14:paraId="2BD5DE38">
      <w:pPr>
        <w:rPr>
          <w:rFonts w:ascii="宋体" w:hAnsi="宋体" w:cs="宋体"/>
          <w:sz w:val="24"/>
          <w:szCs w:val="24"/>
          <w:lang w:val="zh-CN"/>
        </w:rPr>
      </w:pPr>
      <w:r>
        <w:rPr>
          <w:rFonts w:hint="eastAsia" w:ascii="宋体" w:hAnsi="宋体" w:cs="宋体"/>
          <w:sz w:val="24"/>
          <w:szCs w:val="24"/>
        </w:rPr>
        <w:t>注：</w:t>
      </w:r>
      <w:r>
        <w:rPr>
          <w:rFonts w:hint="eastAsia" w:ascii="宋体" w:hAnsi="宋体" w:cs="宋体"/>
          <w:sz w:val="24"/>
          <w:szCs w:val="24"/>
          <w:lang w:val="zh-CN"/>
        </w:rPr>
        <w:t>设备详细参数由投标方提供</w:t>
      </w:r>
    </w:p>
    <w:p w14:paraId="11215105">
      <w:pPr>
        <w:pStyle w:val="2"/>
      </w:pPr>
      <w:bookmarkStart w:id="58" w:name="_Toc642"/>
      <w:bookmarkStart w:id="59" w:name="_Toc18742"/>
      <w:bookmarkStart w:id="60" w:name="_Toc28306"/>
      <w:r>
        <w:rPr>
          <w:rFonts w:hint="eastAsia"/>
        </w:rPr>
        <w:t>第三节 蒸煮工段</w:t>
      </w:r>
      <w:bookmarkEnd w:id="58"/>
      <w:bookmarkEnd w:id="59"/>
      <w:bookmarkEnd w:id="60"/>
    </w:p>
    <w:p w14:paraId="77FCE4E4">
      <w:pPr>
        <w:pStyle w:val="3"/>
        <w:spacing w:before="156" w:after="156"/>
        <w:ind w:firstLine="281"/>
      </w:pPr>
      <w:bookmarkStart w:id="61" w:name="_Toc26338"/>
      <w:bookmarkStart w:id="62" w:name="_Toc22340"/>
      <w:bookmarkStart w:id="63" w:name="_Toc16655"/>
      <w:r>
        <w:rPr>
          <w:rFonts w:hint="eastAsia"/>
        </w:rPr>
        <w:t>1、技术简要说明</w:t>
      </w:r>
      <w:bookmarkEnd w:id="61"/>
      <w:bookmarkEnd w:id="62"/>
      <w:bookmarkEnd w:id="63"/>
    </w:p>
    <w:p w14:paraId="5DB63BB5">
      <w:pPr>
        <w:pStyle w:val="5"/>
        <w:ind w:firstLine="480"/>
      </w:pPr>
      <w:r>
        <w:rPr>
          <w:rFonts w:hint="eastAsia"/>
        </w:rPr>
        <w:t>DDS置换蒸煮主要由：蒸煮锅、槽区、泵、阀门、换热器、加热器、自动化系统等设备组成。</w:t>
      </w:r>
    </w:p>
    <w:p w14:paraId="5AC2CB28">
      <w:pPr>
        <w:pStyle w:val="5"/>
        <w:ind w:firstLine="480"/>
        <w:rPr>
          <w:rFonts w:cs="宋体"/>
          <w:kern w:val="0"/>
          <w:szCs w:val="24"/>
        </w:rPr>
      </w:pPr>
      <w:r>
        <w:rPr>
          <w:rFonts w:hint="eastAsia" w:cs="宋体"/>
          <w:szCs w:val="24"/>
        </w:rPr>
        <w:t>工艺概述：蒸煮采用硫酸盐法DDS置换间歇蒸煮。共有6个阶段：料片填充、温充、热充、升温保温、置换和放锅，上述程序自动运行，无需人员干预。蒸煮系统热回收合理，黑液走热交换器管程，允许送蒸发的黑液温度88-105℃。清水冷却需设置冷却塔循环使用（非必要不使用清水）。系统使用73-75℃的蒸发轻污水替代清水，换热产生适量洗浆热水。蒸煮锅选用6台275 m</w:t>
      </w:r>
      <w:r>
        <w:rPr>
          <w:rFonts w:hint="eastAsia" w:cs="宋体"/>
          <w:szCs w:val="24"/>
          <w:vertAlign w:val="superscript"/>
        </w:rPr>
        <w:t>3</w:t>
      </w:r>
      <w:r>
        <w:rPr>
          <w:rFonts w:hint="eastAsia" w:cs="宋体"/>
          <w:szCs w:val="24"/>
        </w:rPr>
        <w:t>蒸煮锅，蒸煮设计产能7</w:t>
      </w:r>
      <w:r>
        <w:rPr>
          <w:rFonts w:cs="宋体"/>
          <w:szCs w:val="24"/>
        </w:rPr>
        <w:t>5</w:t>
      </w:r>
      <w:r>
        <w:rPr>
          <w:rFonts w:hint="eastAsia" w:cs="宋体"/>
          <w:szCs w:val="24"/>
        </w:rPr>
        <w:t>0a</w:t>
      </w:r>
      <w:r>
        <w:rPr>
          <w:rFonts w:cs="宋体"/>
          <w:szCs w:val="24"/>
        </w:rPr>
        <w:t>dt</w:t>
      </w:r>
      <w:r>
        <w:rPr>
          <w:rFonts w:hint="eastAsia" w:cs="宋体"/>
          <w:szCs w:val="24"/>
        </w:rPr>
        <w:t>/d。分别收集汇总系统产生的高低浓臭气</w:t>
      </w:r>
      <w:r>
        <w:rPr>
          <w:rFonts w:hint="eastAsia" w:cs="宋体"/>
          <w:kern w:val="0"/>
          <w:szCs w:val="24"/>
        </w:rPr>
        <w:t>，送至5#碱炉处理。汽耗指标0.75t/</w:t>
      </w:r>
      <w:r>
        <w:rPr>
          <w:rFonts w:hint="eastAsia" w:cs="宋体"/>
          <w:szCs w:val="24"/>
        </w:rPr>
        <w:t>a</w:t>
      </w:r>
      <w:r>
        <w:rPr>
          <w:rFonts w:cs="宋体"/>
          <w:szCs w:val="24"/>
        </w:rPr>
        <w:t>dt</w:t>
      </w:r>
      <w:r>
        <w:rPr>
          <w:rFonts w:hint="eastAsia" w:cs="宋体"/>
          <w:kern w:val="0"/>
          <w:szCs w:val="24"/>
        </w:rPr>
        <w:t xml:space="preserve">，4#洗浆机竖管取样纸浆硬度18-28卡伯值，质量指标满足各浆种要求的标准。 </w:t>
      </w:r>
    </w:p>
    <w:p w14:paraId="4E20C7B6">
      <w:pPr>
        <w:pStyle w:val="5"/>
        <w:ind w:firstLine="480"/>
      </w:pPr>
      <w:r>
        <w:rPr>
          <w:rFonts w:hint="eastAsia"/>
        </w:rPr>
        <w:t>制浆工段选择6台275m</w:t>
      </w:r>
      <w:r>
        <w:rPr>
          <w:rFonts w:hint="eastAsia"/>
          <w:vertAlign w:val="superscript"/>
        </w:rPr>
        <w:t>3</w:t>
      </w:r>
      <w:r>
        <w:rPr>
          <w:rFonts w:hint="eastAsia"/>
        </w:rPr>
        <w:t>蒸煮锅，采用DDS置换蒸煮，以适应原料多样性、满足灵活切换浆种的需求；通过温度梯次变化实现大量低温脱木素，更好的保护浆料质量；蒸煮总时间为270-280min。</w:t>
      </w:r>
    </w:p>
    <w:p w14:paraId="5B3394D4">
      <w:pPr>
        <w:pStyle w:val="5"/>
        <w:ind w:firstLine="480"/>
      </w:pPr>
      <w:r>
        <w:rPr>
          <w:rFonts w:hint="eastAsia"/>
        </w:rPr>
        <w:t>DDS置换蒸煮工艺生产过程复杂，由于冷热黑液交替置换频繁，温差大、冲击大，对管线设计、自动阀门的要求高；生产过程中要求防偏流、防篦子堵塞等现象，因此要选用技术先进、可靠、稳定、成熟的工艺包。蒸煮锅是核心设备，其设计要满足高效的药液置换和循环需求，避免偏流现象的发生；槽区用于储存和提供不同温度和浓度的蒸煮液，实现高效的热能和化学药品回收；泵和阀门要能满足高温、高压、强碱环境下的稳定运行，保证药液的输送和置换。</w:t>
      </w:r>
    </w:p>
    <w:p w14:paraId="2BB4EBC8">
      <w:pPr>
        <w:pStyle w:val="5"/>
        <w:ind w:firstLine="480"/>
      </w:pPr>
      <w:r>
        <w:rPr>
          <w:rFonts w:hint="eastAsia"/>
        </w:rPr>
        <w:t>在设备选材、选型上要充分考虑温度、压力、液体、气体等接触介质，对设备造成腐蚀、结垢因素，设备设计上要做到易于清洗、维护和操作。</w:t>
      </w:r>
    </w:p>
    <w:p w14:paraId="6C4D77DB">
      <w:pPr>
        <w:pStyle w:val="5"/>
        <w:ind w:firstLine="480"/>
        <w:rPr>
          <w:rFonts w:cs="宋体"/>
          <w:color w:val="000000" w:themeColor="text1"/>
          <w:szCs w:val="24"/>
          <w14:textFill>
            <w14:solidFill>
              <w14:schemeClr w14:val="tx1"/>
            </w14:solidFill>
          </w14:textFill>
        </w:rPr>
      </w:pPr>
      <w:r>
        <w:rPr>
          <w:rFonts w:hint="eastAsia" w:cs="宋体"/>
          <w:kern w:val="0"/>
          <w:szCs w:val="24"/>
        </w:rPr>
        <w:t>除机械密封用清水外，系统非必要不使用清水，</w:t>
      </w:r>
      <w:r>
        <w:rPr>
          <w:rFonts w:hint="eastAsia" w:cs="宋体"/>
          <w:color w:val="000000" w:themeColor="text1"/>
          <w:szCs w:val="24"/>
          <w14:textFill>
            <w14:solidFill>
              <w14:schemeClr w14:val="tx1"/>
            </w14:solidFill>
          </w14:textFill>
        </w:rPr>
        <w:t>冷却水、机封水等洁净污水应设计收集循环系统，最大限度减少污水排放。</w:t>
      </w:r>
    </w:p>
    <w:p w14:paraId="7418FB01">
      <w:pPr>
        <w:spacing w:line="460" w:lineRule="exact"/>
        <w:ind w:firstLine="480" w:firstLineChars="200"/>
        <w:rPr>
          <w:rFonts w:ascii="宋体" w:hAnsi="宋体" w:cs="宋体"/>
          <w:kern w:val="0"/>
          <w:sz w:val="24"/>
          <w:szCs w:val="24"/>
        </w:rPr>
      </w:pPr>
      <w:r>
        <w:rPr>
          <w:rFonts w:hint="eastAsia" w:ascii="宋体" w:hAnsi="宋体" w:cs="宋体"/>
          <w:kern w:val="0"/>
          <w:sz w:val="24"/>
          <w:szCs w:val="24"/>
        </w:rPr>
        <w:t>蒸煮污凝水送碱回收系统处理。</w:t>
      </w:r>
    </w:p>
    <w:p w14:paraId="2B19A3F7">
      <w:pPr>
        <w:pStyle w:val="5"/>
        <w:ind w:firstLine="480"/>
      </w:pPr>
      <w:r>
        <w:rPr>
          <w:rFonts w:hint="eastAsia"/>
        </w:rPr>
        <w:t>要配备有效的高低浓臭气回收系统，</w:t>
      </w:r>
      <w:r>
        <w:rPr>
          <w:rFonts w:hint="eastAsia" w:cs="宋体"/>
          <w:color w:val="000000" w:themeColor="text1"/>
          <w:szCs w:val="24"/>
          <w14:textFill>
            <w14:solidFill>
              <w14:schemeClr w14:val="tx1"/>
            </w14:solidFill>
          </w14:textFill>
        </w:rPr>
        <w:t>采用不锈钢材质管道密闭收集，</w:t>
      </w:r>
      <w:r>
        <w:rPr>
          <w:rFonts w:cs="宋体"/>
          <w:color w:val="000000" w:themeColor="text1"/>
          <w:szCs w:val="24"/>
          <w14:textFill>
            <w14:solidFill>
              <w14:schemeClr w14:val="tx1"/>
            </w14:solidFill>
          </w14:textFill>
        </w:rPr>
        <w:t>收集率</w:t>
      </w:r>
      <w:r>
        <w:rPr>
          <w:rFonts w:hint="eastAsia" w:cs="宋体"/>
          <w:color w:val="000000" w:themeColor="text1"/>
          <w:szCs w:val="24"/>
          <w14:textFill>
            <w14:solidFill>
              <w14:schemeClr w14:val="tx1"/>
            </w14:solidFill>
          </w14:textFill>
        </w:rPr>
        <w:t>不低于</w:t>
      </w:r>
      <w:r>
        <w:rPr>
          <w:rFonts w:cs="宋体"/>
          <w:color w:val="000000" w:themeColor="text1"/>
          <w:szCs w:val="24"/>
          <w14:textFill>
            <w14:solidFill>
              <w14:schemeClr w14:val="tx1"/>
            </w14:solidFill>
          </w14:textFill>
        </w:rPr>
        <w:t>95%</w:t>
      </w:r>
      <w:r>
        <w:rPr>
          <w:rFonts w:hint="eastAsia" w:cs="宋体"/>
          <w:color w:val="000000" w:themeColor="text1"/>
          <w:szCs w:val="24"/>
          <w14:textFill>
            <w14:solidFill>
              <w14:schemeClr w14:val="tx1"/>
            </w14:solidFill>
          </w14:textFill>
        </w:rPr>
        <w:t>，最终进入碱回收臭气处理系统，</w:t>
      </w:r>
      <w:r>
        <w:rPr>
          <w:rFonts w:hint="eastAsia"/>
        </w:rPr>
        <w:t>减少对环境的污染。</w:t>
      </w:r>
    </w:p>
    <w:p w14:paraId="23F7A448">
      <w:pPr>
        <w:pStyle w:val="15"/>
        <w:widowControl/>
        <w:spacing w:beforeAutospacing="0" w:afterAutospacing="0" w:line="460" w:lineRule="exact"/>
        <w:ind w:firstLine="480" w:firstLineChars="200"/>
        <w:rPr>
          <w:rFonts w:ascii="宋体" w:hAnsi="宋体" w:cs="宋体"/>
          <w:color w:val="000000" w:themeColor="text1"/>
          <w:szCs w:val="24"/>
          <w14:textFill>
            <w14:solidFill>
              <w14:schemeClr w14:val="tx1"/>
            </w14:solidFill>
          </w14:textFill>
        </w:rPr>
      </w:pPr>
      <w:bookmarkStart w:id="64" w:name="OLE_LINK4"/>
      <w:r>
        <w:rPr>
          <w:rFonts w:hint="eastAsia" w:ascii="宋体" w:hAnsi="宋体" w:cs="宋体"/>
          <w:color w:val="000000" w:themeColor="text1"/>
          <w:szCs w:val="24"/>
          <w14:textFill>
            <w14:solidFill>
              <w14:schemeClr w14:val="tx1"/>
            </w14:solidFill>
          </w14:textFill>
        </w:rPr>
        <w:t>地沟水除</w:t>
      </w:r>
      <w:bookmarkEnd w:id="64"/>
      <w:r>
        <w:rPr>
          <w:rFonts w:ascii="宋体" w:hAnsi="宋体" w:cs="宋体"/>
          <w:color w:val="000000" w:themeColor="text1"/>
          <w:szCs w:val="24"/>
          <w14:textFill>
            <w14:solidFill>
              <w14:schemeClr w14:val="tx1"/>
            </w14:solidFill>
          </w14:textFill>
        </w:rPr>
        <w:t>清洁冷却水</w:t>
      </w:r>
      <w:r>
        <w:rPr>
          <w:rFonts w:hint="eastAsia" w:ascii="宋体" w:hAnsi="宋体" w:cs="宋体"/>
          <w:color w:val="000000" w:themeColor="text1"/>
          <w:szCs w:val="24"/>
          <w14:textFill>
            <w14:solidFill>
              <w14:schemeClr w14:val="tx1"/>
            </w14:solidFill>
          </w14:textFill>
        </w:rPr>
        <w:t>、</w:t>
      </w:r>
      <w:r>
        <w:rPr>
          <w:rFonts w:ascii="宋体" w:hAnsi="宋体" w:cs="宋体"/>
          <w:color w:val="000000" w:themeColor="text1"/>
          <w:szCs w:val="24"/>
          <w14:textFill>
            <w14:solidFill>
              <w14:schemeClr w14:val="tx1"/>
            </w14:solidFill>
          </w14:textFill>
        </w:rPr>
        <w:t>设备和地面冲洗水</w:t>
      </w:r>
      <w:r>
        <w:rPr>
          <w:rFonts w:hint="eastAsia" w:ascii="宋体" w:hAnsi="宋体" w:cs="宋体"/>
          <w:color w:val="000000" w:themeColor="text1"/>
          <w:szCs w:val="24"/>
          <w14:textFill>
            <w14:solidFill>
              <w14:schemeClr w14:val="tx1"/>
            </w14:solidFill>
          </w14:textFill>
        </w:rPr>
        <w:t>、</w:t>
      </w:r>
      <w:r>
        <w:rPr>
          <w:rFonts w:ascii="宋体" w:hAnsi="宋体" w:cs="宋体"/>
          <w:color w:val="000000" w:themeColor="text1"/>
          <w:szCs w:val="24"/>
          <w14:textFill>
            <w14:solidFill>
              <w14:schemeClr w14:val="tx1"/>
            </w14:solidFill>
          </w14:textFill>
        </w:rPr>
        <w:t>低污染工艺废水</w:t>
      </w:r>
      <w:r>
        <w:rPr>
          <w:rFonts w:hint="eastAsia" w:ascii="宋体" w:hAnsi="宋体" w:cs="宋体"/>
          <w:color w:val="000000" w:themeColor="text1"/>
          <w:szCs w:val="24"/>
          <w14:textFill>
            <w14:solidFill>
              <w14:schemeClr w14:val="tx1"/>
            </w14:solidFill>
          </w14:textFill>
        </w:rPr>
        <w:t>等，不得排放</w:t>
      </w:r>
      <w:r>
        <w:rPr>
          <w:rFonts w:ascii="宋体" w:hAnsi="宋体" w:cs="宋体"/>
          <w:color w:val="000000" w:themeColor="text1"/>
          <w:szCs w:val="24"/>
          <w14:textFill>
            <w14:solidFill>
              <w14:schemeClr w14:val="tx1"/>
            </w14:solidFill>
          </w14:textFill>
        </w:rPr>
        <w:t>高浓度有机废水</w:t>
      </w:r>
      <w:r>
        <w:rPr>
          <w:rFonts w:hint="eastAsia" w:ascii="宋体" w:hAnsi="宋体" w:cs="宋体"/>
          <w:color w:val="000000" w:themeColor="text1"/>
          <w:szCs w:val="24"/>
          <w14:textFill>
            <w14:solidFill>
              <w14:schemeClr w14:val="tx1"/>
            </w14:solidFill>
          </w14:textFill>
        </w:rPr>
        <w:t>、</w:t>
      </w:r>
      <w:r>
        <w:rPr>
          <w:rFonts w:ascii="宋体" w:hAnsi="宋体" w:cs="宋体"/>
          <w:color w:val="000000" w:themeColor="text1"/>
          <w:szCs w:val="24"/>
          <w14:textFill>
            <w14:solidFill>
              <w14:schemeClr w14:val="tx1"/>
            </w14:solidFill>
          </w14:textFill>
        </w:rPr>
        <w:t>强酸、强碱</w:t>
      </w:r>
      <w:r>
        <w:rPr>
          <w:rFonts w:hint="eastAsia" w:ascii="宋体" w:hAnsi="宋体" w:cs="宋体"/>
          <w:color w:val="000000" w:themeColor="text1"/>
          <w:szCs w:val="24"/>
          <w14:textFill>
            <w14:solidFill>
              <w14:schemeClr w14:val="tx1"/>
            </w14:solidFill>
          </w14:textFill>
        </w:rPr>
        <w:t>、</w:t>
      </w:r>
      <w:r>
        <w:rPr>
          <w:rFonts w:ascii="宋体" w:hAnsi="宋体" w:cs="宋体"/>
          <w:color w:val="000000" w:themeColor="text1"/>
          <w:szCs w:val="24"/>
          <w14:textFill>
            <w14:solidFill>
              <w14:schemeClr w14:val="tx1"/>
            </w14:solidFill>
          </w14:textFill>
        </w:rPr>
        <w:t>重金属</w:t>
      </w:r>
      <w:r>
        <w:rPr>
          <w:rFonts w:hint="eastAsia" w:ascii="宋体" w:hAnsi="宋体" w:cs="宋体"/>
          <w:color w:val="000000" w:themeColor="text1"/>
          <w:szCs w:val="24"/>
          <w14:textFill>
            <w14:solidFill>
              <w14:schemeClr w14:val="tx1"/>
            </w14:solidFill>
          </w14:textFill>
        </w:rPr>
        <w:t>、</w:t>
      </w:r>
      <w:r>
        <w:rPr>
          <w:rFonts w:ascii="宋体" w:hAnsi="宋体" w:cs="宋体"/>
          <w:color w:val="000000" w:themeColor="text1"/>
          <w:szCs w:val="24"/>
          <w14:textFill>
            <w14:solidFill>
              <w14:schemeClr w14:val="tx1"/>
            </w14:solidFill>
          </w14:textFill>
        </w:rPr>
        <w:t>悬浮物浓度高、易沉积的废水</w:t>
      </w:r>
      <w:r>
        <w:rPr>
          <w:rFonts w:hint="eastAsia" w:ascii="宋体" w:hAnsi="宋体" w:cs="宋体"/>
          <w:color w:val="000000" w:themeColor="text1"/>
          <w:szCs w:val="24"/>
          <w14:textFill>
            <w14:solidFill>
              <w14:schemeClr w14:val="tx1"/>
            </w14:solidFill>
          </w14:textFill>
        </w:rPr>
        <w:t>。</w:t>
      </w:r>
    </w:p>
    <w:p w14:paraId="3BADA3EF">
      <w:pPr>
        <w:adjustRightInd w:val="0"/>
        <w:spacing w:before="31" w:beforeLines="10" w:after="62" w:afterLines="20" w:line="320" w:lineRule="atLeast"/>
        <w:rPr>
          <w:rFonts w:ascii="宋体" w:hAnsi="宋体" w:cs="宋体"/>
          <w:bCs/>
          <w:kern w:val="0"/>
          <w:sz w:val="24"/>
          <w:szCs w:val="18"/>
        </w:rPr>
      </w:pPr>
    </w:p>
    <w:p w14:paraId="085DFCB9">
      <w:pPr>
        <w:pStyle w:val="5"/>
        <w:ind w:firstLine="480"/>
      </w:pPr>
      <w:r>
        <w:rPr>
          <w:rFonts w:hint="eastAsia"/>
        </w:rPr>
        <w:t>蒸煮工段大致工艺流程参见下图：</w:t>
      </w:r>
    </w:p>
    <w:p w14:paraId="319091E1">
      <w:pPr>
        <w:pStyle w:val="35"/>
        <w:numPr>
          <w:ilvl w:val="0"/>
          <w:numId w:val="0"/>
        </w:numPr>
        <w:rPr>
          <w:rFonts w:ascii="仿宋" w:hAnsi="Times New Roman" w:eastAsia="仿宋"/>
          <w:kern w:val="0"/>
          <w:szCs w:val="20"/>
        </w:rPr>
      </w:pPr>
      <w:r>
        <w:rPr>
          <w:rFonts w:hint="eastAsia" w:ascii="仿宋" w:hAnsi="Times New Roman" w:eastAsia="仿宋"/>
          <w:kern w:val="0"/>
          <w:szCs w:val="20"/>
        </w:rPr>
        <w:drawing>
          <wp:inline distT="0" distB="0" distL="114300" distR="114300">
            <wp:extent cx="5769610" cy="2794635"/>
            <wp:effectExtent l="0" t="0" r="2540" b="5715"/>
            <wp:docPr id="6" name="图片 6" descr="ea18134f95de775cdb48827db7307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a18134f95de775cdb48827db73077d"/>
                    <pic:cNvPicPr>
                      <a:picLocks noChangeAspect="1"/>
                    </pic:cNvPicPr>
                  </pic:nvPicPr>
                  <pic:blipFill>
                    <a:blip r:embed="rId15"/>
                    <a:stretch>
                      <a:fillRect/>
                    </a:stretch>
                  </pic:blipFill>
                  <pic:spPr>
                    <a:xfrm>
                      <a:off x="0" y="0"/>
                      <a:ext cx="5769610" cy="2794635"/>
                    </a:xfrm>
                    <a:prstGeom prst="rect">
                      <a:avLst/>
                    </a:prstGeom>
                    <a:noFill/>
                    <a:ln>
                      <a:noFill/>
                    </a:ln>
                  </pic:spPr>
                </pic:pic>
              </a:graphicData>
            </a:graphic>
          </wp:inline>
        </w:drawing>
      </w:r>
    </w:p>
    <w:p w14:paraId="6FCADA71">
      <w:pPr>
        <w:pStyle w:val="35"/>
        <w:numPr>
          <w:ilvl w:val="0"/>
          <w:numId w:val="0"/>
        </w:numPr>
        <w:jc w:val="center"/>
        <w:rPr>
          <w:rFonts w:asciiTheme="minorEastAsia" w:hAnsiTheme="minorEastAsia" w:eastAsiaTheme="minorEastAsia"/>
          <w:kern w:val="0"/>
          <w:sz w:val="24"/>
          <w:szCs w:val="20"/>
        </w:rPr>
      </w:pPr>
      <w:r>
        <w:rPr>
          <w:rFonts w:hint="eastAsia" w:asciiTheme="minorEastAsia" w:hAnsiTheme="minorEastAsia" w:eastAsiaTheme="minorEastAsia"/>
          <w:kern w:val="0"/>
          <w:sz w:val="24"/>
          <w:szCs w:val="20"/>
        </w:rPr>
        <w:t>蒸煮工段工艺流程简图</w:t>
      </w:r>
    </w:p>
    <w:p w14:paraId="40516A60">
      <w:pPr>
        <w:pStyle w:val="3"/>
        <w:spacing w:before="156" w:after="156"/>
        <w:ind w:firstLine="281"/>
      </w:pPr>
      <w:bookmarkStart w:id="65" w:name="_Toc903"/>
      <w:bookmarkStart w:id="66" w:name="_Toc30949"/>
      <w:bookmarkStart w:id="67" w:name="_Toc15544"/>
      <w:r>
        <w:rPr>
          <w:rFonts w:hint="eastAsia"/>
        </w:rPr>
        <w:t>2、技术指标</w:t>
      </w:r>
      <w:bookmarkEnd w:id="65"/>
      <w:bookmarkEnd w:id="66"/>
      <w:bookmarkEnd w:id="67"/>
    </w:p>
    <w:p w14:paraId="249AAA5F">
      <w:pPr>
        <w:pStyle w:val="5"/>
        <w:ind w:firstLine="480"/>
        <w:jc w:val="center"/>
      </w:pPr>
      <w:r>
        <w:rPr>
          <w:rFonts w:hint="eastAsia"/>
        </w:rPr>
        <w:t>蒸煮工段主要工艺参数</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3"/>
        <w:gridCol w:w="1309"/>
        <w:gridCol w:w="1512"/>
        <w:gridCol w:w="1887"/>
      </w:tblGrid>
      <w:tr w14:paraId="1708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63" w:type="dxa"/>
            <w:vAlign w:val="center"/>
          </w:tcPr>
          <w:p w14:paraId="1F7DDE49">
            <w:pPr>
              <w:spacing w:line="480" w:lineRule="exact"/>
              <w:jc w:val="center"/>
              <w:rPr>
                <w:rFonts w:ascii="宋体" w:hAnsi="宋体" w:cs="仿宋"/>
                <w:sz w:val="24"/>
              </w:rPr>
            </w:pPr>
            <w:r>
              <w:rPr>
                <w:rFonts w:hint="eastAsia" w:ascii="宋体" w:hAnsi="宋体" w:cs="仿宋"/>
                <w:sz w:val="24"/>
              </w:rPr>
              <w:t>名    称</w:t>
            </w:r>
          </w:p>
        </w:tc>
        <w:tc>
          <w:tcPr>
            <w:tcW w:w="1309" w:type="dxa"/>
            <w:vAlign w:val="center"/>
          </w:tcPr>
          <w:p w14:paraId="5D9D82C2">
            <w:pPr>
              <w:spacing w:line="480" w:lineRule="exact"/>
              <w:jc w:val="center"/>
              <w:rPr>
                <w:rFonts w:ascii="宋体" w:hAnsi="宋体" w:cs="仿宋"/>
                <w:sz w:val="24"/>
              </w:rPr>
            </w:pPr>
            <w:r>
              <w:rPr>
                <w:rFonts w:hint="eastAsia" w:ascii="宋体" w:hAnsi="宋体" w:cs="仿宋"/>
                <w:sz w:val="24"/>
              </w:rPr>
              <w:t>单 位</w:t>
            </w:r>
          </w:p>
        </w:tc>
        <w:tc>
          <w:tcPr>
            <w:tcW w:w="1512" w:type="dxa"/>
            <w:vAlign w:val="center"/>
          </w:tcPr>
          <w:p w14:paraId="62EFFD6B">
            <w:pPr>
              <w:spacing w:line="480" w:lineRule="exact"/>
              <w:jc w:val="center"/>
              <w:rPr>
                <w:rFonts w:ascii="宋体" w:hAnsi="宋体" w:cs="仿宋"/>
                <w:sz w:val="24"/>
              </w:rPr>
            </w:pPr>
            <w:r>
              <w:rPr>
                <w:rFonts w:hint="eastAsia" w:ascii="宋体" w:hAnsi="宋体" w:cs="仿宋"/>
                <w:sz w:val="24"/>
              </w:rPr>
              <w:t>数 值</w:t>
            </w:r>
          </w:p>
        </w:tc>
        <w:tc>
          <w:tcPr>
            <w:tcW w:w="1887" w:type="dxa"/>
            <w:vAlign w:val="center"/>
          </w:tcPr>
          <w:p w14:paraId="606185D9">
            <w:pPr>
              <w:spacing w:line="480" w:lineRule="exact"/>
              <w:jc w:val="center"/>
              <w:rPr>
                <w:rFonts w:ascii="宋体" w:hAnsi="宋体" w:cs="仿宋"/>
                <w:sz w:val="24"/>
              </w:rPr>
            </w:pPr>
            <w:r>
              <w:rPr>
                <w:rFonts w:hint="eastAsia" w:ascii="宋体" w:hAnsi="宋体" w:cs="仿宋"/>
                <w:sz w:val="24"/>
              </w:rPr>
              <w:t>备  注</w:t>
            </w:r>
          </w:p>
        </w:tc>
      </w:tr>
      <w:tr w14:paraId="6D4B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3463" w:type="dxa"/>
            <w:vAlign w:val="center"/>
          </w:tcPr>
          <w:p w14:paraId="30DE2E20">
            <w:pPr>
              <w:spacing w:line="480" w:lineRule="exact"/>
              <w:jc w:val="center"/>
              <w:rPr>
                <w:rFonts w:ascii="宋体" w:hAnsi="宋体" w:cs="仿宋"/>
                <w:sz w:val="24"/>
              </w:rPr>
            </w:pPr>
            <w:r>
              <w:rPr>
                <w:rFonts w:hint="eastAsia" w:ascii="宋体" w:hAnsi="宋体" w:cs="仿宋"/>
                <w:sz w:val="24"/>
              </w:rPr>
              <w:t>年工作日</w:t>
            </w:r>
          </w:p>
        </w:tc>
        <w:tc>
          <w:tcPr>
            <w:tcW w:w="1309" w:type="dxa"/>
            <w:vAlign w:val="center"/>
          </w:tcPr>
          <w:p w14:paraId="06FC3A82">
            <w:pPr>
              <w:spacing w:line="480" w:lineRule="exact"/>
              <w:jc w:val="center"/>
              <w:rPr>
                <w:rFonts w:ascii="宋体" w:hAnsi="宋体" w:cs="仿宋"/>
                <w:sz w:val="24"/>
              </w:rPr>
            </w:pPr>
            <w:r>
              <w:rPr>
                <w:rFonts w:hint="eastAsia" w:ascii="宋体" w:hAnsi="宋体" w:cs="仿宋"/>
                <w:sz w:val="24"/>
              </w:rPr>
              <w:t>d</w:t>
            </w:r>
          </w:p>
        </w:tc>
        <w:tc>
          <w:tcPr>
            <w:tcW w:w="1512" w:type="dxa"/>
            <w:vAlign w:val="center"/>
          </w:tcPr>
          <w:p w14:paraId="07F93731">
            <w:pPr>
              <w:spacing w:line="480" w:lineRule="exact"/>
              <w:jc w:val="center"/>
              <w:rPr>
                <w:rFonts w:ascii="宋体" w:hAnsi="宋体" w:cs="仿宋"/>
                <w:sz w:val="24"/>
              </w:rPr>
            </w:pPr>
            <w:r>
              <w:rPr>
                <w:rFonts w:hint="eastAsia" w:ascii="宋体" w:hAnsi="宋体" w:cs="仿宋"/>
                <w:sz w:val="24"/>
              </w:rPr>
              <w:t>3</w:t>
            </w:r>
            <w:r>
              <w:rPr>
                <w:rFonts w:ascii="宋体" w:hAnsi="宋体" w:cs="仿宋"/>
                <w:sz w:val="24"/>
              </w:rPr>
              <w:t>3</w:t>
            </w:r>
            <w:r>
              <w:rPr>
                <w:rFonts w:hint="eastAsia" w:ascii="宋体" w:hAnsi="宋体" w:cs="仿宋"/>
                <w:sz w:val="24"/>
              </w:rPr>
              <w:t>0</w:t>
            </w:r>
          </w:p>
        </w:tc>
        <w:tc>
          <w:tcPr>
            <w:tcW w:w="1887" w:type="dxa"/>
            <w:vAlign w:val="center"/>
          </w:tcPr>
          <w:p w14:paraId="58F911FF">
            <w:pPr>
              <w:spacing w:line="480" w:lineRule="exact"/>
              <w:jc w:val="center"/>
              <w:rPr>
                <w:rFonts w:ascii="宋体" w:hAnsi="宋体" w:cs="仿宋"/>
                <w:sz w:val="24"/>
              </w:rPr>
            </w:pPr>
          </w:p>
        </w:tc>
      </w:tr>
      <w:tr w14:paraId="733B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73112F82">
            <w:pPr>
              <w:spacing w:line="480" w:lineRule="exact"/>
              <w:jc w:val="center"/>
              <w:rPr>
                <w:rFonts w:ascii="宋体" w:hAnsi="宋体" w:cs="仿宋"/>
                <w:sz w:val="24"/>
              </w:rPr>
            </w:pPr>
            <w:r>
              <w:rPr>
                <w:rFonts w:hint="eastAsia" w:ascii="宋体" w:hAnsi="宋体" w:cs="仿宋"/>
                <w:sz w:val="24"/>
              </w:rPr>
              <w:t>日工作小时</w:t>
            </w:r>
          </w:p>
        </w:tc>
        <w:tc>
          <w:tcPr>
            <w:tcW w:w="1309" w:type="dxa"/>
            <w:vAlign w:val="center"/>
          </w:tcPr>
          <w:p w14:paraId="56DE056D">
            <w:pPr>
              <w:spacing w:line="480" w:lineRule="exact"/>
              <w:jc w:val="center"/>
              <w:rPr>
                <w:rFonts w:ascii="宋体" w:hAnsi="宋体" w:cs="仿宋"/>
                <w:sz w:val="24"/>
              </w:rPr>
            </w:pPr>
            <w:r>
              <w:rPr>
                <w:rFonts w:hint="eastAsia" w:ascii="宋体" w:hAnsi="宋体" w:cs="仿宋"/>
                <w:sz w:val="24"/>
              </w:rPr>
              <w:t>h</w:t>
            </w:r>
          </w:p>
        </w:tc>
        <w:tc>
          <w:tcPr>
            <w:tcW w:w="1512" w:type="dxa"/>
            <w:vAlign w:val="center"/>
          </w:tcPr>
          <w:p w14:paraId="5613102F">
            <w:pPr>
              <w:spacing w:line="480" w:lineRule="exact"/>
              <w:jc w:val="center"/>
              <w:rPr>
                <w:rFonts w:ascii="宋体" w:hAnsi="宋体" w:cs="仿宋"/>
                <w:sz w:val="24"/>
              </w:rPr>
            </w:pPr>
            <w:r>
              <w:rPr>
                <w:rFonts w:hint="eastAsia" w:ascii="宋体" w:hAnsi="宋体" w:cs="仿宋"/>
                <w:sz w:val="24"/>
              </w:rPr>
              <w:t>24</w:t>
            </w:r>
          </w:p>
        </w:tc>
        <w:tc>
          <w:tcPr>
            <w:tcW w:w="1887" w:type="dxa"/>
            <w:vAlign w:val="center"/>
          </w:tcPr>
          <w:p w14:paraId="324BB59A">
            <w:pPr>
              <w:spacing w:line="480" w:lineRule="exact"/>
              <w:jc w:val="center"/>
              <w:rPr>
                <w:rFonts w:ascii="宋体" w:hAnsi="宋体" w:cs="仿宋"/>
                <w:sz w:val="24"/>
              </w:rPr>
            </w:pPr>
          </w:p>
        </w:tc>
      </w:tr>
      <w:tr w14:paraId="35E9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16790FD0">
            <w:pPr>
              <w:spacing w:line="480" w:lineRule="exact"/>
              <w:jc w:val="center"/>
              <w:rPr>
                <w:rFonts w:ascii="宋体" w:hAnsi="宋体" w:cs="仿宋"/>
                <w:sz w:val="24"/>
              </w:rPr>
            </w:pPr>
            <w:r>
              <w:rPr>
                <w:rFonts w:hint="eastAsia" w:ascii="宋体" w:hAnsi="宋体" w:cs="仿宋"/>
                <w:sz w:val="24"/>
              </w:rPr>
              <w:t>浆产量</w:t>
            </w:r>
          </w:p>
        </w:tc>
        <w:tc>
          <w:tcPr>
            <w:tcW w:w="1309" w:type="dxa"/>
            <w:vAlign w:val="center"/>
          </w:tcPr>
          <w:p w14:paraId="6F40714A">
            <w:pPr>
              <w:spacing w:line="480" w:lineRule="exact"/>
              <w:jc w:val="center"/>
              <w:rPr>
                <w:rFonts w:ascii="宋体" w:hAnsi="宋体" w:cs="仿宋"/>
                <w:sz w:val="24"/>
              </w:rPr>
            </w:pPr>
            <w:r>
              <w:rPr>
                <w:rFonts w:hint="eastAsia" w:ascii="宋体" w:hAnsi="宋体" w:cs="仿宋"/>
                <w:sz w:val="24"/>
              </w:rPr>
              <w:t>t/d</w:t>
            </w:r>
          </w:p>
        </w:tc>
        <w:tc>
          <w:tcPr>
            <w:tcW w:w="1512" w:type="dxa"/>
            <w:vAlign w:val="center"/>
          </w:tcPr>
          <w:p w14:paraId="35ACFC88">
            <w:pPr>
              <w:spacing w:line="480" w:lineRule="exact"/>
              <w:jc w:val="center"/>
              <w:rPr>
                <w:rFonts w:ascii="宋体" w:hAnsi="宋体" w:cs="仿宋"/>
                <w:sz w:val="24"/>
              </w:rPr>
            </w:pPr>
            <w:r>
              <w:rPr>
                <w:rFonts w:ascii="宋体" w:hAnsi="宋体" w:cs="仿宋"/>
                <w:sz w:val="24"/>
              </w:rPr>
              <w:t>750</w:t>
            </w:r>
          </w:p>
        </w:tc>
        <w:tc>
          <w:tcPr>
            <w:tcW w:w="1887" w:type="dxa"/>
            <w:vAlign w:val="center"/>
          </w:tcPr>
          <w:p w14:paraId="232AFDA5">
            <w:pPr>
              <w:spacing w:line="480" w:lineRule="exact"/>
              <w:jc w:val="center"/>
              <w:rPr>
                <w:rFonts w:ascii="宋体" w:hAnsi="宋体" w:cs="仿宋"/>
                <w:sz w:val="24"/>
              </w:rPr>
            </w:pPr>
            <w:r>
              <w:rPr>
                <w:rFonts w:hint="eastAsia" w:ascii="宋体" w:hAnsi="宋体" w:cs="仿宋"/>
                <w:sz w:val="24"/>
              </w:rPr>
              <w:t>风干浆计</w:t>
            </w:r>
          </w:p>
        </w:tc>
      </w:tr>
      <w:tr w14:paraId="2614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70655AF6">
            <w:pPr>
              <w:spacing w:line="480" w:lineRule="exact"/>
              <w:jc w:val="center"/>
              <w:rPr>
                <w:rFonts w:ascii="宋体" w:hAnsi="宋体" w:cs="仿宋"/>
                <w:sz w:val="24"/>
              </w:rPr>
            </w:pPr>
            <w:r>
              <w:rPr>
                <w:rFonts w:hint="eastAsia" w:ascii="宋体" w:hAnsi="宋体" w:cs="仿宋"/>
                <w:sz w:val="24"/>
              </w:rPr>
              <w:t>蒸煮工段</w:t>
            </w:r>
          </w:p>
        </w:tc>
        <w:tc>
          <w:tcPr>
            <w:tcW w:w="1309" w:type="dxa"/>
            <w:vAlign w:val="center"/>
          </w:tcPr>
          <w:p w14:paraId="195C50C4">
            <w:pPr>
              <w:spacing w:line="480" w:lineRule="exact"/>
              <w:jc w:val="center"/>
              <w:rPr>
                <w:rFonts w:ascii="宋体" w:hAnsi="宋体" w:cs="仿宋"/>
                <w:sz w:val="24"/>
              </w:rPr>
            </w:pPr>
          </w:p>
        </w:tc>
        <w:tc>
          <w:tcPr>
            <w:tcW w:w="1512" w:type="dxa"/>
            <w:vAlign w:val="center"/>
          </w:tcPr>
          <w:p w14:paraId="4479E2C6">
            <w:pPr>
              <w:spacing w:line="480" w:lineRule="exact"/>
              <w:jc w:val="center"/>
              <w:rPr>
                <w:rFonts w:ascii="宋体" w:hAnsi="宋体" w:cs="仿宋"/>
                <w:sz w:val="24"/>
              </w:rPr>
            </w:pPr>
          </w:p>
        </w:tc>
        <w:tc>
          <w:tcPr>
            <w:tcW w:w="1887" w:type="dxa"/>
            <w:vAlign w:val="center"/>
          </w:tcPr>
          <w:p w14:paraId="02AE9370">
            <w:pPr>
              <w:spacing w:line="480" w:lineRule="exact"/>
              <w:jc w:val="center"/>
              <w:rPr>
                <w:rFonts w:ascii="宋体" w:hAnsi="宋体" w:cs="仿宋"/>
                <w:sz w:val="24"/>
              </w:rPr>
            </w:pPr>
          </w:p>
        </w:tc>
      </w:tr>
      <w:tr w14:paraId="1CFF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7B784EAB">
            <w:pPr>
              <w:spacing w:line="480" w:lineRule="exact"/>
              <w:jc w:val="center"/>
              <w:rPr>
                <w:rFonts w:ascii="宋体" w:hAnsi="宋体" w:cs="仿宋"/>
                <w:sz w:val="24"/>
              </w:rPr>
            </w:pPr>
            <w:r>
              <w:rPr>
                <w:rFonts w:hint="eastAsia" w:ascii="宋体" w:hAnsi="宋体" w:cs="仿宋"/>
                <w:sz w:val="24"/>
              </w:rPr>
              <w:t>用碱量</w:t>
            </w:r>
          </w:p>
        </w:tc>
        <w:tc>
          <w:tcPr>
            <w:tcW w:w="1309" w:type="dxa"/>
            <w:vAlign w:val="center"/>
          </w:tcPr>
          <w:p w14:paraId="6C27488F">
            <w:pPr>
              <w:spacing w:line="480" w:lineRule="exact"/>
              <w:jc w:val="center"/>
              <w:rPr>
                <w:rFonts w:ascii="宋体" w:hAnsi="宋体" w:cs="仿宋"/>
                <w:sz w:val="24"/>
              </w:rPr>
            </w:pPr>
            <w:r>
              <w:rPr>
                <w:rFonts w:hint="eastAsia" w:ascii="宋体" w:hAnsi="宋体" w:cs="仿宋"/>
                <w:sz w:val="24"/>
              </w:rPr>
              <w:t>%</w:t>
            </w:r>
          </w:p>
        </w:tc>
        <w:tc>
          <w:tcPr>
            <w:tcW w:w="1512" w:type="dxa"/>
            <w:vAlign w:val="center"/>
          </w:tcPr>
          <w:p w14:paraId="615CA81B">
            <w:pPr>
              <w:spacing w:line="480" w:lineRule="exact"/>
              <w:jc w:val="center"/>
              <w:rPr>
                <w:rFonts w:ascii="宋体" w:hAnsi="宋体" w:cs="仿宋"/>
                <w:sz w:val="24"/>
              </w:rPr>
            </w:pPr>
            <w:r>
              <w:rPr>
                <w:rFonts w:hint="eastAsia" w:ascii="宋体" w:hAnsi="宋体" w:cs="仿宋"/>
                <w:sz w:val="24"/>
              </w:rPr>
              <w:t>17~22</w:t>
            </w:r>
          </w:p>
        </w:tc>
        <w:tc>
          <w:tcPr>
            <w:tcW w:w="1887" w:type="dxa"/>
            <w:vAlign w:val="center"/>
          </w:tcPr>
          <w:p w14:paraId="4B820227">
            <w:pPr>
              <w:spacing w:line="480" w:lineRule="exact"/>
              <w:jc w:val="center"/>
              <w:rPr>
                <w:rFonts w:ascii="宋体" w:hAnsi="宋体" w:cs="仿宋"/>
                <w:sz w:val="24"/>
              </w:rPr>
            </w:pPr>
            <w:r>
              <w:rPr>
                <w:rFonts w:hint="eastAsia" w:ascii="宋体" w:hAnsi="宋体" w:cs="仿宋"/>
                <w:sz w:val="24"/>
              </w:rPr>
              <w:t>以Na</w:t>
            </w:r>
            <w:r>
              <w:rPr>
                <w:rFonts w:hint="eastAsia" w:ascii="宋体" w:hAnsi="宋体" w:cs="仿宋"/>
                <w:sz w:val="24"/>
                <w:vertAlign w:val="subscript"/>
              </w:rPr>
              <w:t>2</w:t>
            </w:r>
            <w:r>
              <w:rPr>
                <w:rFonts w:hint="eastAsia" w:ascii="宋体" w:hAnsi="宋体" w:cs="仿宋"/>
                <w:sz w:val="24"/>
              </w:rPr>
              <w:t>O计</w:t>
            </w:r>
          </w:p>
        </w:tc>
      </w:tr>
      <w:tr w14:paraId="09EC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4A3C47CF">
            <w:pPr>
              <w:spacing w:line="480" w:lineRule="exact"/>
              <w:jc w:val="center"/>
              <w:rPr>
                <w:rFonts w:ascii="宋体" w:hAnsi="宋体" w:cs="仿宋"/>
                <w:sz w:val="24"/>
              </w:rPr>
            </w:pPr>
            <w:r>
              <w:rPr>
                <w:rFonts w:hint="eastAsia" w:ascii="宋体" w:hAnsi="宋体" w:cs="仿宋"/>
                <w:sz w:val="24"/>
              </w:rPr>
              <w:t>蒸煮得率</w:t>
            </w:r>
          </w:p>
        </w:tc>
        <w:tc>
          <w:tcPr>
            <w:tcW w:w="1309" w:type="dxa"/>
            <w:vAlign w:val="center"/>
          </w:tcPr>
          <w:p w14:paraId="2EE92DFB">
            <w:pPr>
              <w:spacing w:line="480" w:lineRule="exact"/>
              <w:jc w:val="center"/>
              <w:rPr>
                <w:rFonts w:ascii="宋体" w:hAnsi="宋体" w:cs="仿宋"/>
                <w:sz w:val="24"/>
              </w:rPr>
            </w:pPr>
            <w:r>
              <w:rPr>
                <w:rFonts w:hint="eastAsia" w:ascii="宋体" w:hAnsi="宋体" w:cs="仿宋"/>
                <w:sz w:val="24"/>
              </w:rPr>
              <w:t>%</w:t>
            </w:r>
          </w:p>
        </w:tc>
        <w:tc>
          <w:tcPr>
            <w:tcW w:w="1512" w:type="dxa"/>
            <w:vAlign w:val="center"/>
          </w:tcPr>
          <w:p w14:paraId="63B9DEFE">
            <w:pPr>
              <w:spacing w:line="480" w:lineRule="exact"/>
              <w:jc w:val="center"/>
              <w:rPr>
                <w:rFonts w:ascii="宋体" w:hAnsi="宋体" w:cs="仿宋"/>
                <w:sz w:val="24"/>
              </w:rPr>
            </w:pPr>
            <w:r>
              <w:rPr>
                <w:rFonts w:hint="eastAsia" w:ascii="宋体" w:hAnsi="宋体" w:cs="仿宋"/>
                <w:sz w:val="24"/>
              </w:rPr>
              <w:t>4</w:t>
            </w:r>
            <w:r>
              <w:rPr>
                <w:rFonts w:ascii="宋体" w:hAnsi="宋体" w:cs="仿宋"/>
                <w:sz w:val="24"/>
              </w:rPr>
              <w:t>3</w:t>
            </w:r>
            <w:r>
              <w:rPr>
                <w:rFonts w:hint="eastAsia" w:ascii="宋体" w:hAnsi="宋体" w:cs="仿宋"/>
                <w:sz w:val="24"/>
              </w:rPr>
              <w:t>~5</w:t>
            </w:r>
            <w:r>
              <w:rPr>
                <w:rFonts w:ascii="宋体" w:hAnsi="宋体" w:cs="仿宋"/>
                <w:sz w:val="24"/>
              </w:rPr>
              <w:t>0</w:t>
            </w:r>
          </w:p>
        </w:tc>
        <w:tc>
          <w:tcPr>
            <w:tcW w:w="1887" w:type="dxa"/>
            <w:vAlign w:val="center"/>
          </w:tcPr>
          <w:p w14:paraId="3E660168">
            <w:pPr>
              <w:spacing w:line="480" w:lineRule="exact"/>
              <w:jc w:val="center"/>
              <w:rPr>
                <w:rFonts w:ascii="宋体" w:hAnsi="宋体" w:cs="仿宋"/>
                <w:sz w:val="24"/>
              </w:rPr>
            </w:pPr>
            <w:r>
              <w:rPr>
                <w:rFonts w:hint="eastAsia" w:ascii="宋体" w:hAnsi="宋体" w:cs="仿宋"/>
                <w:sz w:val="24"/>
              </w:rPr>
              <w:t>仅供参考</w:t>
            </w:r>
          </w:p>
        </w:tc>
      </w:tr>
      <w:tr w14:paraId="2E3B7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63" w:type="dxa"/>
            <w:vAlign w:val="center"/>
          </w:tcPr>
          <w:p w14:paraId="0C1E1A51">
            <w:pPr>
              <w:spacing w:line="480" w:lineRule="exact"/>
              <w:jc w:val="center"/>
              <w:rPr>
                <w:rFonts w:ascii="宋体" w:hAnsi="宋体" w:cs="仿宋"/>
                <w:sz w:val="24"/>
              </w:rPr>
            </w:pPr>
            <w:r>
              <w:rPr>
                <w:rFonts w:hint="eastAsia" w:ascii="宋体" w:hAnsi="宋体" w:cs="仿宋"/>
                <w:sz w:val="24"/>
              </w:rPr>
              <w:t>粗浆硬度</w:t>
            </w:r>
          </w:p>
        </w:tc>
        <w:tc>
          <w:tcPr>
            <w:tcW w:w="1309" w:type="dxa"/>
            <w:vAlign w:val="center"/>
          </w:tcPr>
          <w:p w14:paraId="5E46A16A">
            <w:pPr>
              <w:spacing w:line="480" w:lineRule="exact"/>
              <w:jc w:val="center"/>
              <w:rPr>
                <w:rFonts w:ascii="宋体" w:hAnsi="宋体" w:cs="仿宋"/>
                <w:sz w:val="24"/>
              </w:rPr>
            </w:pPr>
            <w:r>
              <w:rPr>
                <w:rFonts w:hint="eastAsia" w:ascii="宋体" w:hAnsi="宋体" w:cs="仿宋"/>
                <w:sz w:val="24"/>
              </w:rPr>
              <w:t>卡伯值</w:t>
            </w:r>
          </w:p>
        </w:tc>
        <w:tc>
          <w:tcPr>
            <w:tcW w:w="1512" w:type="dxa"/>
            <w:vAlign w:val="center"/>
          </w:tcPr>
          <w:p w14:paraId="2830BF62">
            <w:pPr>
              <w:spacing w:line="480" w:lineRule="exact"/>
              <w:jc w:val="center"/>
              <w:rPr>
                <w:rFonts w:ascii="宋体" w:hAnsi="宋体" w:cs="仿宋"/>
                <w:sz w:val="24"/>
              </w:rPr>
            </w:pPr>
            <w:r>
              <w:rPr>
                <w:rFonts w:ascii="宋体" w:hAnsi="宋体" w:cs="仿宋"/>
                <w:sz w:val="24"/>
              </w:rPr>
              <w:t>18</w:t>
            </w:r>
            <w:r>
              <w:rPr>
                <w:rFonts w:hint="eastAsia" w:ascii="宋体" w:hAnsi="宋体" w:cs="仿宋"/>
                <w:sz w:val="24"/>
              </w:rPr>
              <w:t>～</w:t>
            </w:r>
            <w:r>
              <w:rPr>
                <w:rFonts w:ascii="宋体" w:hAnsi="宋体" w:cs="仿宋"/>
                <w:sz w:val="24"/>
              </w:rPr>
              <w:t>28</w:t>
            </w:r>
          </w:p>
        </w:tc>
        <w:tc>
          <w:tcPr>
            <w:tcW w:w="1887" w:type="dxa"/>
            <w:vAlign w:val="center"/>
          </w:tcPr>
          <w:p w14:paraId="6ADAABF3">
            <w:pPr>
              <w:spacing w:line="480" w:lineRule="exact"/>
              <w:jc w:val="center"/>
              <w:rPr>
                <w:rFonts w:ascii="宋体" w:hAnsi="宋体" w:cs="仿宋"/>
                <w:sz w:val="24"/>
              </w:rPr>
            </w:pPr>
          </w:p>
        </w:tc>
      </w:tr>
      <w:tr w14:paraId="28AB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63" w:type="dxa"/>
            <w:vAlign w:val="center"/>
          </w:tcPr>
          <w:p w14:paraId="0FB07AB9">
            <w:pPr>
              <w:spacing w:line="480" w:lineRule="exact"/>
              <w:jc w:val="center"/>
              <w:rPr>
                <w:rFonts w:ascii="宋体" w:hAnsi="宋体" w:cs="仿宋"/>
                <w:sz w:val="24"/>
              </w:rPr>
            </w:pPr>
            <w:r>
              <w:rPr>
                <w:rFonts w:ascii="宋体" w:hAnsi="宋体" w:cs="仿宋"/>
                <w:sz w:val="24"/>
              </w:rPr>
              <w:t>……</w:t>
            </w:r>
          </w:p>
        </w:tc>
        <w:tc>
          <w:tcPr>
            <w:tcW w:w="1309" w:type="dxa"/>
            <w:vAlign w:val="center"/>
          </w:tcPr>
          <w:p w14:paraId="7441C9D9">
            <w:pPr>
              <w:spacing w:line="480" w:lineRule="exact"/>
              <w:jc w:val="center"/>
              <w:rPr>
                <w:rFonts w:ascii="宋体" w:hAnsi="宋体" w:cs="仿宋"/>
                <w:sz w:val="24"/>
              </w:rPr>
            </w:pPr>
          </w:p>
        </w:tc>
        <w:tc>
          <w:tcPr>
            <w:tcW w:w="1512" w:type="dxa"/>
            <w:vAlign w:val="center"/>
          </w:tcPr>
          <w:p w14:paraId="5B43D2DB">
            <w:pPr>
              <w:spacing w:line="480" w:lineRule="exact"/>
              <w:jc w:val="center"/>
              <w:rPr>
                <w:rFonts w:ascii="宋体" w:hAnsi="宋体" w:cs="仿宋"/>
                <w:sz w:val="24"/>
              </w:rPr>
            </w:pPr>
          </w:p>
        </w:tc>
        <w:tc>
          <w:tcPr>
            <w:tcW w:w="1887" w:type="dxa"/>
            <w:vAlign w:val="center"/>
          </w:tcPr>
          <w:p w14:paraId="3D14BA05">
            <w:pPr>
              <w:spacing w:line="480" w:lineRule="exact"/>
              <w:jc w:val="center"/>
              <w:rPr>
                <w:rFonts w:ascii="宋体" w:hAnsi="宋体" w:cs="仿宋"/>
                <w:sz w:val="24"/>
              </w:rPr>
            </w:pPr>
          </w:p>
        </w:tc>
      </w:tr>
    </w:tbl>
    <w:p w14:paraId="26B6E06E">
      <w:pPr>
        <w:pStyle w:val="5"/>
        <w:ind w:firstLine="480"/>
      </w:pPr>
      <w:r>
        <w:rPr>
          <w:rFonts w:hint="eastAsia"/>
        </w:rPr>
        <w:t>2.1卡伯值测定</w:t>
      </w:r>
    </w:p>
    <w:p w14:paraId="07FFD294">
      <w:pPr>
        <w:pStyle w:val="23"/>
        <w:ind w:firstLine="720"/>
        <w:rPr>
          <w:rFonts w:hint="default"/>
        </w:rPr>
      </w:pPr>
      <w:r>
        <w:t>2.1.1化验设备</w:t>
      </w:r>
    </w:p>
    <w:p w14:paraId="50C5E958">
      <w:pPr>
        <w:pStyle w:val="23"/>
        <w:ind w:left="560" w:leftChars="200" w:firstLine="720"/>
        <w:rPr>
          <w:rFonts w:hint="default"/>
        </w:rPr>
      </w:pPr>
      <w:r>
        <w:t xml:space="preserve">    转速为分钟400-6500转的电动搅拌设备</w:t>
      </w:r>
    </w:p>
    <w:p w14:paraId="4F23B285">
      <w:pPr>
        <w:pStyle w:val="23"/>
        <w:ind w:left="560" w:leftChars="200" w:firstLine="720"/>
        <w:rPr>
          <w:rFonts w:hint="default"/>
        </w:rPr>
      </w:pPr>
      <w:r>
        <w:t xml:space="preserve">    电子天平</w:t>
      </w:r>
    </w:p>
    <w:p w14:paraId="6D394311">
      <w:pPr>
        <w:pStyle w:val="23"/>
        <w:ind w:left="560" w:leftChars="200" w:firstLine="720"/>
        <w:rPr>
          <w:rFonts w:hint="default"/>
        </w:rPr>
      </w:pPr>
      <w:r>
        <w:t xml:space="preserve">    1000ml烧杯一个</w:t>
      </w:r>
    </w:p>
    <w:p w14:paraId="6B7C6BDD">
      <w:pPr>
        <w:pStyle w:val="23"/>
        <w:ind w:left="560" w:leftChars="200" w:firstLine="720"/>
        <w:rPr>
          <w:rFonts w:hint="default"/>
        </w:rPr>
      </w:pPr>
      <w:r>
        <w:t xml:space="preserve">    50ml移液管一支</w:t>
      </w:r>
    </w:p>
    <w:p w14:paraId="264762C5">
      <w:pPr>
        <w:pStyle w:val="23"/>
        <w:ind w:left="560" w:leftChars="200" w:firstLine="1200" w:firstLineChars="500"/>
        <w:rPr>
          <w:rFonts w:hint="default"/>
        </w:rPr>
      </w:pPr>
      <w:r>
        <w:t>50ml量筒一个</w:t>
      </w:r>
    </w:p>
    <w:p w14:paraId="330A2CF2">
      <w:pPr>
        <w:pStyle w:val="23"/>
        <w:ind w:left="560" w:leftChars="200" w:firstLine="720"/>
        <w:rPr>
          <w:rFonts w:hint="default"/>
        </w:rPr>
      </w:pPr>
      <w:r>
        <w:t xml:space="preserve">    25ml自动滴定管一支</w:t>
      </w:r>
    </w:p>
    <w:p w14:paraId="2C5CD04B">
      <w:pPr>
        <w:pStyle w:val="23"/>
        <w:ind w:left="560" w:leftChars="200" w:firstLine="1200" w:firstLineChars="500"/>
        <w:rPr>
          <w:rFonts w:hint="default"/>
        </w:rPr>
      </w:pPr>
      <w:r>
        <w:t>250ml烧杯一个</w:t>
      </w:r>
    </w:p>
    <w:p w14:paraId="3D30276F">
      <w:pPr>
        <w:pStyle w:val="23"/>
        <w:ind w:left="560" w:leftChars="200" w:firstLine="1200" w:firstLineChars="500"/>
        <w:rPr>
          <w:rFonts w:hint="default"/>
        </w:rPr>
      </w:pPr>
      <w:r>
        <w:t>500ml量筒一个</w:t>
      </w:r>
    </w:p>
    <w:p w14:paraId="6F6BB651">
      <w:pPr>
        <w:pStyle w:val="23"/>
        <w:ind w:left="560" w:leftChars="200" w:firstLine="720"/>
        <w:rPr>
          <w:rFonts w:hint="default"/>
        </w:rPr>
      </w:pPr>
      <w:r>
        <w:t xml:space="preserve">    10ml量筒一个</w:t>
      </w:r>
    </w:p>
    <w:p w14:paraId="707AD56F">
      <w:pPr>
        <w:pStyle w:val="23"/>
        <w:ind w:left="560" w:leftChars="200" w:firstLine="720"/>
        <w:rPr>
          <w:rFonts w:hint="default"/>
        </w:rPr>
      </w:pPr>
      <w:r>
        <w:t xml:space="preserve">    温度计一支</w:t>
      </w:r>
    </w:p>
    <w:p w14:paraId="18007413">
      <w:pPr>
        <w:pStyle w:val="23"/>
        <w:ind w:firstLine="720"/>
        <w:rPr>
          <w:rFonts w:hint="default"/>
        </w:rPr>
      </w:pPr>
      <w:r>
        <w:t>2.1.2取样方法</w:t>
      </w:r>
    </w:p>
    <w:p w14:paraId="561A3CEC">
      <w:pPr>
        <w:pStyle w:val="23"/>
        <w:ind w:firstLine="720"/>
        <w:rPr>
          <w:rFonts w:hint="default"/>
        </w:rPr>
      </w:pPr>
      <w:r>
        <w:t>用取样瓶在采样点采集约500ml浆样（喷放线浆样应去除未蒸解物并洗净，其他浆样也应洗净）。利用化验员的握力，挤掉部分水分，然后把挤干后的浆撕碎、混匀。根据浆的种类，预估浆样的卡伯值大小，按下表中对应的试样绝干质量换算成湿浆重量（需预估浆样水分），按换算后的重量称取湿浆两份，一份测定水分，一份滴定用。</w:t>
      </w:r>
    </w:p>
    <w:tbl>
      <w:tblPr>
        <w:tblStyle w:val="18"/>
        <w:tblpPr w:leftFromText="180" w:rightFromText="180" w:vertAnchor="text" w:horzAnchor="page" w:tblpX="1267" w:tblpY="311"/>
        <w:tblOverlap w:val="never"/>
        <w:tblW w:w="0" w:type="auto"/>
        <w:tblInd w:w="0" w:type="dxa"/>
        <w:tblLayout w:type="fixed"/>
        <w:tblCellMar>
          <w:top w:w="0" w:type="dxa"/>
          <w:left w:w="0" w:type="dxa"/>
          <w:bottom w:w="0" w:type="dxa"/>
          <w:right w:w="0" w:type="dxa"/>
        </w:tblCellMar>
      </w:tblPr>
      <w:tblGrid>
        <w:gridCol w:w="1675"/>
        <w:gridCol w:w="3105"/>
        <w:gridCol w:w="1590"/>
        <w:gridCol w:w="2955"/>
      </w:tblGrid>
      <w:tr w14:paraId="1CB4C78E">
        <w:tblPrEx>
          <w:tblCellMar>
            <w:top w:w="0" w:type="dxa"/>
            <w:left w:w="0" w:type="dxa"/>
            <w:bottom w:w="0" w:type="dxa"/>
            <w:right w:w="0" w:type="dxa"/>
          </w:tblCellMar>
        </w:tblPrEx>
        <w:trPr>
          <w:trHeight w:val="532"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428467">
            <w:pPr>
              <w:jc w:val="center"/>
              <w:rPr>
                <w:rFonts w:ascii="宋体" w:hAnsi="宋体" w:cs="宋体"/>
                <w:kern w:val="0"/>
                <w:sz w:val="24"/>
                <w:szCs w:val="24"/>
              </w:rPr>
            </w:pPr>
            <w:r>
              <w:rPr>
                <w:rFonts w:hint="eastAsia" w:ascii="宋体" w:hAnsi="宋体" w:cs="宋体"/>
                <w:kern w:val="0"/>
                <w:sz w:val="24"/>
                <w:szCs w:val="24"/>
              </w:rPr>
              <w:t>卡伯值</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489634">
            <w:pPr>
              <w:jc w:val="center"/>
              <w:rPr>
                <w:rFonts w:ascii="宋体" w:hAnsi="宋体" w:cs="宋体"/>
                <w:kern w:val="0"/>
                <w:sz w:val="24"/>
                <w:szCs w:val="24"/>
              </w:rPr>
            </w:pPr>
            <w:r>
              <w:rPr>
                <w:rFonts w:hint="eastAsia" w:ascii="宋体" w:hAnsi="宋体" w:cs="宋体"/>
                <w:kern w:val="0"/>
                <w:sz w:val="24"/>
                <w:szCs w:val="24"/>
              </w:rPr>
              <w:t>试样质量（以绝干计）/g</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638671">
            <w:pPr>
              <w:jc w:val="center"/>
              <w:rPr>
                <w:rFonts w:ascii="宋体" w:hAnsi="宋体" w:cs="宋体"/>
                <w:kern w:val="0"/>
                <w:sz w:val="24"/>
                <w:szCs w:val="24"/>
              </w:rPr>
            </w:pPr>
            <w:r>
              <w:rPr>
                <w:rFonts w:hint="eastAsia" w:ascii="宋体" w:hAnsi="宋体" w:cs="宋体"/>
                <w:kern w:val="0"/>
                <w:sz w:val="24"/>
                <w:szCs w:val="24"/>
              </w:rPr>
              <w:t>卡伯值</w:t>
            </w: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4C6F62">
            <w:pPr>
              <w:jc w:val="center"/>
              <w:rPr>
                <w:rFonts w:ascii="宋体" w:hAnsi="宋体" w:cs="宋体"/>
                <w:kern w:val="0"/>
                <w:sz w:val="24"/>
                <w:szCs w:val="24"/>
              </w:rPr>
            </w:pPr>
            <w:r>
              <w:rPr>
                <w:rFonts w:hint="eastAsia" w:ascii="宋体" w:hAnsi="宋体" w:cs="宋体"/>
                <w:kern w:val="0"/>
                <w:sz w:val="24"/>
                <w:szCs w:val="24"/>
              </w:rPr>
              <w:t>试样质量（以绝干计）/g</w:t>
            </w:r>
          </w:p>
        </w:tc>
      </w:tr>
      <w:tr w14:paraId="2D330D01">
        <w:tblPrEx>
          <w:tblCellMar>
            <w:top w:w="0" w:type="dxa"/>
            <w:left w:w="0" w:type="dxa"/>
            <w:bottom w:w="0" w:type="dxa"/>
            <w:right w:w="0" w:type="dxa"/>
          </w:tblCellMar>
        </w:tblPrEx>
        <w:trPr>
          <w:trHeight w:val="414"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5B2F2C">
            <w:pPr>
              <w:jc w:val="center"/>
              <w:rPr>
                <w:rFonts w:ascii="宋体" w:hAnsi="宋体" w:cs="宋体"/>
                <w:kern w:val="0"/>
                <w:sz w:val="24"/>
                <w:szCs w:val="24"/>
              </w:rPr>
            </w:pPr>
            <w:r>
              <w:rPr>
                <w:rFonts w:hint="eastAsia" w:ascii="宋体" w:hAnsi="宋体" w:cs="宋体"/>
                <w:kern w:val="0"/>
                <w:sz w:val="24"/>
                <w:szCs w:val="24"/>
              </w:rPr>
              <w:t>5</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16B232">
            <w:pPr>
              <w:jc w:val="center"/>
              <w:rPr>
                <w:rFonts w:ascii="宋体" w:hAnsi="宋体" w:cs="宋体"/>
                <w:kern w:val="0"/>
                <w:sz w:val="24"/>
                <w:szCs w:val="24"/>
              </w:rPr>
            </w:pPr>
            <w:r>
              <w:rPr>
                <w:rFonts w:hint="eastAsia" w:ascii="宋体" w:hAnsi="宋体" w:cs="宋体"/>
                <w:kern w:val="0"/>
                <w:sz w:val="24"/>
                <w:szCs w:val="24"/>
              </w:rPr>
              <w:t>4.5</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38F107">
            <w:pPr>
              <w:jc w:val="center"/>
              <w:rPr>
                <w:rFonts w:ascii="宋体" w:hAnsi="宋体" w:cs="宋体"/>
                <w:kern w:val="0"/>
                <w:sz w:val="24"/>
                <w:szCs w:val="24"/>
              </w:rPr>
            </w:pPr>
            <w:r>
              <w:rPr>
                <w:rFonts w:hint="eastAsia" w:ascii="宋体" w:hAnsi="宋体" w:cs="宋体"/>
                <w:kern w:val="0"/>
                <w:sz w:val="24"/>
                <w:szCs w:val="24"/>
              </w:rPr>
              <w:t>30</w:t>
            </w: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C3DBB7">
            <w:pPr>
              <w:jc w:val="center"/>
              <w:rPr>
                <w:rFonts w:ascii="宋体" w:hAnsi="宋体" w:cs="宋体"/>
                <w:kern w:val="0"/>
                <w:sz w:val="24"/>
                <w:szCs w:val="24"/>
              </w:rPr>
            </w:pPr>
            <w:r>
              <w:rPr>
                <w:rFonts w:hint="eastAsia" w:ascii="宋体" w:hAnsi="宋体" w:cs="宋体"/>
                <w:kern w:val="0"/>
                <w:sz w:val="24"/>
                <w:szCs w:val="24"/>
              </w:rPr>
              <w:t>0.9</w:t>
            </w:r>
          </w:p>
        </w:tc>
      </w:tr>
      <w:tr w14:paraId="3CBCD315">
        <w:tblPrEx>
          <w:tblCellMar>
            <w:top w:w="0" w:type="dxa"/>
            <w:left w:w="0" w:type="dxa"/>
            <w:bottom w:w="0" w:type="dxa"/>
            <w:right w:w="0" w:type="dxa"/>
          </w:tblCellMar>
        </w:tblPrEx>
        <w:trPr>
          <w:trHeight w:val="414"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DED56B">
            <w:pPr>
              <w:jc w:val="center"/>
              <w:rPr>
                <w:rFonts w:ascii="宋体" w:hAnsi="宋体" w:cs="宋体"/>
                <w:kern w:val="0"/>
                <w:sz w:val="24"/>
                <w:szCs w:val="24"/>
              </w:rPr>
            </w:pPr>
            <w:r>
              <w:rPr>
                <w:rFonts w:hint="eastAsia" w:ascii="宋体" w:hAnsi="宋体" w:cs="宋体"/>
                <w:kern w:val="0"/>
                <w:sz w:val="24"/>
                <w:szCs w:val="24"/>
              </w:rPr>
              <w:t>6</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FF53BD">
            <w:pPr>
              <w:jc w:val="center"/>
              <w:rPr>
                <w:rFonts w:ascii="宋体" w:hAnsi="宋体" w:cs="宋体"/>
                <w:kern w:val="0"/>
                <w:sz w:val="24"/>
                <w:szCs w:val="24"/>
              </w:rPr>
            </w:pPr>
            <w:r>
              <w:rPr>
                <w:rFonts w:hint="eastAsia" w:ascii="宋体" w:hAnsi="宋体" w:cs="宋体"/>
                <w:kern w:val="0"/>
                <w:sz w:val="24"/>
                <w:szCs w:val="24"/>
              </w:rPr>
              <w:t>4.0</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BB6D01E">
            <w:pPr>
              <w:jc w:val="center"/>
              <w:rPr>
                <w:rFonts w:ascii="宋体" w:hAnsi="宋体" w:cs="宋体"/>
                <w:kern w:val="0"/>
                <w:sz w:val="24"/>
                <w:szCs w:val="24"/>
              </w:rPr>
            </w:pPr>
            <w:r>
              <w:rPr>
                <w:rFonts w:hint="eastAsia" w:ascii="宋体" w:hAnsi="宋体" w:cs="宋体"/>
                <w:kern w:val="0"/>
                <w:sz w:val="24"/>
                <w:szCs w:val="24"/>
              </w:rPr>
              <w:t>35-45</w:t>
            </w: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EF8CBF">
            <w:pPr>
              <w:jc w:val="center"/>
              <w:rPr>
                <w:rFonts w:ascii="宋体" w:hAnsi="宋体" w:cs="宋体"/>
                <w:kern w:val="0"/>
                <w:sz w:val="24"/>
                <w:szCs w:val="24"/>
              </w:rPr>
            </w:pPr>
            <w:r>
              <w:rPr>
                <w:rFonts w:hint="eastAsia" w:ascii="宋体" w:hAnsi="宋体" w:cs="宋体"/>
                <w:kern w:val="0"/>
                <w:sz w:val="24"/>
                <w:szCs w:val="24"/>
              </w:rPr>
              <w:t>0.6</w:t>
            </w:r>
          </w:p>
        </w:tc>
      </w:tr>
      <w:tr w14:paraId="27264245">
        <w:tblPrEx>
          <w:tblCellMar>
            <w:top w:w="0" w:type="dxa"/>
            <w:left w:w="0" w:type="dxa"/>
            <w:bottom w:w="0" w:type="dxa"/>
            <w:right w:w="0" w:type="dxa"/>
          </w:tblCellMar>
        </w:tblPrEx>
        <w:trPr>
          <w:trHeight w:val="414"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4C24D5">
            <w:pPr>
              <w:jc w:val="center"/>
              <w:rPr>
                <w:rFonts w:ascii="宋体" w:hAnsi="宋体" w:cs="宋体"/>
                <w:kern w:val="0"/>
                <w:sz w:val="24"/>
                <w:szCs w:val="24"/>
              </w:rPr>
            </w:pPr>
            <w:r>
              <w:rPr>
                <w:rFonts w:hint="eastAsia" w:ascii="宋体" w:hAnsi="宋体" w:cs="宋体"/>
                <w:kern w:val="0"/>
                <w:sz w:val="24"/>
                <w:szCs w:val="24"/>
              </w:rPr>
              <w:t>8</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BDE4B4">
            <w:pPr>
              <w:jc w:val="center"/>
              <w:rPr>
                <w:rFonts w:ascii="宋体" w:hAnsi="宋体" w:cs="宋体"/>
                <w:kern w:val="0"/>
                <w:sz w:val="24"/>
                <w:szCs w:val="24"/>
              </w:rPr>
            </w:pPr>
            <w:r>
              <w:rPr>
                <w:rFonts w:hint="eastAsia" w:ascii="宋体" w:hAnsi="宋体" w:cs="宋体"/>
                <w:kern w:val="0"/>
                <w:sz w:val="24"/>
                <w:szCs w:val="24"/>
              </w:rPr>
              <w:t>3.0</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45253B">
            <w:pPr>
              <w:jc w:val="center"/>
              <w:rPr>
                <w:rFonts w:ascii="宋体" w:hAnsi="宋体" w:cs="宋体"/>
                <w:kern w:val="0"/>
                <w:sz w:val="24"/>
                <w:szCs w:val="24"/>
              </w:rPr>
            </w:pPr>
            <w:r>
              <w:rPr>
                <w:rFonts w:hint="eastAsia" w:ascii="宋体" w:hAnsi="宋体" w:cs="宋体"/>
                <w:kern w:val="0"/>
                <w:sz w:val="24"/>
                <w:szCs w:val="24"/>
              </w:rPr>
              <w:t>50-55</w:t>
            </w: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FF483C2">
            <w:pPr>
              <w:jc w:val="center"/>
              <w:rPr>
                <w:rFonts w:ascii="宋体" w:hAnsi="宋体" w:cs="宋体"/>
                <w:kern w:val="0"/>
                <w:sz w:val="24"/>
                <w:szCs w:val="24"/>
              </w:rPr>
            </w:pPr>
            <w:r>
              <w:rPr>
                <w:rFonts w:hint="eastAsia" w:ascii="宋体" w:hAnsi="宋体" w:cs="宋体"/>
                <w:kern w:val="0"/>
                <w:sz w:val="24"/>
                <w:szCs w:val="24"/>
              </w:rPr>
              <w:t>0.5</w:t>
            </w:r>
          </w:p>
        </w:tc>
      </w:tr>
      <w:tr w14:paraId="5D923AC7">
        <w:tblPrEx>
          <w:tblCellMar>
            <w:top w:w="0" w:type="dxa"/>
            <w:left w:w="0" w:type="dxa"/>
            <w:bottom w:w="0" w:type="dxa"/>
            <w:right w:w="0" w:type="dxa"/>
          </w:tblCellMar>
        </w:tblPrEx>
        <w:trPr>
          <w:trHeight w:val="414"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9A05D0">
            <w:pPr>
              <w:jc w:val="center"/>
              <w:rPr>
                <w:rFonts w:ascii="宋体" w:hAnsi="宋体" w:cs="宋体"/>
                <w:kern w:val="0"/>
                <w:sz w:val="24"/>
                <w:szCs w:val="24"/>
              </w:rPr>
            </w:pPr>
            <w:r>
              <w:rPr>
                <w:rFonts w:hint="eastAsia" w:ascii="宋体" w:hAnsi="宋体" w:cs="宋体"/>
                <w:kern w:val="0"/>
                <w:sz w:val="24"/>
                <w:szCs w:val="24"/>
              </w:rPr>
              <w:t>10</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77CE9D3">
            <w:pPr>
              <w:jc w:val="center"/>
              <w:rPr>
                <w:rFonts w:ascii="宋体" w:hAnsi="宋体" w:cs="宋体"/>
                <w:kern w:val="0"/>
                <w:sz w:val="24"/>
                <w:szCs w:val="24"/>
              </w:rPr>
            </w:pPr>
            <w:r>
              <w:rPr>
                <w:rFonts w:hint="eastAsia" w:ascii="宋体" w:hAnsi="宋体" w:cs="宋体"/>
                <w:kern w:val="0"/>
                <w:sz w:val="24"/>
                <w:szCs w:val="24"/>
              </w:rPr>
              <w:t>2.5</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9A1D0C">
            <w:pPr>
              <w:jc w:val="center"/>
              <w:rPr>
                <w:rFonts w:ascii="宋体" w:hAnsi="宋体" w:cs="宋体"/>
                <w:kern w:val="0"/>
                <w:sz w:val="24"/>
                <w:szCs w:val="24"/>
              </w:rPr>
            </w:pPr>
            <w:r>
              <w:rPr>
                <w:rFonts w:hint="eastAsia" w:ascii="宋体" w:hAnsi="宋体" w:cs="宋体"/>
                <w:kern w:val="0"/>
                <w:sz w:val="24"/>
                <w:szCs w:val="24"/>
              </w:rPr>
              <w:t>60-70</w:t>
            </w: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179BCFD">
            <w:pPr>
              <w:jc w:val="center"/>
              <w:rPr>
                <w:rFonts w:ascii="宋体" w:hAnsi="宋体" w:cs="宋体"/>
                <w:kern w:val="0"/>
                <w:sz w:val="24"/>
                <w:szCs w:val="24"/>
              </w:rPr>
            </w:pPr>
            <w:r>
              <w:rPr>
                <w:rFonts w:hint="eastAsia" w:ascii="宋体" w:hAnsi="宋体" w:cs="宋体"/>
                <w:kern w:val="0"/>
                <w:sz w:val="24"/>
                <w:szCs w:val="24"/>
              </w:rPr>
              <w:t>0.4</w:t>
            </w:r>
          </w:p>
        </w:tc>
      </w:tr>
      <w:tr w14:paraId="51B36E64">
        <w:tblPrEx>
          <w:tblCellMar>
            <w:top w:w="0" w:type="dxa"/>
            <w:left w:w="0" w:type="dxa"/>
            <w:bottom w:w="0" w:type="dxa"/>
            <w:right w:w="0" w:type="dxa"/>
          </w:tblCellMar>
        </w:tblPrEx>
        <w:trPr>
          <w:trHeight w:val="414"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E0BC9E3">
            <w:pPr>
              <w:jc w:val="center"/>
              <w:rPr>
                <w:rFonts w:ascii="宋体" w:hAnsi="宋体" w:cs="宋体"/>
                <w:kern w:val="0"/>
                <w:sz w:val="24"/>
                <w:szCs w:val="24"/>
              </w:rPr>
            </w:pPr>
            <w:r>
              <w:rPr>
                <w:rFonts w:hint="eastAsia" w:ascii="宋体" w:hAnsi="宋体" w:cs="宋体"/>
                <w:kern w:val="0"/>
                <w:sz w:val="24"/>
                <w:szCs w:val="24"/>
              </w:rPr>
              <w:t>15</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680C66">
            <w:pPr>
              <w:jc w:val="center"/>
              <w:rPr>
                <w:rFonts w:ascii="宋体" w:hAnsi="宋体" w:cs="宋体"/>
                <w:kern w:val="0"/>
                <w:sz w:val="24"/>
                <w:szCs w:val="24"/>
              </w:rPr>
            </w:pPr>
            <w:r>
              <w:rPr>
                <w:rFonts w:hint="eastAsia" w:ascii="宋体" w:hAnsi="宋体" w:cs="宋体"/>
                <w:kern w:val="0"/>
                <w:sz w:val="24"/>
                <w:szCs w:val="24"/>
              </w:rPr>
              <w:t>1.5</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D2A10B">
            <w:pPr>
              <w:jc w:val="center"/>
              <w:rPr>
                <w:rFonts w:ascii="宋体" w:hAnsi="宋体" w:cs="宋体"/>
                <w:kern w:val="0"/>
                <w:sz w:val="24"/>
                <w:szCs w:val="24"/>
              </w:rPr>
            </w:pPr>
            <w:r>
              <w:rPr>
                <w:rFonts w:hint="eastAsia" w:ascii="宋体" w:hAnsi="宋体" w:cs="宋体"/>
                <w:kern w:val="0"/>
                <w:sz w:val="24"/>
                <w:szCs w:val="24"/>
              </w:rPr>
              <w:t>80-90</w:t>
            </w: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EDEBC6D">
            <w:pPr>
              <w:jc w:val="center"/>
              <w:rPr>
                <w:rFonts w:ascii="宋体" w:hAnsi="宋体" w:cs="宋体"/>
                <w:kern w:val="0"/>
                <w:sz w:val="24"/>
                <w:szCs w:val="24"/>
              </w:rPr>
            </w:pPr>
            <w:r>
              <w:rPr>
                <w:rFonts w:hint="eastAsia" w:ascii="宋体" w:hAnsi="宋体" w:cs="宋体"/>
                <w:kern w:val="0"/>
                <w:sz w:val="24"/>
                <w:szCs w:val="24"/>
              </w:rPr>
              <w:t>0.3</w:t>
            </w:r>
          </w:p>
        </w:tc>
      </w:tr>
      <w:tr w14:paraId="7CF98A24">
        <w:tblPrEx>
          <w:tblCellMar>
            <w:top w:w="0" w:type="dxa"/>
            <w:left w:w="0" w:type="dxa"/>
            <w:bottom w:w="0" w:type="dxa"/>
            <w:right w:w="0" w:type="dxa"/>
          </w:tblCellMar>
        </w:tblPrEx>
        <w:trPr>
          <w:trHeight w:val="414"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5370D86">
            <w:pPr>
              <w:jc w:val="center"/>
              <w:rPr>
                <w:rFonts w:ascii="宋体" w:hAnsi="宋体" w:cs="宋体"/>
                <w:kern w:val="0"/>
                <w:sz w:val="24"/>
                <w:szCs w:val="24"/>
              </w:rPr>
            </w:pPr>
            <w:r>
              <w:rPr>
                <w:rFonts w:hint="eastAsia" w:ascii="宋体" w:hAnsi="宋体" w:cs="宋体"/>
                <w:kern w:val="0"/>
                <w:sz w:val="24"/>
                <w:szCs w:val="24"/>
              </w:rPr>
              <w:t>20</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76FE03">
            <w:pPr>
              <w:jc w:val="center"/>
              <w:rPr>
                <w:rFonts w:ascii="宋体" w:hAnsi="宋体" w:cs="宋体"/>
                <w:kern w:val="0"/>
                <w:sz w:val="24"/>
                <w:szCs w:val="24"/>
              </w:rPr>
            </w:pPr>
            <w:r>
              <w:rPr>
                <w:rFonts w:hint="eastAsia" w:ascii="宋体" w:hAnsi="宋体" w:cs="宋体"/>
                <w:kern w:val="0"/>
                <w:sz w:val="24"/>
                <w:szCs w:val="24"/>
              </w:rPr>
              <w:t>1.2</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4147DD">
            <w:pPr>
              <w:jc w:val="center"/>
              <w:rPr>
                <w:rFonts w:ascii="宋体" w:hAnsi="宋体" w:cs="宋体"/>
                <w:kern w:val="0"/>
                <w:sz w:val="24"/>
                <w:szCs w:val="24"/>
              </w:rPr>
            </w:pPr>
            <w:r>
              <w:rPr>
                <w:rFonts w:hint="eastAsia" w:ascii="宋体" w:hAnsi="宋体" w:cs="宋体"/>
                <w:kern w:val="0"/>
                <w:sz w:val="24"/>
                <w:szCs w:val="24"/>
              </w:rPr>
              <w:t>100</w:t>
            </w: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1D61C2">
            <w:pPr>
              <w:jc w:val="center"/>
              <w:rPr>
                <w:rFonts w:ascii="宋体" w:hAnsi="宋体" w:cs="宋体"/>
                <w:kern w:val="0"/>
                <w:sz w:val="24"/>
                <w:szCs w:val="24"/>
              </w:rPr>
            </w:pPr>
            <w:r>
              <w:rPr>
                <w:rFonts w:hint="eastAsia" w:ascii="宋体" w:hAnsi="宋体" w:cs="宋体"/>
                <w:kern w:val="0"/>
                <w:sz w:val="24"/>
                <w:szCs w:val="24"/>
              </w:rPr>
              <w:t>0.25</w:t>
            </w:r>
          </w:p>
        </w:tc>
      </w:tr>
      <w:tr w14:paraId="08036E07">
        <w:tblPrEx>
          <w:tblCellMar>
            <w:top w:w="0" w:type="dxa"/>
            <w:left w:w="0" w:type="dxa"/>
            <w:bottom w:w="0" w:type="dxa"/>
            <w:right w:w="0" w:type="dxa"/>
          </w:tblCellMar>
        </w:tblPrEx>
        <w:trPr>
          <w:trHeight w:val="414" w:hRule="exact"/>
        </w:trPr>
        <w:tc>
          <w:tcPr>
            <w:tcW w:w="167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F743AB">
            <w:pPr>
              <w:jc w:val="center"/>
              <w:rPr>
                <w:rFonts w:ascii="宋体" w:hAnsi="宋体" w:cs="宋体"/>
                <w:kern w:val="0"/>
                <w:sz w:val="24"/>
                <w:szCs w:val="24"/>
              </w:rPr>
            </w:pPr>
            <w:r>
              <w:rPr>
                <w:rFonts w:hint="eastAsia" w:ascii="宋体" w:hAnsi="宋体" w:cs="宋体"/>
                <w:kern w:val="0"/>
                <w:sz w:val="24"/>
                <w:szCs w:val="24"/>
              </w:rPr>
              <w:t>25</w:t>
            </w:r>
          </w:p>
        </w:tc>
        <w:tc>
          <w:tcPr>
            <w:tcW w:w="31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331274A">
            <w:pPr>
              <w:jc w:val="center"/>
              <w:rPr>
                <w:rFonts w:ascii="宋体" w:hAnsi="宋体" w:cs="宋体"/>
                <w:kern w:val="0"/>
                <w:sz w:val="24"/>
                <w:szCs w:val="24"/>
              </w:rPr>
            </w:pPr>
            <w:r>
              <w:rPr>
                <w:rFonts w:hint="eastAsia" w:ascii="宋体" w:hAnsi="宋体" w:cs="宋体"/>
                <w:kern w:val="0"/>
                <w:sz w:val="24"/>
                <w:szCs w:val="24"/>
              </w:rPr>
              <w:t>1.0</w:t>
            </w:r>
          </w:p>
        </w:tc>
        <w:tc>
          <w:tcPr>
            <w:tcW w:w="159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DCB173">
            <w:pPr>
              <w:jc w:val="center"/>
              <w:rPr>
                <w:rFonts w:ascii="宋体" w:hAnsi="宋体" w:cs="宋体"/>
                <w:kern w:val="0"/>
                <w:sz w:val="24"/>
                <w:szCs w:val="24"/>
              </w:rPr>
            </w:pPr>
          </w:p>
        </w:tc>
        <w:tc>
          <w:tcPr>
            <w:tcW w:w="2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57C9E5">
            <w:pPr>
              <w:jc w:val="center"/>
              <w:rPr>
                <w:rFonts w:ascii="宋体" w:hAnsi="宋体" w:cs="宋体"/>
                <w:kern w:val="0"/>
                <w:sz w:val="24"/>
                <w:szCs w:val="24"/>
              </w:rPr>
            </w:pPr>
          </w:p>
        </w:tc>
      </w:tr>
    </w:tbl>
    <w:p w14:paraId="6581D967">
      <w:pPr>
        <w:pStyle w:val="23"/>
        <w:ind w:firstLine="720"/>
        <w:rPr>
          <w:rFonts w:hint="default"/>
        </w:rPr>
      </w:pPr>
      <w:r>
        <w:t>2.1.3操作方法和结果计算</w:t>
      </w:r>
    </w:p>
    <w:p w14:paraId="744A9C21">
      <w:pPr>
        <w:pStyle w:val="23"/>
        <w:ind w:firstLine="720"/>
        <w:rPr>
          <w:rFonts w:hint="default"/>
        </w:rPr>
      </w:pPr>
      <w:r>
        <w:t>将已准备好的一份湿浆，放入装有350ml蒸馏水的1000ml的烧杯中，开动搅拌器，使其小块浆全部解离至没有浆块和纤维束，调节搅拌器速度，不断搅拌，使产生约2.5cm深度的旋涡。吸取50ml 0.1N高锰酸钾和量取50ml 4N硫酸放入250毫升烧杯中，将混合液调匀。立即倒入1000ml的反应杯中，同时，开动定时钟，并用50ml蒸馏水分次洗涤盛混合液的烧杯，洗液亦倒入1000ml的反应杯中，待反应进行恰好10分钟时，立即加入10ml 1N KI溶液，迅速用0.2 N Na2S2O3标准溶液滴定之，滴定至颜色刚好消失。</w:t>
      </w:r>
    </w:p>
    <w:p w14:paraId="4894541D">
      <w:pPr>
        <w:pStyle w:val="23"/>
        <w:ind w:firstLine="720"/>
        <w:rPr>
          <w:rFonts w:hint="default"/>
        </w:rPr>
      </w:pPr>
      <w:r>
        <w:t xml:space="preserve">    按同样手续进行空白试验。</w:t>
      </w:r>
    </w:p>
    <w:p w14:paraId="1D9EDEFA">
      <w:pPr>
        <w:pStyle w:val="23"/>
        <w:ind w:firstLine="720"/>
        <w:rPr>
          <w:rFonts w:hint="default"/>
        </w:rPr>
      </w:pPr>
      <w:r>
        <w:t xml:space="preserve">    计算公式如下：</w:t>
      </w:r>
    </w:p>
    <w:p w14:paraId="5FC75ACF">
      <w:pPr>
        <w:pStyle w:val="23"/>
        <w:ind w:firstLine="720"/>
        <w:rPr>
          <w:rFonts w:hint="default"/>
        </w:rPr>
      </w:pPr>
      <w:r>
        <w:t xml:space="preserve">    V2=(Va-V1)c /0.1    K=V2×F/W</w:t>
      </w:r>
    </w:p>
    <w:p w14:paraId="7603A21C">
      <w:pPr>
        <w:pStyle w:val="23"/>
        <w:ind w:firstLine="720"/>
        <w:rPr>
          <w:rFonts w:hint="default"/>
        </w:rPr>
      </w:pPr>
      <w:r>
        <w:t>式中：</w:t>
      </w:r>
    </w:p>
    <w:p w14:paraId="67717A9A">
      <w:pPr>
        <w:pStyle w:val="23"/>
        <w:ind w:firstLine="1200" w:firstLineChars="500"/>
        <w:rPr>
          <w:rFonts w:hint="default"/>
        </w:rPr>
      </w:pPr>
      <w:r>
        <w:t>V2：消耗0.1N KMnO4毫升数。</w:t>
      </w:r>
    </w:p>
    <w:p w14:paraId="6D0FA3DA">
      <w:pPr>
        <w:pStyle w:val="23"/>
        <w:ind w:firstLine="1200" w:firstLineChars="500"/>
        <w:rPr>
          <w:rFonts w:hint="default"/>
        </w:rPr>
      </w:pPr>
      <w:r>
        <w:t>V1：为测定样品时消耗硫代硫酸钠的毫升数。</w:t>
      </w:r>
    </w:p>
    <w:p w14:paraId="7A359EDB">
      <w:pPr>
        <w:pStyle w:val="23"/>
        <w:ind w:firstLine="720"/>
        <w:rPr>
          <w:rFonts w:hint="default"/>
        </w:rPr>
      </w:pPr>
      <w:r>
        <w:t xml:space="preserve">    Va：空白试验消耗硫代硫酸钠的毫升数。</w:t>
      </w:r>
    </w:p>
    <w:p w14:paraId="19774A66">
      <w:pPr>
        <w:pStyle w:val="23"/>
        <w:ind w:firstLine="720"/>
        <w:rPr>
          <w:rFonts w:hint="default"/>
        </w:rPr>
      </w:pPr>
      <w:r>
        <w:t xml:space="preserve">    c：硫代硫酸钠的当量浓度。</w:t>
      </w:r>
    </w:p>
    <w:p w14:paraId="6184B67D">
      <w:pPr>
        <w:pStyle w:val="23"/>
        <w:ind w:firstLine="1200" w:firstLineChars="500"/>
        <w:rPr>
          <w:rFonts w:hint="default"/>
        </w:rPr>
      </w:pPr>
      <w:r>
        <w:t>K：卡伯值</w:t>
      </w:r>
    </w:p>
    <w:p w14:paraId="64196BA1">
      <w:pPr>
        <w:pStyle w:val="23"/>
        <w:ind w:firstLine="720"/>
        <w:rPr>
          <w:rFonts w:hint="default"/>
        </w:rPr>
      </w:pPr>
      <w:r>
        <w:t xml:space="preserve">    F：换算为消耗50%高锰酸钾的常数，根据V2值查“f”常数表而得。</w:t>
      </w:r>
    </w:p>
    <w:p w14:paraId="4C9256E7">
      <w:pPr>
        <w:pStyle w:val="23"/>
        <w:ind w:firstLine="720"/>
        <w:rPr>
          <w:rFonts w:hint="default"/>
        </w:rPr>
      </w:pPr>
      <w:r>
        <w:t xml:space="preserve">    W：绝干试样重(g)。</w:t>
      </w:r>
    </w:p>
    <w:p w14:paraId="74AAC03E">
      <w:pPr>
        <w:pStyle w:val="23"/>
        <w:ind w:firstLine="720"/>
        <w:rPr>
          <w:rFonts w:hint="default"/>
        </w:rPr>
      </w:pPr>
      <w:r>
        <w:t>温度在20-30℃之间卡伯值可按下式换算:</w:t>
      </w:r>
    </w:p>
    <w:p w14:paraId="197690B4">
      <w:pPr>
        <w:pStyle w:val="23"/>
        <w:ind w:firstLine="720"/>
        <w:rPr>
          <w:rFonts w:hint="default"/>
        </w:rPr>
      </w:pPr>
      <w:r>
        <w:t>卡伯值K＝V2×F[1+0.013(25-t)]/W</w:t>
      </w:r>
    </w:p>
    <w:p w14:paraId="55FBA5B2">
      <w:pPr>
        <w:pStyle w:val="23"/>
        <w:ind w:firstLine="720"/>
        <w:rPr>
          <w:rFonts w:hint="default"/>
        </w:rPr>
      </w:pPr>
      <w:r>
        <w:t xml:space="preserve">    式中t为测定时的温度。</w:t>
      </w:r>
    </w:p>
    <w:p w14:paraId="7B1E212F">
      <w:pPr>
        <w:pStyle w:val="23"/>
        <w:ind w:firstLine="720"/>
        <w:rPr>
          <w:rFonts w:hint="default"/>
        </w:rPr>
      </w:pPr>
      <w:r>
        <w:t>注:要求精确到小数点后第一位，两次测定值之间误差不应超过1。</w:t>
      </w:r>
    </w:p>
    <w:p w14:paraId="6ECBD5AD">
      <w:pPr>
        <w:spacing w:line="360" w:lineRule="exact"/>
        <w:rPr>
          <w:rFonts w:ascii="宋体" w:hAnsi="宋体" w:cs="宋体"/>
          <w:sz w:val="24"/>
          <w:szCs w:val="24"/>
        </w:rPr>
      </w:pPr>
      <w:r>
        <w:rPr>
          <w:rFonts w:hint="eastAsia" w:ascii="宋体" w:hAnsi="宋体" w:cs="宋体"/>
          <w:sz w:val="24"/>
          <w:szCs w:val="24"/>
        </w:rPr>
        <w:t xml:space="preserve"> </w:t>
      </w:r>
    </w:p>
    <w:tbl>
      <w:tblPr>
        <w:tblStyle w:val="18"/>
        <w:tblW w:w="0" w:type="auto"/>
        <w:jc w:val="center"/>
        <w:tblLayout w:type="fixed"/>
        <w:tblCellMar>
          <w:top w:w="0" w:type="dxa"/>
          <w:left w:w="108" w:type="dxa"/>
          <w:bottom w:w="0" w:type="dxa"/>
          <w:right w:w="108" w:type="dxa"/>
        </w:tblCellMar>
      </w:tblPr>
      <w:tblGrid>
        <w:gridCol w:w="876"/>
        <w:gridCol w:w="876"/>
        <w:gridCol w:w="876"/>
        <w:gridCol w:w="876"/>
        <w:gridCol w:w="876"/>
        <w:gridCol w:w="876"/>
        <w:gridCol w:w="876"/>
        <w:gridCol w:w="876"/>
        <w:gridCol w:w="876"/>
        <w:gridCol w:w="876"/>
        <w:gridCol w:w="876"/>
      </w:tblGrid>
      <w:tr w14:paraId="6C012D30">
        <w:tblPrEx>
          <w:tblCellMar>
            <w:top w:w="0" w:type="dxa"/>
            <w:left w:w="108" w:type="dxa"/>
            <w:bottom w:w="0" w:type="dxa"/>
            <w:right w:w="108" w:type="dxa"/>
          </w:tblCellMar>
        </w:tblPrEx>
        <w:trPr>
          <w:trHeight w:val="472" w:hRule="atLeast"/>
          <w:jc w:val="center"/>
        </w:trPr>
        <w:tc>
          <w:tcPr>
            <w:tcW w:w="876" w:type="dxa"/>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5D2A85">
            <w:pPr>
              <w:jc w:val="center"/>
              <w:rPr>
                <w:rFonts w:ascii="宋体" w:hAnsi="宋体" w:cs="宋体"/>
                <w:kern w:val="0"/>
                <w:sz w:val="24"/>
                <w:szCs w:val="24"/>
              </w:rPr>
            </w:pPr>
            <w:r>
              <w:rPr>
                <w:rFonts w:hint="eastAsia" w:ascii="宋体" w:hAnsi="宋体" w:cs="宋体"/>
                <w:kern w:val="0"/>
                <w:sz w:val="24"/>
                <w:szCs w:val="24"/>
              </w:rPr>
              <w:t>V</w:t>
            </w:r>
            <w:r>
              <w:rPr>
                <w:rFonts w:hint="eastAsia" w:ascii="宋体" w:hAnsi="宋体" w:cs="宋体"/>
                <w:kern w:val="0"/>
                <w:sz w:val="24"/>
                <w:szCs w:val="24"/>
                <w:vertAlign w:val="subscript"/>
              </w:rPr>
              <w:t>2</w:t>
            </w:r>
          </w:p>
          <w:p w14:paraId="2E7E8239">
            <w:pPr>
              <w:jc w:val="center"/>
              <w:rPr>
                <w:rFonts w:ascii="宋体" w:hAnsi="宋体" w:cs="宋体"/>
                <w:kern w:val="0"/>
                <w:sz w:val="24"/>
                <w:szCs w:val="24"/>
              </w:rPr>
            </w:pPr>
            <w:r>
              <w:rPr>
                <w:rFonts w:hint="eastAsia" w:ascii="宋体" w:hAnsi="宋体" w:cs="宋体"/>
                <w:kern w:val="0"/>
                <w:sz w:val="24"/>
                <w:szCs w:val="24"/>
              </w:rPr>
              <w:t>ml</w:t>
            </w:r>
          </w:p>
        </w:tc>
        <w:tc>
          <w:tcPr>
            <w:tcW w:w="8760" w:type="dxa"/>
            <w:gridSpan w:val="10"/>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7CA7739C">
            <w:pPr>
              <w:jc w:val="center"/>
              <w:rPr>
                <w:rFonts w:ascii="宋体" w:hAnsi="宋体" w:cs="宋体"/>
                <w:kern w:val="0"/>
                <w:sz w:val="24"/>
                <w:szCs w:val="24"/>
              </w:rPr>
            </w:pPr>
            <w:r>
              <w:rPr>
                <w:rFonts w:hint="eastAsia" w:ascii="宋体" w:hAnsi="宋体" w:cs="宋体"/>
                <w:kern w:val="0"/>
                <w:sz w:val="24"/>
                <w:szCs w:val="24"/>
              </w:rPr>
              <w:t>f</w:t>
            </w:r>
          </w:p>
        </w:tc>
      </w:tr>
      <w:tr w14:paraId="1B01A4E3">
        <w:tblPrEx>
          <w:tblCellMar>
            <w:top w:w="0" w:type="dxa"/>
            <w:left w:w="108" w:type="dxa"/>
            <w:bottom w:w="0" w:type="dxa"/>
            <w:right w:w="108" w:type="dxa"/>
          </w:tblCellMar>
        </w:tblPrEx>
        <w:trPr>
          <w:trHeight w:val="529" w:hRule="atLeast"/>
          <w:jc w:val="center"/>
        </w:trPr>
        <w:tc>
          <w:tcPr>
            <w:tcW w:w="876" w:type="dxa"/>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D2BD05">
            <w:pPr>
              <w:jc w:val="center"/>
              <w:rPr>
                <w:rFonts w:ascii="宋体" w:hAnsi="宋体" w:cs="宋体"/>
                <w:kern w:val="0"/>
                <w:sz w:val="24"/>
                <w:szCs w:val="24"/>
              </w:rPr>
            </w:pP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7487D9">
            <w:pPr>
              <w:jc w:val="center"/>
              <w:rPr>
                <w:rFonts w:ascii="宋体" w:hAnsi="宋体" w:cs="宋体"/>
                <w:kern w:val="0"/>
                <w:sz w:val="24"/>
                <w:szCs w:val="24"/>
              </w:rPr>
            </w:pPr>
            <w:r>
              <w:rPr>
                <w:rFonts w:hint="eastAsia" w:ascii="宋体" w:hAnsi="宋体" w:cs="宋体"/>
                <w:kern w:val="0"/>
                <w:sz w:val="24"/>
                <w:szCs w:val="24"/>
              </w:rPr>
              <w:t>0</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512A53">
            <w:pPr>
              <w:jc w:val="center"/>
              <w:rPr>
                <w:rFonts w:ascii="宋体" w:hAnsi="宋体" w:cs="宋体"/>
                <w:kern w:val="0"/>
                <w:sz w:val="24"/>
                <w:szCs w:val="24"/>
              </w:rPr>
            </w:pPr>
            <w:r>
              <w:rPr>
                <w:rFonts w:hint="eastAsia" w:ascii="宋体" w:hAnsi="宋体" w:cs="宋体"/>
                <w:kern w:val="0"/>
                <w:sz w:val="24"/>
                <w:szCs w:val="24"/>
              </w:rPr>
              <w:t>1</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DE2C448">
            <w:pPr>
              <w:jc w:val="center"/>
              <w:rPr>
                <w:rFonts w:ascii="宋体" w:hAnsi="宋体" w:cs="宋体"/>
                <w:kern w:val="0"/>
                <w:sz w:val="24"/>
                <w:szCs w:val="24"/>
              </w:rPr>
            </w:pPr>
            <w:r>
              <w:rPr>
                <w:rFonts w:hint="eastAsia" w:ascii="宋体" w:hAnsi="宋体" w:cs="宋体"/>
                <w:kern w:val="0"/>
                <w:sz w:val="24"/>
                <w:szCs w:val="24"/>
              </w:rPr>
              <w:t>2</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8CE865">
            <w:pPr>
              <w:jc w:val="center"/>
              <w:rPr>
                <w:rFonts w:ascii="宋体" w:hAnsi="宋体" w:cs="宋体"/>
                <w:kern w:val="0"/>
                <w:sz w:val="24"/>
                <w:szCs w:val="24"/>
              </w:rPr>
            </w:pPr>
            <w:r>
              <w:rPr>
                <w:rFonts w:hint="eastAsia" w:ascii="宋体" w:hAnsi="宋体" w:cs="宋体"/>
                <w:kern w:val="0"/>
                <w:sz w:val="24"/>
                <w:szCs w:val="24"/>
              </w:rPr>
              <w:t>3</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B026A3">
            <w:pPr>
              <w:jc w:val="center"/>
              <w:rPr>
                <w:rFonts w:ascii="宋体" w:hAnsi="宋体" w:cs="宋体"/>
                <w:kern w:val="0"/>
                <w:sz w:val="24"/>
                <w:szCs w:val="24"/>
              </w:rPr>
            </w:pPr>
            <w:r>
              <w:rPr>
                <w:rFonts w:hint="eastAsia" w:ascii="宋体" w:hAnsi="宋体" w:cs="宋体"/>
                <w:kern w:val="0"/>
                <w:sz w:val="24"/>
                <w:szCs w:val="24"/>
              </w:rPr>
              <w:t>4</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188041">
            <w:pPr>
              <w:jc w:val="center"/>
              <w:rPr>
                <w:rFonts w:ascii="宋体" w:hAnsi="宋体" w:cs="宋体"/>
                <w:kern w:val="0"/>
                <w:sz w:val="24"/>
                <w:szCs w:val="24"/>
              </w:rPr>
            </w:pPr>
            <w:r>
              <w:rPr>
                <w:rFonts w:hint="eastAsia" w:ascii="宋体" w:hAnsi="宋体" w:cs="宋体"/>
                <w:kern w:val="0"/>
                <w:sz w:val="24"/>
                <w:szCs w:val="24"/>
              </w:rPr>
              <w:t>5</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715BDE">
            <w:pPr>
              <w:jc w:val="center"/>
              <w:rPr>
                <w:rFonts w:ascii="宋体" w:hAnsi="宋体" w:cs="宋体"/>
                <w:kern w:val="0"/>
                <w:sz w:val="24"/>
                <w:szCs w:val="24"/>
              </w:rPr>
            </w:pPr>
            <w:r>
              <w:rPr>
                <w:rFonts w:hint="eastAsia" w:ascii="宋体" w:hAnsi="宋体" w:cs="宋体"/>
                <w:kern w:val="0"/>
                <w:sz w:val="24"/>
                <w:szCs w:val="24"/>
              </w:rPr>
              <w:t>6</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52BE67">
            <w:pPr>
              <w:jc w:val="center"/>
              <w:rPr>
                <w:rFonts w:ascii="宋体" w:hAnsi="宋体" w:cs="宋体"/>
                <w:kern w:val="0"/>
                <w:sz w:val="24"/>
                <w:szCs w:val="24"/>
              </w:rPr>
            </w:pPr>
            <w:r>
              <w:rPr>
                <w:rFonts w:hint="eastAsia" w:ascii="宋体" w:hAnsi="宋体" w:cs="宋体"/>
                <w:kern w:val="0"/>
                <w:sz w:val="24"/>
                <w:szCs w:val="24"/>
              </w:rPr>
              <w:t>7</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E506D7">
            <w:pPr>
              <w:jc w:val="center"/>
              <w:rPr>
                <w:rFonts w:ascii="宋体" w:hAnsi="宋体" w:cs="宋体"/>
                <w:kern w:val="0"/>
                <w:sz w:val="24"/>
                <w:szCs w:val="24"/>
              </w:rPr>
            </w:pPr>
            <w:r>
              <w:rPr>
                <w:rFonts w:hint="eastAsia" w:ascii="宋体" w:hAnsi="宋体" w:cs="宋体"/>
                <w:kern w:val="0"/>
                <w:sz w:val="24"/>
                <w:szCs w:val="24"/>
              </w:rPr>
              <w:t>8</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04E0ED">
            <w:pPr>
              <w:jc w:val="center"/>
              <w:rPr>
                <w:rFonts w:ascii="宋体" w:hAnsi="宋体" w:cs="宋体"/>
                <w:kern w:val="0"/>
                <w:sz w:val="24"/>
                <w:szCs w:val="24"/>
              </w:rPr>
            </w:pPr>
            <w:r>
              <w:rPr>
                <w:rFonts w:hint="eastAsia" w:ascii="宋体" w:hAnsi="宋体" w:cs="宋体"/>
                <w:kern w:val="0"/>
                <w:sz w:val="24"/>
                <w:szCs w:val="24"/>
              </w:rPr>
              <w:t>9</w:t>
            </w:r>
          </w:p>
        </w:tc>
      </w:tr>
      <w:tr w14:paraId="3ED9F8CB">
        <w:tblPrEx>
          <w:tblCellMar>
            <w:top w:w="0" w:type="dxa"/>
            <w:left w:w="108" w:type="dxa"/>
            <w:bottom w:w="0" w:type="dxa"/>
            <w:right w:w="108" w:type="dxa"/>
          </w:tblCellMar>
        </w:tblPrEx>
        <w:trPr>
          <w:trHeight w:val="472" w:hRule="atLeast"/>
          <w:jc w:val="center"/>
        </w:trPr>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530BE6">
            <w:pPr>
              <w:jc w:val="center"/>
              <w:rPr>
                <w:rFonts w:ascii="宋体" w:hAnsi="宋体" w:cs="宋体"/>
                <w:kern w:val="0"/>
                <w:sz w:val="24"/>
                <w:szCs w:val="24"/>
              </w:rPr>
            </w:pPr>
            <w:r>
              <w:rPr>
                <w:rFonts w:hint="eastAsia" w:ascii="宋体" w:hAnsi="宋体" w:cs="宋体"/>
                <w:kern w:val="0"/>
                <w:sz w:val="24"/>
                <w:szCs w:val="24"/>
              </w:rPr>
              <w:t>10</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77F934">
            <w:pPr>
              <w:jc w:val="center"/>
              <w:rPr>
                <w:rFonts w:ascii="宋体" w:hAnsi="宋体" w:cs="宋体"/>
                <w:kern w:val="0"/>
                <w:sz w:val="24"/>
                <w:szCs w:val="24"/>
              </w:rPr>
            </w:pPr>
            <w:r>
              <w:rPr>
                <w:rFonts w:hint="eastAsia" w:ascii="宋体" w:hAnsi="宋体" w:cs="宋体"/>
                <w:kern w:val="0"/>
                <w:sz w:val="24"/>
                <w:szCs w:val="24"/>
              </w:rPr>
              <w:t>0.938</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4C54C3">
            <w:pPr>
              <w:jc w:val="center"/>
              <w:rPr>
                <w:rFonts w:ascii="宋体" w:hAnsi="宋体" w:cs="宋体"/>
                <w:kern w:val="0"/>
                <w:sz w:val="24"/>
                <w:szCs w:val="24"/>
              </w:rPr>
            </w:pPr>
            <w:r>
              <w:rPr>
                <w:rFonts w:hint="eastAsia" w:ascii="宋体" w:hAnsi="宋体" w:cs="宋体"/>
                <w:kern w:val="0"/>
                <w:sz w:val="24"/>
                <w:szCs w:val="24"/>
              </w:rPr>
              <w:t>0.942</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ED23A6">
            <w:pPr>
              <w:jc w:val="center"/>
              <w:rPr>
                <w:rFonts w:ascii="宋体" w:hAnsi="宋体" w:cs="宋体"/>
                <w:kern w:val="0"/>
                <w:sz w:val="24"/>
                <w:szCs w:val="24"/>
              </w:rPr>
            </w:pPr>
            <w:r>
              <w:rPr>
                <w:rFonts w:hint="eastAsia" w:ascii="宋体" w:hAnsi="宋体" w:cs="宋体"/>
                <w:kern w:val="0"/>
                <w:sz w:val="24"/>
                <w:szCs w:val="24"/>
              </w:rPr>
              <w:t>0.946</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E5AD407">
            <w:pPr>
              <w:jc w:val="center"/>
              <w:rPr>
                <w:rFonts w:ascii="宋体" w:hAnsi="宋体" w:cs="宋体"/>
                <w:kern w:val="0"/>
                <w:sz w:val="24"/>
                <w:szCs w:val="24"/>
              </w:rPr>
            </w:pPr>
            <w:r>
              <w:rPr>
                <w:rFonts w:hint="eastAsia" w:ascii="宋体" w:hAnsi="宋体" w:cs="宋体"/>
                <w:kern w:val="0"/>
                <w:sz w:val="24"/>
                <w:szCs w:val="24"/>
              </w:rPr>
              <w:t>0.950</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AF8EC3">
            <w:pPr>
              <w:jc w:val="center"/>
              <w:rPr>
                <w:rFonts w:ascii="宋体" w:hAnsi="宋体" w:cs="宋体"/>
                <w:kern w:val="0"/>
                <w:sz w:val="24"/>
                <w:szCs w:val="24"/>
              </w:rPr>
            </w:pPr>
            <w:r>
              <w:rPr>
                <w:rFonts w:hint="eastAsia" w:ascii="宋体" w:hAnsi="宋体" w:cs="宋体"/>
                <w:kern w:val="0"/>
                <w:sz w:val="24"/>
                <w:szCs w:val="24"/>
              </w:rPr>
              <w:t>0.954</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21C23C">
            <w:pPr>
              <w:jc w:val="center"/>
              <w:rPr>
                <w:rFonts w:ascii="宋体" w:hAnsi="宋体" w:cs="宋体"/>
                <w:kern w:val="0"/>
                <w:sz w:val="24"/>
                <w:szCs w:val="24"/>
              </w:rPr>
            </w:pPr>
            <w:r>
              <w:rPr>
                <w:rFonts w:hint="eastAsia" w:ascii="宋体" w:hAnsi="宋体" w:cs="宋体"/>
                <w:kern w:val="0"/>
                <w:sz w:val="24"/>
                <w:szCs w:val="24"/>
              </w:rPr>
              <w:t>0.958</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C051CB">
            <w:pPr>
              <w:jc w:val="center"/>
              <w:rPr>
                <w:rFonts w:ascii="宋体" w:hAnsi="宋体" w:cs="宋体"/>
                <w:kern w:val="0"/>
                <w:sz w:val="24"/>
                <w:szCs w:val="24"/>
              </w:rPr>
            </w:pPr>
            <w:r>
              <w:rPr>
                <w:rFonts w:hint="eastAsia" w:ascii="宋体" w:hAnsi="宋体" w:cs="宋体"/>
                <w:kern w:val="0"/>
                <w:sz w:val="24"/>
                <w:szCs w:val="24"/>
              </w:rPr>
              <w:t>0.962</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E92952">
            <w:pPr>
              <w:jc w:val="center"/>
              <w:rPr>
                <w:rFonts w:ascii="宋体" w:hAnsi="宋体" w:cs="宋体"/>
                <w:kern w:val="0"/>
                <w:sz w:val="24"/>
                <w:szCs w:val="24"/>
              </w:rPr>
            </w:pPr>
            <w:r>
              <w:rPr>
                <w:rFonts w:hint="eastAsia" w:ascii="宋体" w:hAnsi="宋体" w:cs="宋体"/>
                <w:kern w:val="0"/>
                <w:sz w:val="24"/>
                <w:szCs w:val="24"/>
              </w:rPr>
              <w:t>0.966</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F9062">
            <w:pPr>
              <w:jc w:val="center"/>
              <w:rPr>
                <w:rFonts w:ascii="宋体" w:hAnsi="宋体" w:cs="宋体"/>
                <w:kern w:val="0"/>
                <w:sz w:val="24"/>
                <w:szCs w:val="24"/>
              </w:rPr>
            </w:pPr>
            <w:r>
              <w:rPr>
                <w:rFonts w:hint="eastAsia" w:ascii="宋体" w:hAnsi="宋体" w:cs="宋体"/>
                <w:kern w:val="0"/>
                <w:sz w:val="24"/>
                <w:szCs w:val="24"/>
              </w:rPr>
              <w:t>0.970</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EF48B3">
            <w:pPr>
              <w:jc w:val="center"/>
              <w:rPr>
                <w:rFonts w:ascii="宋体" w:hAnsi="宋体" w:cs="宋体"/>
                <w:kern w:val="0"/>
                <w:sz w:val="24"/>
                <w:szCs w:val="24"/>
              </w:rPr>
            </w:pPr>
            <w:r>
              <w:rPr>
                <w:rFonts w:hint="eastAsia" w:ascii="宋体" w:hAnsi="宋体" w:cs="宋体"/>
                <w:kern w:val="0"/>
                <w:sz w:val="24"/>
                <w:szCs w:val="24"/>
              </w:rPr>
              <w:t>0.975</w:t>
            </w:r>
          </w:p>
        </w:tc>
      </w:tr>
      <w:tr w14:paraId="142082F6">
        <w:tblPrEx>
          <w:tblCellMar>
            <w:top w:w="0" w:type="dxa"/>
            <w:left w:w="108" w:type="dxa"/>
            <w:bottom w:w="0" w:type="dxa"/>
            <w:right w:w="108" w:type="dxa"/>
          </w:tblCellMar>
        </w:tblPrEx>
        <w:trPr>
          <w:trHeight w:val="472" w:hRule="atLeast"/>
          <w:jc w:val="center"/>
        </w:trPr>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972925">
            <w:pPr>
              <w:jc w:val="center"/>
              <w:rPr>
                <w:rFonts w:ascii="宋体" w:hAnsi="宋体" w:cs="宋体"/>
                <w:kern w:val="0"/>
                <w:sz w:val="24"/>
                <w:szCs w:val="24"/>
              </w:rPr>
            </w:pPr>
            <w:r>
              <w:rPr>
                <w:rFonts w:hint="eastAsia" w:ascii="宋体" w:hAnsi="宋体" w:cs="宋体"/>
                <w:kern w:val="0"/>
                <w:sz w:val="24"/>
                <w:szCs w:val="24"/>
              </w:rPr>
              <w:t>20</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D8BECE">
            <w:pPr>
              <w:jc w:val="center"/>
              <w:rPr>
                <w:rFonts w:ascii="宋体" w:hAnsi="宋体" w:cs="宋体"/>
                <w:kern w:val="0"/>
                <w:sz w:val="24"/>
                <w:szCs w:val="24"/>
              </w:rPr>
            </w:pPr>
            <w:r>
              <w:rPr>
                <w:rFonts w:hint="eastAsia" w:ascii="宋体" w:hAnsi="宋体" w:cs="宋体"/>
                <w:kern w:val="0"/>
                <w:sz w:val="24"/>
                <w:szCs w:val="24"/>
              </w:rPr>
              <w:t>0.979</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540FE58">
            <w:pPr>
              <w:jc w:val="center"/>
              <w:rPr>
                <w:rFonts w:ascii="宋体" w:hAnsi="宋体" w:cs="宋体"/>
                <w:kern w:val="0"/>
                <w:sz w:val="24"/>
                <w:szCs w:val="24"/>
              </w:rPr>
            </w:pPr>
            <w:r>
              <w:rPr>
                <w:rFonts w:hint="eastAsia" w:ascii="宋体" w:hAnsi="宋体" w:cs="宋体"/>
                <w:kern w:val="0"/>
                <w:sz w:val="24"/>
                <w:szCs w:val="24"/>
              </w:rPr>
              <w:t>0.983</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6AC6F8">
            <w:pPr>
              <w:jc w:val="center"/>
              <w:rPr>
                <w:rFonts w:ascii="宋体" w:hAnsi="宋体" w:cs="宋体"/>
                <w:kern w:val="0"/>
                <w:sz w:val="24"/>
                <w:szCs w:val="24"/>
              </w:rPr>
            </w:pPr>
            <w:r>
              <w:rPr>
                <w:rFonts w:hint="eastAsia" w:ascii="宋体" w:hAnsi="宋体" w:cs="宋体"/>
                <w:kern w:val="0"/>
                <w:sz w:val="24"/>
                <w:szCs w:val="24"/>
              </w:rPr>
              <w:t>0.987</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CF9FCBD">
            <w:pPr>
              <w:jc w:val="center"/>
              <w:rPr>
                <w:rFonts w:ascii="宋体" w:hAnsi="宋体" w:cs="宋体"/>
                <w:kern w:val="0"/>
                <w:sz w:val="24"/>
                <w:szCs w:val="24"/>
              </w:rPr>
            </w:pPr>
            <w:r>
              <w:rPr>
                <w:rFonts w:hint="eastAsia" w:ascii="宋体" w:hAnsi="宋体" w:cs="宋体"/>
                <w:kern w:val="0"/>
                <w:sz w:val="24"/>
                <w:szCs w:val="24"/>
              </w:rPr>
              <w:t>0.991</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16C57C3">
            <w:pPr>
              <w:jc w:val="center"/>
              <w:rPr>
                <w:rFonts w:ascii="宋体" w:hAnsi="宋体" w:cs="宋体"/>
                <w:kern w:val="0"/>
                <w:sz w:val="24"/>
                <w:szCs w:val="24"/>
              </w:rPr>
            </w:pPr>
            <w:r>
              <w:rPr>
                <w:rFonts w:hint="eastAsia" w:ascii="宋体" w:hAnsi="宋体" w:cs="宋体"/>
                <w:kern w:val="0"/>
                <w:sz w:val="24"/>
                <w:szCs w:val="24"/>
              </w:rPr>
              <w:t>0.996</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5D1781">
            <w:pPr>
              <w:jc w:val="center"/>
              <w:rPr>
                <w:rFonts w:ascii="宋体" w:hAnsi="宋体" w:cs="宋体"/>
                <w:kern w:val="0"/>
                <w:sz w:val="24"/>
                <w:szCs w:val="24"/>
              </w:rPr>
            </w:pPr>
            <w:r>
              <w:rPr>
                <w:rFonts w:hint="eastAsia" w:ascii="宋体" w:hAnsi="宋体" w:cs="宋体"/>
                <w:kern w:val="0"/>
                <w:sz w:val="24"/>
                <w:szCs w:val="24"/>
              </w:rPr>
              <w:t>1.000</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7710ED">
            <w:pPr>
              <w:jc w:val="center"/>
              <w:rPr>
                <w:rFonts w:ascii="宋体" w:hAnsi="宋体" w:cs="宋体"/>
                <w:kern w:val="0"/>
                <w:sz w:val="24"/>
                <w:szCs w:val="24"/>
              </w:rPr>
            </w:pPr>
            <w:r>
              <w:rPr>
                <w:rFonts w:hint="eastAsia" w:ascii="宋体" w:hAnsi="宋体" w:cs="宋体"/>
                <w:kern w:val="0"/>
                <w:sz w:val="24"/>
                <w:szCs w:val="24"/>
              </w:rPr>
              <w:t>1.004</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D927">
            <w:pPr>
              <w:jc w:val="center"/>
              <w:rPr>
                <w:rFonts w:ascii="宋体" w:hAnsi="宋体" w:cs="宋体"/>
                <w:kern w:val="0"/>
                <w:sz w:val="24"/>
                <w:szCs w:val="24"/>
              </w:rPr>
            </w:pPr>
            <w:r>
              <w:rPr>
                <w:rFonts w:hint="eastAsia" w:ascii="宋体" w:hAnsi="宋体" w:cs="宋体"/>
                <w:kern w:val="0"/>
                <w:sz w:val="24"/>
                <w:szCs w:val="24"/>
              </w:rPr>
              <w:t>1.009</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16D512">
            <w:pPr>
              <w:jc w:val="center"/>
              <w:rPr>
                <w:rFonts w:ascii="宋体" w:hAnsi="宋体" w:cs="宋体"/>
                <w:kern w:val="0"/>
                <w:sz w:val="24"/>
                <w:szCs w:val="24"/>
              </w:rPr>
            </w:pPr>
            <w:r>
              <w:rPr>
                <w:rFonts w:hint="eastAsia" w:ascii="宋体" w:hAnsi="宋体" w:cs="宋体"/>
                <w:kern w:val="0"/>
                <w:sz w:val="24"/>
                <w:szCs w:val="24"/>
              </w:rPr>
              <w:t>1.013</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B488448">
            <w:pPr>
              <w:jc w:val="center"/>
              <w:rPr>
                <w:rFonts w:ascii="宋体" w:hAnsi="宋体" w:cs="宋体"/>
                <w:kern w:val="0"/>
                <w:sz w:val="24"/>
                <w:szCs w:val="24"/>
              </w:rPr>
            </w:pPr>
            <w:r>
              <w:rPr>
                <w:rFonts w:hint="eastAsia" w:ascii="宋体" w:hAnsi="宋体" w:cs="宋体"/>
                <w:kern w:val="0"/>
                <w:sz w:val="24"/>
                <w:szCs w:val="24"/>
              </w:rPr>
              <w:t>1,017</w:t>
            </w:r>
          </w:p>
        </w:tc>
      </w:tr>
      <w:tr w14:paraId="0089690F">
        <w:tblPrEx>
          <w:tblCellMar>
            <w:top w:w="0" w:type="dxa"/>
            <w:left w:w="108" w:type="dxa"/>
            <w:bottom w:w="0" w:type="dxa"/>
            <w:right w:w="108" w:type="dxa"/>
          </w:tblCellMar>
        </w:tblPrEx>
        <w:trPr>
          <w:trHeight w:val="472" w:hRule="atLeast"/>
          <w:jc w:val="center"/>
        </w:trPr>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E18034">
            <w:pPr>
              <w:jc w:val="center"/>
              <w:rPr>
                <w:rFonts w:ascii="宋体" w:hAnsi="宋体" w:cs="宋体"/>
                <w:kern w:val="0"/>
                <w:sz w:val="24"/>
                <w:szCs w:val="24"/>
              </w:rPr>
            </w:pPr>
            <w:r>
              <w:rPr>
                <w:rFonts w:hint="eastAsia" w:ascii="宋体" w:hAnsi="宋体" w:cs="宋体"/>
                <w:kern w:val="0"/>
                <w:sz w:val="24"/>
                <w:szCs w:val="24"/>
              </w:rPr>
              <w:t>30</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27EBA1">
            <w:pPr>
              <w:jc w:val="center"/>
              <w:rPr>
                <w:rFonts w:ascii="宋体" w:hAnsi="宋体" w:cs="宋体"/>
                <w:kern w:val="0"/>
                <w:sz w:val="24"/>
                <w:szCs w:val="24"/>
              </w:rPr>
            </w:pPr>
            <w:r>
              <w:rPr>
                <w:rFonts w:hint="eastAsia" w:ascii="宋体" w:hAnsi="宋体" w:cs="宋体"/>
                <w:kern w:val="0"/>
                <w:sz w:val="24"/>
                <w:szCs w:val="24"/>
              </w:rPr>
              <w:t>1.022</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486C55">
            <w:pPr>
              <w:jc w:val="center"/>
              <w:rPr>
                <w:rFonts w:ascii="宋体" w:hAnsi="宋体" w:cs="宋体"/>
                <w:kern w:val="0"/>
                <w:sz w:val="24"/>
                <w:szCs w:val="24"/>
              </w:rPr>
            </w:pPr>
            <w:r>
              <w:rPr>
                <w:rFonts w:hint="eastAsia" w:ascii="宋体" w:hAnsi="宋体" w:cs="宋体"/>
                <w:kern w:val="0"/>
                <w:sz w:val="24"/>
                <w:szCs w:val="24"/>
              </w:rPr>
              <w:t>1.026</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B3EAF2">
            <w:pPr>
              <w:jc w:val="center"/>
              <w:rPr>
                <w:rFonts w:ascii="宋体" w:hAnsi="宋体" w:cs="宋体"/>
                <w:kern w:val="0"/>
                <w:sz w:val="24"/>
                <w:szCs w:val="24"/>
              </w:rPr>
            </w:pPr>
            <w:r>
              <w:rPr>
                <w:rFonts w:hint="eastAsia" w:ascii="宋体" w:hAnsi="宋体" w:cs="宋体"/>
                <w:kern w:val="0"/>
                <w:sz w:val="24"/>
                <w:szCs w:val="24"/>
              </w:rPr>
              <w:t>1.03</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27237C">
            <w:pPr>
              <w:jc w:val="center"/>
              <w:rPr>
                <w:rFonts w:ascii="宋体" w:hAnsi="宋体" w:cs="宋体"/>
                <w:kern w:val="0"/>
                <w:sz w:val="24"/>
                <w:szCs w:val="24"/>
              </w:rPr>
            </w:pPr>
            <w:r>
              <w:rPr>
                <w:rFonts w:hint="eastAsia" w:ascii="宋体" w:hAnsi="宋体" w:cs="宋体"/>
                <w:kern w:val="0"/>
                <w:sz w:val="24"/>
                <w:szCs w:val="24"/>
              </w:rPr>
              <w:t>1.034</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6E9EF4">
            <w:pPr>
              <w:jc w:val="center"/>
              <w:rPr>
                <w:rFonts w:ascii="宋体" w:hAnsi="宋体" w:cs="宋体"/>
                <w:kern w:val="0"/>
                <w:sz w:val="24"/>
                <w:szCs w:val="24"/>
              </w:rPr>
            </w:pPr>
            <w:r>
              <w:rPr>
                <w:rFonts w:hint="eastAsia" w:ascii="宋体" w:hAnsi="宋体" w:cs="宋体"/>
                <w:kern w:val="0"/>
                <w:sz w:val="24"/>
                <w:szCs w:val="24"/>
              </w:rPr>
              <w:t>1.038</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EB6EFA">
            <w:pPr>
              <w:jc w:val="center"/>
              <w:rPr>
                <w:rFonts w:ascii="宋体" w:hAnsi="宋体" w:cs="宋体"/>
                <w:kern w:val="0"/>
                <w:sz w:val="24"/>
                <w:szCs w:val="24"/>
              </w:rPr>
            </w:pPr>
            <w:r>
              <w:rPr>
                <w:rFonts w:hint="eastAsia" w:ascii="宋体" w:hAnsi="宋体" w:cs="宋体"/>
                <w:kern w:val="0"/>
                <w:sz w:val="24"/>
                <w:szCs w:val="24"/>
              </w:rPr>
              <w:t>1.042</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A53D350">
            <w:pPr>
              <w:jc w:val="center"/>
              <w:rPr>
                <w:rFonts w:ascii="宋体" w:hAnsi="宋体" w:cs="宋体"/>
                <w:kern w:val="0"/>
                <w:sz w:val="24"/>
                <w:szCs w:val="24"/>
              </w:rPr>
            </w:pPr>
            <w:r>
              <w:rPr>
                <w:rFonts w:hint="eastAsia" w:ascii="宋体" w:hAnsi="宋体" w:cs="宋体"/>
                <w:kern w:val="0"/>
                <w:sz w:val="24"/>
                <w:szCs w:val="24"/>
              </w:rPr>
              <w:t>1.046</w:t>
            </w: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B4E4CA">
            <w:pPr>
              <w:jc w:val="center"/>
              <w:rPr>
                <w:rFonts w:ascii="宋体" w:hAnsi="宋体" w:cs="宋体"/>
                <w:kern w:val="0"/>
                <w:sz w:val="24"/>
                <w:szCs w:val="24"/>
              </w:rPr>
            </w:pP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83B7DD6">
            <w:pPr>
              <w:jc w:val="center"/>
              <w:rPr>
                <w:rFonts w:ascii="宋体" w:hAnsi="宋体" w:cs="宋体"/>
                <w:kern w:val="0"/>
                <w:sz w:val="24"/>
                <w:szCs w:val="24"/>
              </w:rPr>
            </w:pPr>
          </w:p>
        </w:tc>
        <w:tc>
          <w:tcPr>
            <w:tcW w:w="87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7DB9AB">
            <w:pPr>
              <w:jc w:val="center"/>
              <w:rPr>
                <w:rFonts w:ascii="宋体" w:hAnsi="宋体" w:cs="宋体"/>
                <w:kern w:val="0"/>
                <w:sz w:val="24"/>
                <w:szCs w:val="24"/>
              </w:rPr>
            </w:pPr>
          </w:p>
        </w:tc>
      </w:tr>
    </w:tbl>
    <w:p w14:paraId="7640BCC7">
      <w:pPr>
        <w:rPr>
          <w:rFonts w:ascii="宋体" w:hAnsi="宋体" w:cs="宋体"/>
          <w:kern w:val="0"/>
          <w:sz w:val="24"/>
          <w:szCs w:val="24"/>
        </w:rPr>
      </w:pPr>
    </w:p>
    <w:p w14:paraId="33E88AAD">
      <w:pPr>
        <w:jc w:val="center"/>
        <w:rPr>
          <w:rFonts w:ascii="宋体" w:hAnsi="宋体" w:cs="宋体"/>
          <w:kern w:val="0"/>
          <w:sz w:val="24"/>
          <w:szCs w:val="24"/>
        </w:rPr>
      </w:pPr>
      <w:r>
        <w:rPr>
          <w:rFonts w:hint="eastAsia" w:ascii="宋体" w:hAnsi="宋体" w:cs="宋体"/>
          <w:kern w:val="0"/>
          <w:sz w:val="24"/>
          <w:szCs w:val="24"/>
        </w:rPr>
        <w:t>温度系数换算表</w:t>
      </w:r>
    </w:p>
    <w:tbl>
      <w:tblPr>
        <w:tblStyle w:val="19"/>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816"/>
        <w:gridCol w:w="936"/>
        <w:gridCol w:w="816"/>
        <w:gridCol w:w="936"/>
        <w:gridCol w:w="910"/>
        <w:gridCol w:w="936"/>
        <w:gridCol w:w="816"/>
        <w:gridCol w:w="936"/>
        <w:gridCol w:w="816"/>
        <w:gridCol w:w="936"/>
      </w:tblGrid>
      <w:tr w14:paraId="5B95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48E354D4">
            <w:pPr>
              <w:jc w:val="center"/>
              <w:rPr>
                <w:rFonts w:ascii="宋体" w:hAnsi="宋体" w:cs="宋体"/>
                <w:kern w:val="0"/>
                <w:sz w:val="24"/>
                <w:szCs w:val="24"/>
              </w:rPr>
            </w:pPr>
            <w:r>
              <w:rPr>
                <w:rFonts w:hint="eastAsia" w:ascii="宋体" w:hAnsi="宋体" w:cs="宋体"/>
                <w:kern w:val="0"/>
                <w:sz w:val="24"/>
                <w:szCs w:val="24"/>
              </w:rPr>
              <w:t>t</w:t>
            </w:r>
          </w:p>
        </w:tc>
        <w:tc>
          <w:tcPr>
            <w:tcW w:w="812" w:type="dxa"/>
            <w:vAlign w:val="center"/>
          </w:tcPr>
          <w:p w14:paraId="6FFB3F48">
            <w:pPr>
              <w:jc w:val="center"/>
              <w:rPr>
                <w:rFonts w:ascii="宋体" w:hAnsi="宋体" w:cs="宋体"/>
                <w:kern w:val="0"/>
                <w:sz w:val="24"/>
                <w:szCs w:val="24"/>
              </w:rPr>
            </w:pPr>
            <w:r>
              <w:rPr>
                <w:rFonts w:hint="eastAsia" w:ascii="宋体" w:hAnsi="宋体" w:cs="宋体"/>
                <w:kern w:val="0"/>
                <w:sz w:val="24"/>
                <w:szCs w:val="24"/>
              </w:rPr>
              <w:t>0</w:t>
            </w:r>
          </w:p>
        </w:tc>
        <w:tc>
          <w:tcPr>
            <w:tcW w:w="931" w:type="dxa"/>
            <w:vAlign w:val="center"/>
          </w:tcPr>
          <w:p w14:paraId="3816F0F0">
            <w:pPr>
              <w:jc w:val="center"/>
              <w:rPr>
                <w:rFonts w:ascii="宋体" w:hAnsi="宋体" w:cs="宋体"/>
                <w:kern w:val="0"/>
                <w:sz w:val="24"/>
                <w:szCs w:val="24"/>
              </w:rPr>
            </w:pPr>
            <w:r>
              <w:rPr>
                <w:rFonts w:hint="eastAsia" w:ascii="宋体" w:hAnsi="宋体" w:cs="宋体"/>
                <w:kern w:val="0"/>
                <w:sz w:val="24"/>
                <w:szCs w:val="24"/>
              </w:rPr>
              <w:t>0.5</w:t>
            </w:r>
          </w:p>
        </w:tc>
        <w:tc>
          <w:tcPr>
            <w:tcW w:w="812" w:type="dxa"/>
            <w:vAlign w:val="center"/>
          </w:tcPr>
          <w:p w14:paraId="7BB3DE35">
            <w:pPr>
              <w:jc w:val="center"/>
              <w:rPr>
                <w:rFonts w:ascii="宋体" w:hAnsi="宋体" w:cs="宋体"/>
                <w:kern w:val="0"/>
                <w:sz w:val="24"/>
                <w:szCs w:val="24"/>
              </w:rPr>
            </w:pPr>
            <w:r>
              <w:rPr>
                <w:rFonts w:hint="eastAsia" w:ascii="宋体" w:hAnsi="宋体" w:cs="宋体"/>
                <w:kern w:val="0"/>
                <w:sz w:val="24"/>
                <w:szCs w:val="24"/>
              </w:rPr>
              <w:t>1</w:t>
            </w:r>
          </w:p>
        </w:tc>
        <w:tc>
          <w:tcPr>
            <w:tcW w:w="931" w:type="dxa"/>
            <w:vAlign w:val="center"/>
          </w:tcPr>
          <w:p w14:paraId="43820BFD">
            <w:pPr>
              <w:jc w:val="center"/>
              <w:rPr>
                <w:rFonts w:ascii="宋体" w:hAnsi="宋体" w:cs="宋体"/>
                <w:kern w:val="0"/>
                <w:sz w:val="24"/>
                <w:szCs w:val="24"/>
              </w:rPr>
            </w:pPr>
            <w:r>
              <w:rPr>
                <w:rFonts w:hint="eastAsia" w:ascii="宋体" w:hAnsi="宋体" w:cs="宋体"/>
                <w:kern w:val="0"/>
                <w:sz w:val="24"/>
                <w:szCs w:val="24"/>
              </w:rPr>
              <w:t>1.5</w:t>
            </w:r>
          </w:p>
        </w:tc>
        <w:tc>
          <w:tcPr>
            <w:tcW w:w="931" w:type="dxa"/>
            <w:vAlign w:val="center"/>
          </w:tcPr>
          <w:p w14:paraId="686DE357">
            <w:pPr>
              <w:jc w:val="center"/>
              <w:rPr>
                <w:rFonts w:ascii="宋体" w:hAnsi="宋体" w:cs="宋体"/>
                <w:kern w:val="0"/>
                <w:sz w:val="24"/>
                <w:szCs w:val="24"/>
              </w:rPr>
            </w:pPr>
            <w:r>
              <w:rPr>
                <w:rFonts w:hint="eastAsia" w:ascii="宋体" w:hAnsi="宋体" w:cs="宋体"/>
                <w:kern w:val="0"/>
                <w:sz w:val="24"/>
                <w:szCs w:val="24"/>
              </w:rPr>
              <w:t>2</w:t>
            </w:r>
          </w:p>
        </w:tc>
        <w:tc>
          <w:tcPr>
            <w:tcW w:w="931" w:type="dxa"/>
            <w:vAlign w:val="center"/>
          </w:tcPr>
          <w:p w14:paraId="13A9C1F7">
            <w:pPr>
              <w:jc w:val="center"/>
              <w:rPr>
                <w:rFonts w:ascii="宋体" w:hAnsi="宋体" w:cs="宋体"/>
                <w:kern w:val="0"/>
                <w:sz w:val="24"/>
                <w:szCs w:val="24"/>
              </w:rPr>
            </w:pPr>
            <w:r>
              <w:rPr>
                <w:rFonts w:hint="eastAsia" w:ascii="宋体" w:hAnsi="宋体" w:cs="宋体"/>
                <w:kern w:val="0"/>
                <w:sz w:val="24"/>
                <w:szCs w:val="24"/>
              </w:rPr>
              <w:t>2.5</w:t>
            </w:r>
          </w:p>
        </w:tc>
        <w:tc>
          <w:tcPr>
            <w:tcW w:w="812" w:type="dxa"/>
            <w:vAlign w:val="center"/>
          </w:tcPr>
          <w:p w14:paraId="7CCC5CEB">
            <w:pPr>
              <w:jc w:val="center"/>
              <w:rPr>
                <w:rFonts w:ascii="宋体" w:hAnsi="宋体" w:cs="宋体"/>
                <w:kern w:val="0"/>
                <w:sz w:val="24"/>
                <w:szCs w:val="24"/>
              </w:rPr>
            </w:pPr>
            <w:r>
              <w:rPr>
                <w:rFonts w:hint="eastAsia" w:ascii="宋体" w:hAnsi="宋体" w:cs="宋体"/>
                <w:kern w:val="0"/>
                <w:sz w:val="24"/>
                <w:szCs w:val="24"/>
              </w:rPr>
              <w:t>3</w:t>
            </w:r>
          </w:p>
        </w:tc>
        <w:tc>
          <w:tcPr>
            <w:tcW w:w="931" w:type="dxa"/>
            <w:vAlign w:val="center"/>
          </w:tcPr>
          <w:p w14:paraId="31965CEF">
            <w:pPr>
              <w:jc w:val="center"/>
              <w:rPr>
                <w:rFonts w:ascii="宋体" w:hAnsi="宋体" w:cs="宋体"/>
                <w:kern w:val="0"/>
                <w:sz w:val="24"/>
                <w:szCs w:val="24"/>
              </w:rPr>
            </w:pPr>
            <w:r>
              <w:rPr>
                <w:rFonts w:hint="eastAsia" w:ascii="宋体" w:hAnsi="宋体" w:cs="宋体"/>
                <w:kern w:val="0"/>
                <w:sz w:val="24"/>
                <w:szCs w:val="24"/>
              </w:rPr>
              <w:t>3.5</w:t>
            </w:r>
          </w:p>
        </w:tc>
        <w:tc>
          <w:tcPr>
            <w:tcW w:w="812" w:type="dxa"/>
            <w:vAlign w:val="center"/>
          </w:tcPr>
          <w:p w14:paraId="2B1857E0">
            <w:pPr>
              <w:jc w:val="center"/>
              <w:rPr>
                <w:rFonts w:ascii="宋体" w:hAnsi="宋体" w:cs="宋体"/>
                <w:kern w:val="0"/>
                <w:sz w:val="24"/>
                <w:szCs w:val="24"/>
              </w:rPr>
            </w:pPr>
            <w:r>
              <w:rPr>
                <w:rFonts w:hint="eastAsia" w:ascii="宋体" w:hAnsi="宋体" w:cs="宋体"/>
                <w:kern w:val="0"/>
                <w:sz w:val="24"/>
                <w:szCs w:val="24"/>
              </w:rPr>
              <w:t>4</w:t>
            </w:r>
          </w:p>
        </w:tc>
        <w:tc>
          <w:tcPr>
            <w:tcW w:w="931" w:type="dxa"/>
          </w:tcPr>
          <w:p w14:paraId="25E09CA2">
            <w:pPr>
              <w:jc w:val="center"/>
              <w:rPr>
                <w:rFonts w:ascii="宋体" w:hAnsi="宋体" w:cs="宋体"/>
                <w:kern w:val="0"/>
                <w:sz w:val="24"/>
                <w:szCs w:val="24"/>
              </w:rPr>
            </w:pPr>
            <w:r>
              <w:rPr>
                <w:rFonts w:hint="eastAsia" w:ascii="宋体" w:hAnsi="宋体" w:cs="宋体"/>
                <w:kern w:val="0"/>
                <w:sz w:val="24"/>
                <w:szCs w:val="24"/>
              </w:rPr>
              <w:t>4.5</w:t>
            </w:r>
          </w:p>
        </w:tc>
      </w:tr>
      <w:tr w14:paraId="0D13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3F4B3849">
            <w:pPr>
              <w:jc w:val="center"/>
              <w:rPr>
                <w:rFonts w:ascii="宋体" w:hAnsi="宋体" w:cs="宋体"/>
                <w:kern w:val="0"/>
                <w:sz w:val="24"/>
                <w:szCs w:val="24"/>
              </w:rPr>
            </w:pPr>
            <w:r>
              <w:rPr>
                <w:rFonts w:hint="eastAsia" w:ascii="宋体" w:hAnsi="宋体" w:cs="宋体"/>
                <w:kern w:val="0"/>
                <w:sz w:val="24"/>
                <w:szCs w:val="24"/>
              </w:rPr>
              <w:t>20</w:t>
            </w:r>
          </w:p>
        </w:tc>
        <w:tc>
          <w:tcPr>
            <w:tcW w:w="812" w:type="dxa"/>
            <w:vAlign w:val="center"/>
          </w:tcPr>
          <w:p w14:paraId="1245F9B0">
            <w:pPr>
              <w:jc w:val="center"/>
              <w:rPr>
                <w:rFonts w:ascii="宋体" w:hAnsi="宋体" w:cs="宋体"/>
                <w:kern w:val="0"/>
                <w:sz w:val="24"/>
                <w:szCs w:val="24"/>
              </w:rPr>
            </w:pPr>
            <w:r>
              <w:rPr>
                <w:rFonts w:hint="eastAsia" w:ascii="宋体" w:hAnsi="宋体" w:cs="宋体"/>
                <w:kern w:val="0"/>
                <w:sz w:val="24"/>
                <w:szCs w:val="24"/>
              </w:rPr>
              <w:t>1.065</w:t>
            </w:r>
          </w:p>
        </w:tc>
        <w:tc>
          <w:tcPr>
            <w:tcW w:w="931" w:type="dxa"/>
            <w:vAlign w:val="center"/>
          </w:tcPr>
          <w:p w14:paraId="28F7ACE8">
            <w:pPr>
              <w:jc w:val="center"/>
              <w:rPr>
                <w:rFonts w:ascii="宋体" w:hAnsi="宋体" w:cs="宋体"/>
                <w:kern w:val="0"/>
                <w:sz w:val="24"/>
                <w:szCs w:val="24"/>
              </w:rPr>
            </w:pPr>
            <w:r>
              <w:rPr>
                <w:rFonts w:hint="eastAsia" w:ascii="宋体" w:hAnsi="宋体" w:cs="宋体"/>
                <w:kern w:val="0"/>
                <w:sz w:val="24"/>
                <w:szCs w:val="24"/>
              </w:rPr>
              <w:t>1.0585</w:t>
            </w:r>
          </w:p>
        </w:tc>
        <w:tc>
          <w:tcPr>
            <w:tcW w:w="812" w:type="dxa"/>
            <w:vAlign w:val="center"/>
          </w:tcPr>
          <w:p w14:paraId="58E9523C">
            <w:pPr>
              <w:jc w:val="center"/>
              <w:rPr>
                <w:rFonts w:ascii="宋体" w:hAnsi="宋体" w:cs="宋体"/>
                <w:kern w:val="0"/>
                <w:sz w:val="24"/>
                <w:szCs w:val="24"/>
              </w:rPr>
            </w:pPr>
            <w:r>
              <w:rPr>
                <w:rFonts w:hint="eastAsia" w:ascii="宋体" w:hAnsi="宋体" w:cs="宋体"/>
                <w:kern w:val="0"/>
                <w:sz w:val="24"/>
                <w:szCs w:val="24"/>
              </w:rPr>
              <w:t>1.052</w:t>
            </w:r>
          </w:p>
        </w:tc>
        <w:tc>
          <w:tcPr>
            <w:tcW w:w="931" w:type="dxa"/>
            <w:vAlign w:val="center"/>
          </w:tcPr>
          <w:p w14:paraId="01B4A6CC">
            <w:pPr>
              <w:jc w:val="center"/>
              <w:rPr>
                <w:rFonts w:ascii="宋体" w:hAnsi="宋体" w:cs="宋体"/>
                <w:kern w:val="0"/>
                <w:sz w:val="24"/>
                <w:szCs w:val="24"/>
              </w:rPr>
            </w:pPr>
            <w:r>
              <w:rPr>
                <w:rFonts w:hint="eastAsia" w:ascii="宋体" w:hAnsi="宋体" w:cs="宋体"/>
                <w:kern w:val="0"/>
                <w:sz w:val="24"/>
                <w:szCs w:val="24"/>
              </w:rPr>
              <w:t>1.0455</w:t>
            </w:r>
          </w:p>
        </w:tc>
        <w:tc>
          <w:tcPr>
            <w:tcW w:w="931" w:type="dxa"/>
            <w:vAlign w:val="center"/>
          </w:tcPr>
          <w:p w14:paraId="3811ACCF">
            <w:pPr>
              <w:jc w:val="center"/>
              <w:rPr>
                <w:rFonts w:ascii="宋体" w:hAnsi="宋体" w:cs="宋体"/>
                <w:kern w:val="0"/>
                <w:sz w:val="24"/>
                <w:szCs w:val="24"/>
              </w:rPr>
            </w:pPr>
            <w:r>
              <w:rPr>
                <w:rFonts w:hint="eastAsia" w:ascii="宋体" w:hAnsi="宋体" w:cs="宋体"/>
                <w:kern w:val="0"/>
                <w:sz w:val="24"/>
                <w:szCs w:val="24"/>
              </w:rPr>
              <w:t>1.039</w:t>
            </w:r>
          </w:p>
        </w:tc>
        <w:tc>
          <w:tcPr>
            <w:tcW w:w="931" w:type="dxa"/>
            <w:vAlign w:val="center"/>
          </w:tcPr>
          <w:p w14:paraId="106515AF">
            <w:pPr>
              <w:jc w:val="center"/>
              <w:rPr>
                <w:rFonts w:ascii="宋体" w:hAnsi="宋体" w:cs="宋体"/>
                <w:kern w:val="0"/>
                <w:sz w:val="24"/>
                <w:szCs w:val="24"/>
              </w:rPr>
            </w:pPr>
            <w:r>
              <w:rPr>
                <w:rFonts w:hint="eastAsia" w:ascii="宋体" w:hAnsi="宋体" w:cs="宋体"/>
                <w:kern w:val="0"/>
                <w:sz w:val="24"/>
                <w:szCs w:val="24"/>
              </w:rPr>
              <w:t>1.0325</w:t>
            </w:r>
          </w:p>
        </w:tc>
        <w:tc>
          <w:tcPr>
            <w:tcW w:w="812" w:type="dxa"/>
            <w:vAlign w:val="center"/>
          </w:tcPr>
          <w:p w14:paraId="19C8A409">
            <w:pPr>
              <w:jc w:val="center"/>
              <w:rPr>
                <w:rFonts w:ascii="宋体" w:hAnsi="宋体" w:cs="宋体"/>
                <w:kern w:val="0"/>
                <w:sz w:val="24"/>
                <w:szCs w:val="24"/>
              </w:rPr>
            </w:pPr>
            <w:r>
              <w:rPr>
                <w:rFonts w:hint="eastAsia" w:ascii="宋体" w:hAnsi="宋体" w:cs="宋体"/>
                <w:kern w:val="0"/>
                <w:sz w:val="24"/>
                <w:szCs w:val="24"/>
              </w:rPr>
              <w:t>1.026</w:t>
            </w:r>
          </w:p>
        </w:tc>
        <w:tc>
          <w:tcPr>
            <w:tcW w:w="931" w:type="dxa"/>
            <w:vAlign w:val="center"/>
          </w:tcPr>
          <w:p w14:paraId="2CFC2611">
            <w:pPr>
              <w:jc w:val="center"/>
              <w:rPr>
                <w:rFonts w:ascii="宋体" w:hAnsi="宋体" w:cs="宋体"/>
                <w:kern w:val="0"/>
                <w:sz w:val="24"/>
                <w:szCs w:val="24"/>
              </w:rPr>
            </w:pPr>
            <w:r>
              <w:rPr>
                <w:rFonts w:hint="eastAsia" w:ascii="宋体" w:hAnsi="宋体" w:cs="宋体"/>
                <w:kern w:val="0"/>
                <w:sz w:val="24"/>
                <w:szCs w:val="24"/>
              </w:rPr>
              <w:t>1.0195</w:t>
            </w:r>
          </w:p>
        </w:tc>
        <w:tc>
          <w:tcPr>
            <w:tcW w:w="812" w:type="dxa"/>
            <w:vAlign w:val="center"/>
          </w:tcPr>
          <w:p w14:paraId="0E4FC1A6">
            <w:pPr>
              <w:jc w:val="center"/>
              <w:rPr>
                <w:rFonts w:ascii="宋体" w:hAnsi="宋体" w:cs="宋体"/>
                <w:kern w:val="0"/>
                <w:sz w:val="24"/>
                <w:szCs w:val="24"/>
              </w:rPr>
            </w:pPr>
            <w:r>
              <w:rPr>
                <w:rFonts w:hint="eastAsia" w:ascii="宋体" w:hAnsi="宋体" w:cs="宋体"/>
                <w:kern w:val="0"/>
                <w:sz w:val="24"/>
                <w:szCs w:val="24"/>
              </w:rPr>
              <w:t>1.013</w:t>
            </w:r>
          </w:p>
        </w:tc>
        <w:tc>
          <w:tcPr>
            <w:tcW w:w="931" w:type="dxa"/>
          </w:tcPr>
          <w:p w14:paraId="6909A080">
            <w:pPr>
              <w:jc w:val="center"/>
              <w:rPr>
                <w:rFonts w:ascii="宋体" w:hAnsi="宋体" w:cs="宋体"/>
                <w:kern w:val="0"/>
                <w:sz w:val="24"/>
                <w:szCs w:val="24"/>
              </w:rPr>
            </w:pPr>
            <w:r>
              <w:rPr>
                <w:rFonts w:hint="eastAsia" w:ascii="宋体" w:hAnsi="宋体" w:cs="宋体"/>
                <w:kern w:val="0"/>
                <w:sz w:val="24"/>
                <w:szCs w:val="24"/>
              </w:rPr>
              <w:t>1.0065</w:t>
            </w:r>
          </w:p>
        </w:tc>
      </w:tr>
      <w:tr w14:paraId="7197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1A02F1F3">
            <w:pPr>
              <w:jc w:val="center"/>
              <w:rPr>
                <w:rFonts w:ascii="宋体" w:hAnsi="宋体" w:cs="宋体"/>
                <w:kern w:val="0"/>
                <w:sz w:val="24"/>
                <w:szCs w:val="24"/>
              </w:rPr>
            </w:pPr>
            <w:r>
              <w:rPr>
                <w:rFonts w:hint="eastAsia" w:ascii="宋体" w:hAnsi="宋体" w:cs="宋体"/>
                <w:kern w:val="0"/>
                <w:sz w:val="24"/>
                <w:szCs w:val="24"/>
              </w:rPr>
              <w:t>25</w:t>
            </w:r>
          </w:p>
        </w:tc>
        <w:tc>
          <w:tcPr>
            <w:tcW w:w="812" w:type="dxa"/>
            <w:vAlign w:val="center"/>
          </w:tcPr>
          <w:p w14:paraId="6D8F3770">
            <w:pPr>
              <w:jc w:val="center"/>
              <w:rPr>
                <w:rFonts w:ascii="宋体" w:hAnsi="宋体" w:cs="宋体"/>
                <w:kern w:val="0"/>
                <w:sz w:val="24"/>
                <w:szCs w:val="24"/>
              </w:rPr>
            </w:pPr>
            <w:r>
              <w:rPr>
                <w:rFonts w:hint="eastAsia" w:ascii="宋体" w:hAnsi="宋体" w:cs="宋体"/>
                <w:kern w:val="0"/>
                <w:sz w:val="24"/>
                <w:szCs w:val="24"/>
              </w:rPr>
              <w:t>1</w:t>
            </w:r>
          </w:p>
        </w:tc>
        <w:tc>
          <w:tcPr>
            <w:tcW w:w="931" w:type="dxa"/>
            <w:vAlign w:val="center"/>
          </w:tcPr>
          <w:p w14:paraId="38EB3198">
            <w:pPr>
              <w:jc w:val="center"/>
              <w:rPr>
                <w:rFonts w:ascii="宋体" w:hAnsi="宋体" w:cs="宋体"/>
                <w:kern w:val="0"/>
                <w:sz w:val="24"/>
                <w:szCs w:val="24"/>
              </w:rPr>
            </w:pPr>
            <w:r>
              <w:rPr>
                <w:rFonts w:hint="eastAsia" w:ascii="宋体" w:hAnsi="宋体" w:cs="宋体"/>
                <w:kern w:val="0"/>
                <w:sz w:val="24"/>
                <w:szCs w:val="24"/>
              </w:rPr>
              <w:t>0.9935</w:t>
            </w:r>
          </w:p>
        </w:tc>
        <w:tc>
          <w:tcPr>
            <w:tcW w:w="812" w:type="dxa"/>
            <w:vAlign w:val="center"/>
          </w:tcPr>
          <w:p w14:paraId="647F616C">
            <w:pPr>
              <w:jc w:val="center"/>
              <w:rPr>
                <w:rFonts w:ascii="宋体" w:hAnsi="宋体" w:cs="宋体"/>
                <w:kern w:val="0"/>
                <w:sz w:val="24"/>
                <w:szCs w:val="24"/>
              </w:rPr>
            </w:pPr>
            <w:r>
              <w:rPr>
                <w:rFonts w:hint="eastAsia" w:ascii="宋体" w:hAnsi="宋体" w:cs="宋体"/>
                <w:kern w:val="0"/>
                <w:sz w:val="24"/>
                <w:szCs w:val="24"/>
              </w:rPr>
              <w:t>0.987</w:t>
            </w:r>
          </w:p>
        </w:tc>
        <w:tc>
          <w:tcPr>
            <w:tcW w:w="931" w:type="dxa"/>
            <w:vAlign w:val="center"/>
          </w:tcPr>
          <w:p w14:paraId="6499E8A3">
            <w:pPr>
              <w:jc w:val="center"/>
              <w:rPr>
                <w:rFonts w:ascii="宋体" w:hAnsi="宋体" w:cs="宋体"/>
                <w:kern w:val="0"/>
                <w:sz w:val="24"/>
                <w:szCs w:val="24"/>
              </w:rPr>
            </w:pPr>
            <w:r>
              <w:rPr>
                <w:rFonts w:hint="eastAsia" w:ascii="宋体" w:hAnsi="宋体" w:cs="宋体"/>
                <w:kern w:val="0"/>
                <w:sz w:val="24"/>
                <w:szCs w:val="24"/>
              </w:rPr>
              <w:t>0.974</w:t>
            </w:r>
          </w:p>
        </w:tc>
        <w:tc>
          <w:tcPr>
            <w:tcW w:w="931" w:type="dxa"/>
            <w:vAlign w:val="center"/>
          </w:tcPr>
          <w:p w14:paraId="4B6CE338">
            <w:pPr>
              <w:jc w:val="center"/>
              <w:rPr>
                <w:rFonts w:ascii="宋体" w:hAnsi="宋体" w:cs="宋体"/>
                <w:kern w:val="0"/>
                <w:sz w:val="24"/>
                <w:szCs w:val="24"/>
              </w:rPr>
            </w:pPr>
            <w:r>
              <w:rPr>
                <w:rFonts w:hint="eastAsia" w:ascii="宋体" w:hAnsi="宋体" w:cs="宋体"/>
                <w:kern w:val="0"/>
                <w:sz w:val="24"/>
                <w:szCs w:val="24"/>
              </w:rPr>
              <w:t>0.945</w:t>
            </w:r>
          </w:p>
        </w:tc>
        <w:tc>
          <w:tcPr>
            <w:tcW w:w="931" w:type="dxa"/>
            <w:vAlign w:val="center"/>
          </w:tcPr>
          <w:p w14:paraId="394EBB3E">
            <w:pPr>
              <w:jc w:val="center"/>
              <w:rPr>
                <w:rFonts w:ascii="宋体" w:hAnsi="宋体" w:cs="宋体"/>
                <w:kern w:val="0"/>
                <w:sz w:val="24"/>
                <w:szCs w:val="24"/>
              </w:rPr>
            </w:pPr>
            <w:r>
              <w:rPr>
                <w:rFonts w:hint="eastAsia" w:ascii="宋体" w:hAnsi="宋体" w:cs="宋体"/>
                <w:kern w:val="0"/>
                <w:sz w:val="24"/>
                <w:szCs w:val="24"/>
              </w:rPr>
              <w:t>0.9675</w:t>
            </w:r>
          </w:p>
        </w:tc>
        <w:tc>
          <w:tcPr>
            <w:tcW w:w="812" w:type="dxa"/>
            <w:vAlign w:val="center"/>
          </w:tcPr>
          <w:p w14:paraId="34164B8B">
            <w:pPr>
              <w:jc w:val="center"/>
              <w:rPr>
                <w:rFonts w:ascii="宋体" w:hAnsi="宋体" w:cs="宋体"/>
                <w:kern w:val="0"/>
                <w:sz w:val="24"/>
                <w:szCs w:val="24"/>
              </w:rPr>
            </w:pPr>
            <w:r>
              <w:rPr>
                <w:rFonts w:hint="eastAsia" w:ascii="宋体" w:hAnsi="宋体" w:cs="宋体"/>
                <w:kern w:val="0"/>
                <w:sz w:val="24"/>
                <w:szCs w:val="24"/>
              </w:rPr>
              <w:t>1.961</w:t>
            </w:r>
          </w:p>
        </w:tc>
        <w:tc>
          <w:tcPr>
            <w:tcW w:w="931" w:type="dxa"/>
            <w:vAlign w:val="center"/>
          </w:tcPr>
          <w:p w14:paraId="3507CEB1">
            <w:pPr>
              <w:jc w:val="center"/>
              <w:rPr>
                <w:rFonts w:ascii="宋体" w:hAnsi="宋体" w:cs="宋体"/>
                <w:kern w:val="0"/>
                <w:sz w:val="24"/>
                <w:szCs w:val="24"/>
              </w:rPr>
            </w:pPr>
            <w:r>
              <w:rPr>
                <w:rFonts w:hint="eastAsia" w:ascii="宋体" w:hAnsi="宋体" w:cs="宋体"/>
                <w:kern w:val="0"/>
                <w:sz w:val="24"/>
                <w:szCs w:val="24"/>
              </w:rPr>
              <w:t>0.9545</w:t>
            </w:r>
          </w:p>
        </w:tc>
        <w:tc>
          <w:tcPr>
            <w:tcW w:w="812" w:type="dxa"/>
            <w:vAlign w:val="center"/>
          </w:tcPr>
          <w:p w14:paraId="580AE44D">
            <w:pPr>
              <w:jc w:val="center"/>
              <w:rPr>
                <w:rFonts w:ascii="宋体" w:hAnsi="宋体" w:cs="宋体"/>
                <w:kern w:val="0"/>
                <w:sz w:val="24"/>
                <w:szCs w:val="24"/>
              </w:rPr>
            </w:pPr>
            <w:r>
              <w:rPr>
                <w:rFonts w:hint="eastAsia" w:ascii="宋体" w:hAnsi="宋体" w:cs="宋体"/>
                <w:kern w:val="0"/>
                <w:sz w:val="24"/>
                <w:szCs w:val="24"/>
              </w:rPr>
              <w:t>0.948</w:t>
            </w:r>
          </w:p>
        </w:tc>
        <w:tc>
          <w:tcPr>
            <w:tcW w:w="931" w:type="dxa"/>
          </w:tcPr>
          <w:p w14:paraId="6C71D75B">
            <w:pPr>
              <w:jc w:val="center"/>
              <w:rPr>
                <w:rFonts w:ascii="宋体" w:hAnsi="宋体" w:cs="宋体"/>
                <w:kern w:val="0"/>
                <w:sz w:val="24"/>
                <w:szCs w:val="24"/>
              </w:rPr>
            </w:pPr>
            <w:r>
              <w:rPr>
                <w:rFonts w:hint="eastAsia" w:ascii="宋体" w:hAnsi="宋体" w:cs="宋体"/>
                <w:kern w:val="0"/>
                <w:sz w:val="24"/>
                <w:szCs w:val="24"/>
              </w:rPr>
              <w:t>0.9415</w:t>
            </w:r>
          </w:p>
        </w:tc>
      </w:tr>
      <w:tr w14:paraId="5A31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7" w:type="dxa"/>
            <w:vAlign w:val="center"/>
          </w:tcPr>
          <w:p w14:paraId="091FBF1F">
            <w:pPr>
              <w:jc w:val="center"/>
              <w:rPr>
                <w:rFonts w:ascii="宋体" w:hAnsi="宋体" w:cs="宋体"/>
                <w:kern w:val="0"/>
                <w:sz w:val="24"/>
                <w:szCs w:val="24"/>
              </w:rPr>
            </w:pPr>
            <w:r>
              <w:rPr>
                <w:rFonts w:hint="eastAsia" w:ascii="宋体" w:hAnsi="宋体" w:cs="宋体"/>
                <w:kern w:val="0"/>
                <w:sz w:val="24"/>
                <w:szCs w:val="24"/>
              </w:rPr>
              <w:t>30</w:t>
            </w:r>
          </w:p>
        </w:tc>
        <w:tc>
          <w:tcPr>
            <w:tcW w:w="812" w:type="dxa"/>
            <w:vAlign w:val="center"/>
          </w:tcPr>
          <w:p w14:paraId="09F0D92F">
            <w:pPr>
              <w:jc w:val="center"/>
              <w:rPr>
                <w:rFonts w:ascii="宋体" w:hAnsi="宋体" w:cs="宋体"/>
                <w:kern w:val="0"/>
                <w:sz w:val="24"/>
                <w:szCs w:val="24"/>
              </w:rPr>
            </w:pPr>
            <w:r>
              <w:rPr>
                <w:rFonts w:hint="eastAsia" w:ascii="宋体" w:hAnsi="宋体" w:cs="宋体"/>
                <w:kern w:val="0"/>
                <w:sz w:val="24"/>
                <w:szCs w:val="24"/>
              </w:rPr>
              <w:t>0.935</w:t>
            </w:r>
          </w:p>
        </w:tc>
        <w:tc>
          <w:tcPr>
            <w:tcW w:w="931" w:type="dxa"/>
            <w:vAlign w:val="center"/>
          </w:tcPr>
          <w:p w14:paraId="74997FF7">
            <w:pPr>
              <w:jc w:val="center"/>
              <w:rPr>
                <w:rFonts w:ascii="宋体" w:hAnsi="宋体" w:cs="宋体"/>
                <w:kern w:val="0"/>
                <w:sz w:val="24"/>
                <w:szCs w:val="24"/>
              </w:rPr>
            </w:pPr>
          </w:p>
        </w:tc>
        <w:tc>
          <w:tcPr>
            <w:tcW w:w="812" w:type="dxa"/>
            <w:vAlign w:val="center"/>
          </w:tcPr>
          <w:p w14:paraId="59F0FA46">
            <w:pPr>
              <w:jc w:val="center"/>
              <w:rPr>
                <w:rFonts w:ascii="宋体" w:hAnsi="宋体" w:cs="宋体"/>
                <w:kern w:val="0"/>
                <w:sz w:val="24"/>
                <w:szCs w:val="24"/>
              </w:rPr>
            </w:pPr>
          </w:p>
        </w:tc>
        <w:tc>
          <w:tcPr>
            <w:tcW w:w="931" w:type="dxa"/>
            <w:vAlign w:val="center"/>
          </w:tcPr>
          <w:p w14:paraId="34FBEFD2">
            <w:pPr>
              <w:jc w:val="center"/>
              <w:rPr>
                <w:rFonts w:ascii="宋体" w:hAnsi="宋体" w:cs="宋体"/>
                <w:kern w:val="0"/>
                <w:sz w:val="24"/>
                <w:szCs w:val="24"/>
              </w:rPr>
            </w:pPr>
          </w:p>
        </w:tc>
        <w:tc>
          <w:tcPr>
            <w:tcW w:w="931" w:type="dxa"/>
            <w:vAlign w:val="center"/>
          </w:tcPr>
          <w:p w14:paraId="2DB11F1C">
            <w:pPr>
              <w:jc w:val="center"/>
              <w:rPr>
                <w:rFonts w:ascii="宋体" w:hAnsi="宋体" w:cs="宋体"/>
                <w:kern w:val="0"/>
                <w:sz w:val="24"/>
                <w:szCs w:val="24"/>
              </w:rPr>
            </w:pPr>
          </w:p>
        </w:tc>
        <w:tc>
          <w:tcPr>
            <w:tcW w:w="931" w:type="dxa"/>
            <w:vAlign w:val="center"/>
          </w:tcPr>
          <w:p w14:paraId="46DA31A6">
            <w:pPr>
              <w:jc w:val="center"/>
              <w:rPr>
                <w:rFonts w:ascii="宋体" w:hAnsi="宋体" w:cs="宋体"/>
                <w:kern w:val="0"/>
                <w:sz w:val="24"/>
                <w:szCs w:val="24"/>
              </w:rPr>
            </w:pPr>
          </w:p>
        </w:tc>
        <w:tc>
          <w:tcPr>
            <w:tcW w:w="812" w:type="dxa"/>
            <w:vAlign w:val="center"/>
          </w:tcPr>
          <w:p w14:paraId="05A188AD">
            <w:pPr>
              <w:jc w:val="center"/>
              <w:rPr>
                <w:rFonts w:ascii="宋体" w:hAnsi="宋体" w:cs="宋体"/>
                <w:kern w:val="0"/>
                <w:sz w:val="24"/>
                <w:szCs w:val="24"/>
              </w:rPr>
            </w:pPr>
          </w:p>
        </w:tc>
        <w:tc>
          <w:tcPr>
            <w:tcW w:w="931" w:type="dxa"/>
            <w:vAlign w:val="center"/>
          </w:tcPr>
          <w:p w14:paraId="34C7A133">
            <w:pPr>
              <w:jc w:val="center"/>
              <w:rPr>
                <w:rFonts w:ascii="宋体" w:hAnsi="宋体" w:cs="宋体"/>
                <w:kern w:val="0"/>
                <w:sz w:val="24"/>
                <w:szCs w:val="24"/>
              </w:rPr>
            </w:pPr>
          </w:p>
        </w:tc>
        <w:tc>
          <w:tcPr>
            <w:tcW w:w="812" w:type="dxa"/>
            <w:vAlign w:val="center"/>
          </w:tcPr>
          <w:p w14:paraId="251538C5">
            <w:pPr>
              <w:jc w:val="center"/>
              <w:rPr>
                <w:rFonts w:ascii="宋体" w:hAnsi="宋体" w:cs="宋体"/>
                <w:kern w:val="0"/>
                <w:sz w:val="24"/>
                <w:szCs w:val="24"/>
              </w:rPr>
            </w:pPr>
          </w:p>
        </w:tc>
        <w:tc>
          <w:tcPr>
            <w:tcW w:w="931" w:type="dxa"/>
          </w:tcPr>
          <w:p w14:paraId="591A1CB9">
            <w:pPr>
              <w:jc w:val="center"/>
              <w:rPr>
                <w:rFonts w:ascii="宋体" w:hAnsi="宋体" w:cs="宋体"/>
                <w:kern w:val="0"/>
                <w:sz w:val="24"/>
                <w:szCs w:val="24"/>
              </w:rPr>
            </w:pPr>
          </w:p>
        </w:tc>
      </w:tr>
    </w:tbl>
    <w:p w14:paraId="19B62086">
      <w:pPr>
        <w:rPr>
          <w:rFonts w:ascii="宋体" w:hAnsi="宋体" w:cs="宋体"/>
          <w:kern w:val="0"/>
          <w:sz w:val="24"/>
          <w:szCs w:val="24"/>
        </w:rPr>
      </w:pPr>
    </w:p>
    <w:p w14:paraId="7AD1AA4C">
      <w:pPr>
        <w:pStyle w:val="23"/>
        <w:ind w:firstLine="720"/>
        <w:rPr>
          <w:rFonts w:hint="default"/>
        </w:rPr>
      </w:pPr>
      <w:r>
        <w:t>2.1.4注意事项</w:t>
      </w:r>
    </w:p>
    <w:p w14:paraId="05D46F71">
      <w:pPr>
        <w:pStyle w:val="23"/>
        <w:ind w:firstLine="720"/>
        <w:rPr>
          <w:rFonts w:hint="default"/>
        </w:rPr>
      </w:pPr>
      <w:r>
        <w:t xml:space="preserve">    玻璃仪器洗后必须全部再用蒸馏水洗净。</w:t>
      </w:r>
    </w:p>
    <w:p w14:paraId="26AD4D7C">
      <w:pPr>
        <w:pStyle w:val="23"/>
        <w:ind w:left="720" w:firstLine="0" w:firstLineChars="0"/>
        <w:rPr>
          <w:rFonts w:hint="default"/>
        </w:rPr>
      </w:pPr>
      <w:r>
        <w:t xml:space="preserve">    药品都是酸、碱性的，要注意勿混，注意4N H2SO4 具有强腐蚀性，会烧伤人和衣物。</w:t>
      </w:r>
    </w:p>
    <w:p w14:paraId="56A4866D">
      <w:pPr>
        <w:pStyle w:val="23"/>
        <w:ind w:firstLine="720"/>
        <w:rPr>
          <w:rFonts w:hint="default"/>
        </w:rPr>
      </w:pPr>
      <w:r>
        <w:t xml:space="preserve">    浆只要分散</w:t>
      </w:r>
      <w:r>
        <w:rPr>
          <w:lang w:val="en-US"/>
        </w:rPr>
        <w:t>即可</w:t>
      </w:r>
      <w:r>
        <w:t>，不能捣烂，因浆捣烂，硬度上升。</w:t>
      </w:r>
    </w:p>
    <w:p w14:paraId="54413174">
      <w:pPr>
        <w:pStyle w:val="3"/>
        <w:spacing w:before="156" w:after="156"/>
        <w:ind w:firstLine="281"/>
      </w:pPr>
      <w:bookmarkStart w:id="68" w:name="_Toc14674"/>
      <w:bookmarkStart w:id="69" w:name="_Toc26165"/>
      <w:bookmarkStart w:id="70" w:name="_Toc16537"/>
      <w:r>
        <w:rPr>
          <w:rFonts w:hint="eastAsia"/>
        </w:rPr>
        <w:t>3、产品质量标准</w:t>
      </w:r>
      <w:bookmarkEnd w:id="68"/>
      <w:bookmarkEnd w:id="69"/>
      <w:bookmarkEnd w:id="70"/>
    </w:p>
    <w:p w14:paraId="4635CADB">
      <w:pPr>
        <w:pStyle w:val="5"/>
        <w:ind w:firstLine="480"/>
      </w:pPr>
      <w:r>
        <w:rPr>
          <w:rFonts w:hint="eastAsia"/>
        </w:rPr>
        <w:t>本项目产品质量根据市场要求执行企业标准，若项目实施时有更新的质量标准，则本项目执行新的质量指标。</w:t>
      </w:r>
    </w:p>
    <w:p w14:paraId="16C901B0">
      <w:pPr>
        <w:pStyle w:val="5"/>
        <w:ind w:firstLine="480"/>
      </w:pPr>
      <w:r>
        <w:rPr>
          <w:rFonts w:hint="eastAsia"/>
        </w:rPr>
        <w:t>本项目产品质量执行如下标准：</w:t>
      </w:r>
    </w:p>
    <w:p w14:paraId="311A68D9">
      <w:pPr>
        <w:pStyle w:val="5"/>
        <w:ind w:firstLine="480"/>
      </w:pPr>
    </w:p>
    <w:p w14:paraId="15276911">
      <w:pPr>
        <w:jc w:val="center"/>
        <w:rPr>
          <w:rFonts w:ascii="宋体" w:hAnsi="宋体" w:cs="宋体"/>
          <w:sz w:val="24"/>
          <w:szCs w:val="24"/>
        </w:rPr>
      </w:pPr>
      <w:r>
        <w:rPr>
          <w:rFonts w:hint="eastAsia" w:ascii="宋体" w:hAnsi="宋体" w:cs="宋体"/>
          <w:sz w:val="24"/>
          <w:szCs w:val="24"/>
        </w:rPr>
        <w:t>本色硫酸盐竹浆质量标准</w:t>
      </w:r>
    </w:p>
    <w:p w14:paraId="6BD22E9E">
      <w:pPr>
        <w:jc w:val="center"/>
        <w:rPr>
          <w:rFonts w:ascii="宋体" w:hAnsi="宋体" w:cs="宋体"/>
          <w:sz w:val="24"/>
          <w:szCs w:val="24"/>
        </w:rPr>
      </w:pPr>
    </w:p>
    <w:tbl>
      <w:tblPr>
        <w:tblStyle w:val="18"/>
        <w:tblW w:w="0" w:type="auto"/>
        <w:jc w:val="center"/>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932"/>
        <w:gridCol w:w="2560"/>
        <w:gridCol w:w="1236"/>
        <w:gridCol w:w="1297"/>
      </w:tblGrid>
      <w:tr w14:paraId="3C8E96D5">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1134" w:type="dxa"/>
            <w:vAlign w:val="center"/>
          </w:tcPr>
          <w:p w14:paraId="3E6531E8">
            <w:pPr>
              <w:widowControl/>
              <w:jc w:val="center"/>
              <w:rPr>
                <w:rFonts w:ascii="宋体" w:hAnsi="宋体" w:cs="仿宋"/>
                <w:kern w:val="0"/>
                <w:sz w:val="24"/>
              </w:rPr>
            </w:pPr>
            <w:r>
              <w:rPr>
                <w:rFonts w:hint="eastAsia" w:ascii="宋体" w:hAnsi="宋体" w:cs="仿宋"/>
                <w:kern w:val="0"/>
                <w:sz w:val="24"/>
              </w:rPr>
              <w:t>序号</w:t>
            </w:r>
          </w:p>
        </w:tc>
        <w:tc>
          <w:tcPr>
            <w:tcW w:w="3492" w:type="dxa"/>
            <w:gridSpan w:val="2"/>
            <w:vAlign w:val="center"/>
          </w:tcPr>
          <w:p w14:paraId="22A41AD0">
            <w:pPr>
              <w:widowControl/>
              <w:jc w:val="center"/>
              <w:rPr>
                <w:rFonts w:ascii="宋体" w:hAnsi="宋体" w:cs="仿宋"/>
                <w:kern w:val="0"/>
                <w:sz w:val="24"/>
              </w:rPr>
            </w:pPr>
            <w:r>
              <w:rPr>
                <w:rFonts w:hint="eastAsia" w:ascii="宋体" w:hAnsi="宋体" w:cs="仿宋"/>
                <w:kern w:val="0"/>
                <w:sz w:val="24"/>
              </w:rPr>
              <w:t>指标名称</w:t>
            </w:r>
          </w:p>
        </w:tc>
        <w:tc>
          <w:tcPr>
            <w:tcW w:w="1236" w:type="dxa"/>
            <w:vAlign w:val="center"/>
          </w:tcPr>
          <w:p w14:paraId="26A128EA">
            <w:pPr>
              <w:widowControl/>
              <w:jc w:val="center"/>
              <w:rPr>
                <w:rFonts w:ascii="宋体" w:hAnsi="宋体" w:cs="仿宋"/>
                <w:kern w:val="0"/>
                <w:sz w:val="24"/>
              </w:rPr>
            </w:pPr>
            <w:r>
              <w:rPr>
                <w:rFonts w:hint="eastAsia" w:ascii="宋体" w:hAnsi="宋体" w:cs="仿宋"/>
                <w:kern w:val="0"/>
                <w:sz w:val="24"/>
              </w:rPr>
              <w:t>单位</w:t>
            </w:r>
          </w:p>
        </w:tc>
        <w:tc>
          <w:tcPr>
            <w:tcW w:w="1297" w:type="dxa"/>
            <w:vAlign w:val="center"/>
          </w:tcPr>
          <w:p w14:paraId="191AA0F4">
            <w:pPr>
              <w:widowControl/>
              <w:jc w:val="center"/>
              <w:rPr>
                <w:rFonts w:ascii="宋体" w:hAnsi="宋体" w:cs="仿宋"/>
                <w:kern w:val="0"/>
                <w:sz w:val="24"/>
              </w:rPr>
            </w:pPr>
            <w:r>
              <w:rPr>
                <w:rFonts w:hint="eastAsia" w:ascii="宋体" w:hAnsi="宋体" w:cs="仿宋"/>
                <w:kern w:val="0"/>
                <w:sz w:val="24"/>
              </w:rPr>
              <w:t>规定</w:t>
            </w:r>
          </w:p>
        </w:tc>
      </w:tr>
      <w:tr w14:paraId="10F25DBC">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jc w:val="center"/>
        </w:trPr>
        <w:tc>
          <w:tcPr>
            <w:tcW w:w="1134" w:type="dxa"/>
            <w:vAlign w:val="center"/>
          </w:tcPr>
          <w:p w14:paraId="5FC4E2DE">
            <w:pPr>
              <w:widowControl/>
              <w:jc w:val="center"/>
              <w:rPr>
                <w:rFonts w:ascii="宋体" w:hAnsi="宋体" w:cs="仿宋"/>
                <w:kern w:val="0"/>
                <w:sz w:val="24"/>
              </w:rPr>
            </w:pPr>
            <w:r>
              <w:rPr>
                <w:rFonts w:hint="eastAsia" w:ascii="宋体" w:hAnsi="宋体" w:cs="仿宋"/>
                <w:kern w:val="0"/>
                <w:sz w:val="24"/>
              </w:rPr>
              <w:t>1</w:t>
            </w:r>
          </w:p>
        </w:tc>
        <w:tc>
          <w:tcPr>
            <w:tcW w:w="3492" w:type="dxa"/>
            <w:gridSpan w:val="2"/>
            <w:vAlign w:val="center"/>
          </w:tcPr>
          <w:p w14:paraId="1BC5F427">
            <w:pPr>
              <w:widowControl/>
              <w:jc w:val="center"/>
              <w:rPr>
                <w:rFonts w:ascii="宋体" w:hAnsi="宋体" w:cs="仿宋"/>
                <w:kern w:val="0"/>
                <w:sz w:val="24"/>
              </w:rPr>
            </w:pPr>
            <w:r>
              <w:rPr>
                <w:rFonts w:hint="eastAsia" w:ascii="宋体" w:hAnsi="宋体" w:cs="宋体"/>
                <w:kern w:val="0"/>
                <w:sz w:val="24"/>
                <w:szCs w:val="24"/>
              </w:rPr>
              <w:t>机械强度（打浆度 45°SR、抄片定量 60g/m</w:t>
            </w:r>
            <w:r>
              <w:rPr>
                <w:rFonts w:hint="eastAsia" w:ascii="宋体" w:hAnsi="宋体" w:cs="宋体"/>
                <w:kern w:val="0"/>
                <w:sz w:val="24"/>
                <w:szCs w:val="24"/>
                <w:vertAlign w:val="superscript"/>
              </w:rPr>
              <w:t>2</w:t>
            </w:r>
            <w:r>
              <w:rPr>
                <w:rFonts w:hint="eastAsia" w:ascii="宋体" w:hAnsi="宋体" w:cs="宋体"/>
                <w:kern w:val="0"/>
                <w:sz w:val="24"/>
                <w:szCs w:val="24"/>
              </w:rPr>
              <w:t> 时）</w:t>
            </w:r>
          </w:p>
        </w:tc>
        <w:tc>
          <w:tcPr>
            <w:tcW w:w="1236" w:type="dxa"/>
            <w:vAlign w:val="center"/>
          </w:tcPr>
          <w:p w14:paraId="3DFA0AA3">
            <w:pPr>
              <w:widowControl/>
              <w:jc w:val="center"/>
              <w:rPr>
                <w:rFonts w:ascii="宋体" w:hAnsi="宋体" w:cs="仿宋"/>
                <w:kern w:val="0"/>
                <w:sz w:val="24"/>
              </w:rPr>
            </w:pPr>
          </w:p>
        </w:tc>
        <w:tc>
          <w:tcPr>
            <w:tcW w:w="1297" w:type="dxa"/>
            <w:vAlign w:val="center"/>
          </w:tcPr>
          <w:p w14:paraId="69E3365A">
            <w:pPr>
              <w:widowControl/>
              <w:jc w:val="center"/>
              <w:rPr>
                <w:rFonts w:ascii="宋体" w:hAnsi="宋体" w:cs="仿宋"/>
                <w:kern w:val="0"/>
                <w:sz w:val="24"/>
              </w:rPr>
            </w:pPr>
          </w:p>
        </w:tc>
      </w:tr>
      <w:tr w14:paraId="79FCCCC5">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134" w:type="dxa"/>
            <w:vAlign w:val="center"/>
          </w:tcPr>
          <w:p w14:paraId="53E0BD26">
            <w:pPr>
              <w:widowControl/>
              <w:jc w:val="center"/>
              <w:rPr>
                <w:rFonts w:ascii="宋体" w:hAnsi="宋体" w:cs="仿宋"/>
                <w:kern w:val="0"/>
                <w:sz w:val="24"/>
              </w:rPr>
            </w:pPr>
            <w:r>
              <w:rPr>
                <w:rFonts w:hint="eastAsia" w:ascii="宋体" w:hAnsi="宋体" w:cs="仿宋"/>
                <w:kern w:val="0"/>
                <w:sz w:val="24"/>
              </w:rPr>
              <w:t>2</w:t>
            </w:r>
          </w:p>
        </w:tc>
        <w:tc>
          <w:tcPr>
            <w:tcW w:w="3492" w:type="dxa"/>
            <w:gridSpan w:val="2"/>
            <w:vAlign w:val="center"/>
          </w:tcPr>
          <w:p w14:paraId="5F24BE91">
            <w:pPr>
              <w:widowControl/>
              <w:jc w:val="center"/>
              <w:rPr>
                <w:rFonts w:ascii="宋体" w:hAnsi="宋体" w:cs="仿宋"/>
                <w:kern w:val="0"/>
                <w:sz w:val="24"/>
              </w:rPr>
            </w:pPr>
            <w:r>
              <w:rPr>
                <w:rFonts w:hint="eastAsia" w:ascii="宋体" w:hAnsi="宋体" w:cs="仿宋"/>
                <w:kern w:val="0"/>
                <w:sz w:val="24"/>
              </w:rPr>
              <w:t>抗张指数 ≥</w:t>
            </w:r>
          </w:p>
        </w:tc>
        <w:tc>
          <w:tcPr>
            <w:tcW w:w="1236" w:type="dxa"/>
            <w:vAlign w:val="center"/>
          </w:tcPr>
          <w:p w14:paraId="7379FF20">
            <w:pPr>
              <w:widowControl/>
              <w:jc w:val="center"/>
              <w:rPr>
                <w:rFonts w:ascii="宋体" w:hAnsi="宋体" w:cs="仿宋"/>
                <w:kern w:val="0"/>
                <w:sz w:val="24"/>
              </w:rPr>
            </w:pPr>
            <w:r>
              <w:rPr>
                <w:rFonts w:hint="eastAsia" w:ascii="宋体" w:hAnsi="宋体" w:cs="仿宋"/>
                <w:kern w:val="0"/>
                <w:sz w:val="24"/>
              </w:rPr>
              <w:t>N·m/g</w:t>
            </w:r>
          </w:p>
        </w:tc>
        <w:tc>
          <w:tcPr>
            <w:tcW w:w="1297" w:type="dxa"/>
            <w:vAlign w:val="center"/>
          </w:tcPr>
          <w:p w14:paraId="093ECFEA">
            <w:pPr>
              <w:widowControl/>
              <w:jc w:val="center"/>
              <w:rPr>
                <w:rFonts w:ascii="宋体" w:hAnsi="宋体" w:cs="仿宋"/>
                <w:kern w:val="0"/>
                <w:sz w:val="24"/>
              </w:rPr>
            </w:pPr>
            <w:r>
              <w:rPr>
                <w:rFonts w:ascii="宋体" w:hAnsi="宋体" w:cs="仿宋"/>
                <w:kern w:val="0"/>
                <w:sz w:val="24"/>
              </w:rPr>
              <w:t>50</w:t>
            </w:r>
          </w:p>
        </w:tc>
      </w:tr>
      <w:tr w14:paraId="3BE4BDB7">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134" w:type="dxa"/>
            <w:vAlign w:val="center"/>
          </w:tcPr>
          <w:p w14:paraId="794BAAE9">
            <w:pPr>
              <w:widowControl/>
              <w:jc w:val="center"/>
              <w:rPr>
                <w:rFonts w:ascii="宋体" w:hAnsi="宋体" w:cs="仿宋"/>
                <w:kern w:val="0"/>
                <w:sz w:val="24"/>
              </w:rPr>
            </w:pPr>
            <w:r>
              <w:rPr>
                <w:rFonts w:hint="eastAsia" w:ascii="宋体" w:hAnsi="宋体" w:cs="仿宋"/>
                <w:kern w:val="0"/>
                <w:sz w:val="24"/>
              </w:rPr>
              <w:t>3</w:t>
            </w:r>
          </w:p>
        </w:tc>
        <w:tc>
          <w:tcPr>
            <w:tcW w:w="3492" w:type="dxa"/>
            <w:gridSpan w:val="2"/>
            <w:vAlign w:val="center"/>
          </w:tcPr>
          <w:p w14:paraId="1A99DC3F">
            <w:pPr>
              <w:widowControl/>
              <w:jc w:val="center"/>
              <w:rPr>
                <w:rFonts w:ascii="宋体" w:hAnsi="宋体" w:cs="仿宋"/>
                <w:kern w:val="0"/>
                <w:sz w:val="24"/>
              </w:rPr>
            </w:pPr>
            <w:r>
              <w:rPr>
                <w:rFonts w:hint="eastAsia" w:ascii="宋体" w:hAnsi="宋体" w:cs="仿宋"/>
                <w:kern w:val="0"/>
                <w:sz w:val="24"/>
              </w:rPr>
              <w:t>耐破指数 ≥</w:t>
            </w:r>
          </w:p>
        </w:tc>
        <w:tc>
          <w:tcPr>
            <w:tcW w:w="1236" w:type="dxa"/>
            <w:vAlign w:val="center"/>
          </w:tcPr>
          <w:p w14:paraId="07FD4DEB">
            <w:pPr>
              <w:widowControl/>
              <w:jc w:val="center"/>
              <w:rPr>
                <w:rFonts w:ascii="宋体" w:hAnsi="宋体" w:cs="仿宋"/>
                <w:kern w:val="0"/>
                <w:sz w:val="24"/>
              </w:rPr>
            </w:pPr>
            <w:r>
              <w:rPr>
                <w:rFonts w:hint="eastAsia" w:ascii="宋体" w:hAnsi="宋体" w:cs="仿宋"/>
                <w:kern w:val="0"/>
                <w:sz w:val="24"/>
              </w:rPr>
              <w:t>kPa·m</w:t>
            </w:r>
            <w:r>
              <w:rPr>
                <w:rFonts w:hint="eastAsia" w:ascii="宋体" w:hAnsi="宋体" w:cs="仿宋"/>
                <w:kern w:val="0"/>
                <w:sz w:val="24"/>
                <w:vertAlign w:val="superscript"/>
              </w:rPr>
              <w:t>2</w:t>
            </w:r>
            <w:r>
              <w:rPr>
                <w:rFonts w:hint="eastAsia" w:ascii="宋体" w:hAnsi="宋体" w:cs="仿宋"/>
                <w:kern w:val="0"/>
                <w:sz w:val="24"/>
              </w:rPr>
              <w:t>/g</w:t>
            </w:r>
          </w:p>
        </w:tc>
        <w:tc>
          <w:tcPr>
            <w:tcW w:w="1297" w:type="dxa"/>
            <w:vAlign w:val="center"/>
          </w:tcPr>
          <w:p w14:paraId="43857311">
            <w:pPr>
              <w:widowControl/>
              <w:jc w:val="center"/>
              <w:rPr>
                <w:rFonts w:ascii="宋体" w:hAnsi="宋体" w:cs="仿宋"/>
                <w:kern w:val="0"/>
                <w:sz w:val="24"/>
              </w:rPr>
            </w:pPr>
            <w:r>
              <w:rPr>
                <w:rFonts w:ascii="宋体" w:hAnsi="宋体" w:cs="仿宋"/>
                <w:kern w:val="0"/>
                <w:sz w:val="24"/>
              </w:rPr>
              <w:t>3.5</w:t>
            </w:r>
          </w:p>
        </w:tc>
      </w:tr>
      <w:tr w14:paraId="063C4886">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134" w:type="dxa"/>
            <w:vAlign w:val="center"/>
          </w:tcPr>
          <w:p w14:paraId="337F13DF">
            <w:pPr>
              <w:widowControl/>
              <w:jc w:val="center"/>
              <w:rPr>
                <w:rFonts w:ascii="宋体" w:hAnsi="宋体" w:cs="仿宋"/>
                <w:kern w:val="0"/>
                <w:sz w:val="24"/>
              </w:rPr>
            </w:pPr>
            <w:r>
              <w:rPr>
                <w:rFonts w:hint="eastAsia" w:ascii="宋体" w:hAnsi="宋体" w:cs="仿宋"/>
                <w:kern w:val="0"/>
                <w:sz w:val="24"/>
              </w:rPr>
              <w:t>4</w:t>
            </w:r>
          </w:p>
        </w:tc>
        <w:tc>
          <w:tcPr>
            <w:tcW w:w="3492" w:type="dxa"/>
            <w:gridSpan w:val="2"/>
            <w:vAlign w:val="center"/>
          </w:tcPr>
          <w:p w14:paraId="6E4B01E7">
            <w:pPr>
              <w:widowControl/>
              <w:jc w:val="center"/>
              <w:rPr>
                <w:rFonts w:ascii="宋体" w:hAnsi="宋体" w:cs="仿宋"/>
                <w:kern w:val="0"/>
                <w:sz w:val="24"/>
              </w:rPr>
            </w:pPr>
            <w:r>
              <w:rPr>
                <w:rFonts w:hint="eastAsia" w:ascii="宋体" w:hAnsi="宋体" w:cs="仿宋"/>
                <w:kern w:val="0"/>
                <w:sz w:val="24"/>
              </w:rPr>
              <w:t>撕裂指数 ≥</w:t>
            </w:r>
          </w:p>
        </w:tc>
        <w:tc>
          <w:tcPr>
            <w:tcW w:w="1236" w:type="dxa"/>
            <w:vAlign w:val="center"/>
          </w:tcPr>
          <w:p w14:paraId="0041AC43">
            <w:pPr>
              <w:widowControl/>
              <w:jc w:val="center"/>
              <w:rPr>
                <w:rFonts w:ascii="宋体" w:hAnsi="宋体" w:cs="仿宋"/>
                <w:kern w:val="0"/>
                <w:sz w:val="24"/>
              </w:rPr>
            </w:pPr>
            <w:r>
              <w:rPr>
                <w:rFonts w:hint="eastAsia" w:ascii="宋体" w:hAnsi="宋体" w:cs="仿宋"/>
                <w:kern w:val="0"/>
                <w:sz w:val="24"/>
              </w:rPr>
              <w:t>mN·m</w:t>
            </w:r>
            <w:r>
              <w:rPr>
                <w:rFonts w:hint="eastAsia" w:ascii="宋体" w:hAnsi="宋体" w:cs="仿宋"/>
                <w:kern w:val="0"/>
                <w:sz w:val="24"/>
                <w:vertAlign w:val="superscript"/>
              </w:rPr>
              <w:t>2</w:t>
            </w:r>
            <w:r>
              <w:rPr>
                <w:rFonts w:hint="eastAsia" w:ascii="宋体" w:hAnsi="宋体" w:cs="仿宋"/>
                <w:kern w:val="0"/>
                <w:sz w:val="24"/>
              </w:rPr>
              <w:t>/g</w:t>
            </w:r>
          </w:p>
        </w:tc>
        <w:tc>
          <w:tcPr>
            <w:tcW w:w="1297" w:type="dxa"/>
            <w:vAlign w:val="center"/>
          </w:tcPr>
          <w:p w14:paraId="0232C424">
            <w:pPr>
              <w:widowControl/>
              <w:jc w:val="center"/>
              <w:rPr>
                <w:rFonts w:ascii="宋体" w:hAnsi="宋体" w:cs="仿宋"/>
                <w:kern w:val="0"/>
                <w:sz w:val="24"/>
              </w:rPr>
            </w:pPr>
            <w:r>
              <w:rPr>
                <w:rFonts w:ascii="宋体" w:hAnsi="宋体" w:cs="仿宋"/>
                <w:kern w:val="0"/>
                <w:sz w:val="24"/>
              </w:rPr>
              <w:t>8</w:t>
            </w:r>
          </w:p>
        </w:tc>
      </w:tr>
      <w:tr w14:paraId="1494E472">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1134" w:type="dxa"/>
            <w:vMerge w:val="restart"/>
            <w:vAlign w:val="center"/>
          </w:tcPr>
          <w:p w14:paraId="702C5A4A">
            <w:pPr>
              <w:widowControl/>
              <w:jc w:val="center"/>
              <w:rPr>
                <w:rFonts w:ascii="宋体" w:hAnsi="宋体" w:cs="仿宋"/>
                <w:kern w:val="0"/>
                <w:sz w:val="24"/>
              </w:rPr>
            </w:pPr>
            <w:r>
              <w:rPr>
                <w:rFonts w:hint="eastAsia" w:ascii="宋体" w:hAnsi="宋体" w:cs="仿宋"/>
                <w:kern w:val="0"/>
                <w:sz w:val="24"/>
              </w:rPr>
              <w:t>5</w:t>
            </w:r>
          </w:p>
        </w:tc>
        <w:tc>
          <w:tcPr>
            <w:tcW w:w="932" w:type="dxa"/>
            <w:vMerge w:val="restart"/>
            <w:vAlign w:val="center"/>
          </w:tcPr>
          <w:p w14:paraId="602A7827">
            <w:pPr>
              <w:widowControl/>
              <w:jc w:val="center"/>
              <w:rPr>
                <w:rFonts w:ascii="宋体" w:hAnsi="宋体" w:cs="仿宋"/>
                <w:kern w:val="0"/>
                <w:sz w:val="24"/>
              </w:rPr>
            </w:pPr>
            <w:r>
              <w:rPr>
                <w:rFonts w:hint="eastAsia" w:ascii="宋体" w:hAnsi="宋体" w:cs="仿宋"/>
                <w:kern w:val="0"/>
                <w:sz w:val="24"/>
              </w:rPr>
              <w:t>尘埃度</w:t>
            </w:r>
          </w:p>
        </w:tc>
        <w:tc>
          <w:tcPr>
            <w:tcW w:w="2560" w:type="dxa"/>
            <w:vAlign w:val="center"/>
          </w:tcPr>
          <w:p w14:paraId="52082D80">
            <w:pPr>
              <w:widowControl/>
              <w:jc w:val="center"/>
              <w:rPr>
                <w:rFonts w:ascii="宋体" w:hAnsi="宋体" w:cs="仿宋"/>
                <w:kern w:val="0"/>
                <w:sz w:val="24"/>
              </w:rPr>
            </w:pPr>
            <w:r>
              <w:rPr>
                <w:rFonts w:hint="eastAsia" w:ascii="宋体" w:hAnsi="宋体" w:cs="仿宋"/>
                <w:kern w:val="0"/>
                <w:sz w:val="24"/>
              </w:rPr>
              <w:t>≤(1.00～5.0)mm</w:t>
            </w:r>
            <w:r>
              <w:rPr>
                <w:rFonts w:hint="eastAsia" w:ascii="宋体" w:hAnsi="宋体" w:cs="仿宋"/>
                <w:kern w:val="0"/>
                <w:sz w:val="24"/>
                <w:vertAlign w:val="superscript"/>
              </w:rPr>
              <w:t>2</w:t>
            </w:r>
            <w:r>
              <w:rPr>
                <w:rFonts w:hint="eastAsia" w:ascii="宋体" w:hAnsi="宋体" w:cs="仿宋"/>
                <w:kern w:val="0"/>
                <w:sz w:val="24"/>
              </w:rPr>
              <w:t xml:space="preserve"> 的尘埃</w:t>
            </w:r>
          </w:p>
        </w:tc>
        <w:tc>
          <w:tcPr>
            <w:tcW w:w="1236" w:type="dxa"/>
            <w:vMerge w:val="restart"/>
            <w:vAlign w:val="center"/>
          </w:tcPr>
          <w:p w14:paraId="6B0F9BA3">
            <w:pPr>
              <w:widowControl/>
              <w:jc w:val="center"/>
              <w:rPr>
                <w:rFonts w:ascii="宋体" w:hAnsi="宋体" w:cs="仿宋"/>
                <w:kern w:val="0"/>
                <w:sz w:val="24"/>
              </w:rPr>
            </w:pPr>
            <w:r>
              <w:rPr>
                <w:rFonts w:hint="eastAsia" w:ascii="宋体" w:hAnsi="宋体" w:cs="仿宋"/>
                <w:kern w:val="0"/>
                <w:sz w:val="24"/>
              </w:rPr>
              <w:t>mm</w:t>
            </w:r>
            <w:r>
              <w:rPr>
                <w:rFonts w:hint="eastAsia" w:ascii="宋体" w:hAnsi="宋体" w:cs="仿宋"/>
                <w:kern w:val="0"/>
                <w:sz w:val="24"/>
                <w:vertAlign w:val="superscript"/>
              </w:rPr>
              <w:t>2</w:t>
            </w:r>
            <w:r>
              <w:rPr>
                <w:rFonts w:hint="eastAsia" w:ascii="宋体" w:hAnsi="宋体" w:cs="仿宋"/>
                <w:kern w:val="0"/>
                <w:sz w:val="24"/>
              </w:rPr>
              <w:t>/kg</w:t>
            </w:r>
          </w:p>
        </w:tc>
        <w:tc>
          <w:tcPr>
            <w:tcW w:w="1297" w:type="dxa"/>
            <w:vAlign w:val="center"/>
          </w:tcPr>
          <w:p w14:paraId="27A25785">
            <w:pPr>
              <w:widowControl/>
              <w:jc w:val="center"/>
              <w:rPr>
                <w:rFonts w:ascii="宋体" w:hAnsi="宋体" w:cs="仿宋"/>
                <w:kern w:val="0"/>
                <w:sz w:val="24"/>
              </w:rPr>
            </w:pPr>
            <w:r>
              <w:rPr>
                <w:rFonts w:hint="eastAsia" w:ascii="宋体" w:hAnsi="宋体" w:cs="仿宋"/>
                <w:kern w:val="0"/>
                <w:sz w:val="24"/>
              </w:rPr>
              <w:t>≤</w:t>
            </w:r>
            <w:r>
              <w:rPr>
                <w:rFonts w:ascii="宋体" w:hAnsi="宋体" w:cs="仿宋"/>
                <w:kern w:val="0"/>
                <w:sz w:val="24"/>
              </w:rPr>
              <w:t>300</w:t>
            </w:r>
          </w:p>
        </w:tc>
      </w:tr>
      <w:tr w14:paraId="0334144B">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1" w:hRule="atLeast"/>
          <w:jc w:val="center"/>
        </w:trPr>
        <w:tc>
          <w:tcPr>
            <w:tcW w:w="1134" w:type="dxa"/>
            <w:vMerge w:val="continue"/>
            <w:vAlign w:val="center"/>
          </w:tcPr>
          <w:p w14:paraId="59715BDB">
            <w:pPr>
              <w:widowControl/>
              <w:jc w:val="center"/>
              <w:rPr>
                <w:rFonts w:ascii="宋体" w:hAnsi="宋体" w:cs="仿宋"/>
                <w:kern w:val="0"/>
                <w:sz w:val="24"/>
              </w:rPr>
            </w:pPr>
          </w:p>
        </w:tc>
        <w:tc>
          <w:tcPr>
            <w:tcW w:w="932" w:type="dxa"/>
            <w:vMerge w:val="continue"/>
            <w:vAlign w:val="center"/>
          </w:tcPr>
          <w:p w14:paraId="6915500D">
            <w:pPr>
              <w:widowControl/>
              <w:jc w:val="center"/>
              <w:rPr>
                <w:rFonts w:ascii="宋体" w:hAnsi="宋体" w:cs="仿宋"/>
                <w:kern w:val="0"/>
                <w:sz w:val="24"/>
              </w:rPr>
            </w:pPr>
          </w:p>
        </w:tc>
        <w:tc>
          <w:tcPr>
            <w:tcW w:w="2560" w:type="dxa"/>
            <w:vAlign w:val="center"/>
          </w:tcPr>
          <w:p w14:paraId="471A0EB6">
            <w:pPr>
              <w:widowControl/>
              <w:jc w:val="center"/>
              <w:rPr>
                <w:rFonts w:ascii="宋体" w:hAnsi="宋体" w:cs="仿宋"/>
                <w:kern w:val="0"/>
                <w:sz w:val="24"/>
              </w:rPr>
            </w:pPr>
            <w:r>
              <w:rPr>
                <w:rFonts w:hint="eastAsia" w:ascii="宋体" w:hAnsi="宋体" w:cs="仿宋"/>
                <w:kern w:val="0"/>
                <w:sz w:val="24"/>
              </w:rPr>
              <w:t>≥ 5.00mm</w:t>
            </w:r>
            <w:r>
              <w:rPr>
                <w:rFonts w:hint="eastAsia" w:ascii="宋体" w:hAnsi="宋体" w:cs="仿宋"/>
                <w:kern w:val="0"/>
                <w:sz w:val="24"/>
                <w:vertAlign w:val="superscript"/>
              </w:rPr>
              <w:t>2</w:t>
            </w:r>
            <w:r>
              <w:rPr>
                <w:rFonts w:hint="eastAsia" w:ascii="宋体" w:hAnsi="宋体" w:cs="仿宋"/>
                <w:kern w:val="0"/>
                <w:sz w:val="24"/>
              </w:rPr>
              <w:t>的尘埃</w:t>
            </w:r>
          </w:p>
        </w:tc>
        <w:tc>
          <w:tcPr>
            <w:tcW w:w="1236" w:type="dxa"/>
            <w:vMerge w:val="continue"/>
            <w:vAlign w:val="center"/>
          </w:tcPr>
          <w:p w14:paraId="0F75F5E7">
            <w:pPr>
              <w:widowControl/>
              <w:jc w:val="center"/>
              <w:rPr>
                <w:rFonts w:ascii="宋体" w:hAnsi="宋体" w:cs="仿宋"/>
                <w:kern w:val="0"/>
                <w:sz w:val="24"/>
              </w:rPr>
            </w:pPr>
          </w:p>
        </w:tc>
        <w:tc>
          <w:tcPr>
            <w:tcW w:w="1297" w:type="dxa"/>
            <w:vAlign w:val="center"/>
          </w:tcPr>
          <w:p w14:paraId="55A26E98">
            <w:pPr>
              <w:widowControl/>
              <w:jc w:val="center"/>
              <w:rPr>
                <w:rFonts w:ascii="宋体" w:hAnsi="宋体" w:cs="仿宋"/>
                <w:kern w:val="0"/>
                <w:sz w:val="24"/>
              </w:rPr>
            </w:pPr>
            <w:r>
              <w:rPr>
                <w:rFonts w:hint="eastAsia" w:ascii="宋体" w:hAnsi="宋体" w:cs="仿宋"/>
                <w:kern w:val="0"/>
                <w:sz w:val="24"/>
              </w:rPr>
              <w:t>不许有</w:t>
            </w:r>
          </w:p>
        </w:tc>
      </w:tr>
      <w:tr w14:paraId="733965FD">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jc w:val="center"/>
        </w:trPr>
        <w:tc>
          <w:tcPr>
            <w:tcW w:w="1134" w:type="dxa"/>
            <w:vMerge w:val="continue"/>
            <w:vAlign w:val="center"/>
          </w:tcPr>
          <w:p w14:paraId="71828197">
            <w:pPr>
              <w:widowControl/>
              <w:jc w:val="center"/>
              <w:rPr>
                <w:rFonts w:ascii="宋体" w:hAnsi="宋体" w:cs="仿宋"/>
                <w:kern w:val="0"/>
                <w:sz w:val="24"/>
              </w:rPr>
            </w:pPr>
          </w:p>
        </w:tc>
        <w:tc>
          <w:tcPr>
            <w:tcW w:w="932" w:type="dxa"/>
            <w:vMerge w:val="continue"/>
            <w:vAlign w:val="center"/>
          </w:tcPr>
          <w:p w14:paraId="728806E6">
            <w:pPr>
              <w:widowControl/>
              <w:jc w:val="center"/>
              <w:rPr>
                <w:rFonts w:ascii="宋体" w:hAnsi="宋体" w:cs="仿宋"/>
                <w:kern w:val="0"/>
                <w:sz w:val="24"/>
              </w:rPr>
            </w:pPr>
          </w:p>
        </w:tc>
        <w:tc>
          <w:tcPr>
            <w:tcW w:w="2560" w:type="dxa"/>
            <w:vAlign w:val="center"/>
          </w:tcPr>
          <w:p w14:paraId="604F0881">
            <w:pPr>
              <w:widowControl/>
              <w:jc w:val="center"/>
              <w:rPr>
                <w:rFonts w:ascii="宋体" w:hAnsi="宋体" w:cs="仿宋"/>
                <w:kern w:val="0"/>
                <w:sz w:val="24"/>
              </w:rPr>
            </w:pPr>
            <w:r>
              <w:rPr>
                <w:rFonts w:hint="eastAsia" w:ascii="宋体" w:hAnsi="宋体" w:cs="仿宋"/>
                <w:kern w:val="0"/>
                <w:sz w:val="24"/>
              </w:rPr>
              <w:t>≤(1.00～4.99)mm</w:t>
            </w:r>
            <w:r>
              <w:rPr>
                <w:rFonts w:hint="eastAsia" w:ascii="宋体" w:hAnsi="宋体" w:cs="仿宋"/>
                <w:kern w:val="0"/>
                <w:sz w:val="24"/>
                <w:vertAlign w:val="superscript"/>
              </w:rPr>
              <w:t>2</w:t>
            </w:r>
            <w:r>
              <w:rPr>
                <w:rFonts w:hint="eastAsia" w:ascii="宋体" w:hAnsi="宋体" w:cs="仿宋"/>
                <w:kern w:val="0"/>
                <w:sz w:val="24"/>
              </w:rPr>
              <w:t xml:space="preserve"> 的纤维束</w:t>
            </w:r>
          </w:p>
        </w:tc>
        <w:tc>
          <w:tcPr>
            <w:tcW w:w="1236" w:type="dxa"/>
            <w:vMerge w:val="continue"/>
            <w:vAlign w:val="center"/>
          </w:tcPr>
          <w:p w14:paraId="7CBCCCA6">
            <w:pPr>
              <w:widowControl/>
              <w:jc w:val="center"/>
              <w:rPr>
                <w:rFonts w:ascii="宋体" w:hAnsi="宋体" w:cs="仿宋"/>
                <w:kern w:val="0"/>
                <w:sz w:val="24"/>
              </w:rPr>
            </w:pPr>
          </w:p>
        </w:tc>
        <w:tc>
          <w:tcPr>
            <w:tcW w:w="1297" w:type="dxa"/>
            <w:vAlign w:val="center"/>
          </w:tcPr>
          <w:p w14:paraId="65600BE2">
            <w:pPr>
              <w:widowControl/>
              <w:jc w:val="center"/>
              <w:rPr>
                <w:rFonts w:ascii="宋体" w:hAnsi="宋体" w:cs="仿宋"/>
                <w:kern w:val="0"/>
                <w:sz w:val="24"/>
              </w:rPr>
            </w:pPr>
            <w:r>
              <w:rPr>
                <w:rFonts w:hint="eastAsia" w:ascii="宋体" w:hAnsi="宋体" w:cs="仿宋"/>
                <w:kern w:val="0"/>
                <w:sz w:val="24"/>
              </w:rPr>
              <w:t>≤</w:t>
            </w:r>
            <w:r>
              <w:rPr>
                <w:rFonts w:ascii="宋体" w:hAnsi="宋体" w:cs="仿宋"/>
                <w:kern w:val="0"/>
                <w:sz w:val="24"/>
              </w:rPr>
              <w:t>1</w:t>
            </w:r>
            <w:r>
              <w:rPr>
                <w:rFonts w:ascii="宋体" w:hAnsi="宋体" w:cs="仿宋"/>
                <w:kern w:val="0"/>
                <w:sz w:val="24"/>
                <w:lang w:val="en-AU"/>
              </w:rPr>
              <w:t>5</w:t>
            </w:r>
            <w:r>
              <w:rPr>
                <w:rFonts w:ascii="宋体" w:hAnsi="宋体" w:cs="仿宋"/>
                <w:kern w:val="0"/>
                <w:sz w:val="24"/>
              </w:rPr>
              <w:t>00</w:t>
            </w:r>
          </w:p>
        </w:tc>
      </w:tr>
      <w:tr w14:paraId="46EBC959">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134" w:type="dxa"/>
            <w:vMerge w:val="continue"/>
            <w:vAlign w:val="center"/>
          </w:tcPr>
          <w:p w14:paraId="77FB7205">
            <w:pPr>
              <w:widowControl/>
              <w:jc w:val="center"/>
              <w:rPr>
                <w:rFonts w:ascii="宋体" w:hAnsi="宋体" w:cs="仿宋"/>
                <w:kern w:val="0"/>
                <w:sz w:val="24"/>
              </w:rPr>
            </w:pPr>
          </w:p>
        </w:tc>
        <w:tc>
          <w:tcPr>
            <w:tcW w:w="932" w:type="dxa"/>
            <w:vMerge w:val="continue"/>
            <w:vAlign w:val="center"/>
          </w:tcPr>
          <w:p w14:paraId="052B4C57">
            <w:pPr>
              <w:widowControl/>
              <w:jc w:val="center"/>
              <w:rPr>
                <w:rFonts w:ascii="宋体" w:hAnsi="宋体" w:cs="仿宋"/>
                <w:kern w:val="0"/>
                <w:sz w:val="24"/>
              </w:rPr>
            </w:pPr>
          </w:p>
        </w:tc>
        <w:tc>
          <w:tcPr>
            <w:tcW w:w="2560" w:type="dxa"/>
            <w:vAlign w:val="center"/>
          </w:tcPr>
          <w:p w14:paraId="564D49E4">
            <w:pPr>
              <w:widowControl/>
              <w:jc w:val="center"/>
              <w:rPr>
                <w:rFonts w:ascii="宋体" w:hAnsi="宋体" w:cs="仿宋"/>
                <w:kern w:val="0"/>
                <w:sz w:val="24"/>
              </w:rPr>
            </w:pPr>
            <w:r>
              <w:rPr>
                <w:rFonts w:hint="eastAsia" w:ascii="宋体" w:hAnsi="宋体" w:cs="仿宋"/>
                <w:kern w:val="0"/>
                <w:sz w:val="24"/>
              </w:rPr>
              <w:t>≥5.00mm</w:t>
            </w:r>
            <w:r>
              <w:rPr>
                <w:rFonts w:hint="eastAsia" w:ascii="宋体" w:hAnsi="宋体" w:cs="仿宋"/>
                <w:kern w:val="0"/>
                <w:sz w:val="24"/>
                <w:vertAlign w:val="superscript"/>
              </w:rPr>
              <w:t>2</w:t>
            </w:r>
            <w:r>
              <w:rPr>
                <w:rFonts w:hint="eastAsia" w:ascii="宋体" w:hAnsi="宋体" w:cs="仿宋"/>
                <w:kern w:val="0"/>
                <w:sz w:val="24"/>
              </w:rPr>
              <w:t>的纤维束</w:t>
            </w:r>
          </w:p>
        </w:tc>
        <w:tc>
          <w:tcPr>
            <w:tcW w:w="1236" w:type="dxa"/>
            <w:vMerge w:val="continue"/>
            <w:vAlign w:val="center"/>
          </w:tcPr>
          <w:p w14:paraId="5CFBCD59">
            <w:pPr>
              <w:widowControl/>
              <w:jc w:val="center"/>
              <w:rPr>
                <w:rFonts w:ascii="宋体" w:hAnsi="宋体" w:cs="仿宋"/>
                <w:kern w:val="0"/>
                <w:sz w:val="24"/>
              </w:rPr>
            </w:pPr>
          </w:p>
        </w:tc>
        <w:tc>
          <w:tcPr>
            <w:tcW w:w="1297" w:type="dxa"/>
            <w:vAlign w:val="center"/>
          </w:tcPr>
          <w:p w14:paraId="1D6BA214">
            <w:pPr>
              <w:widowControl/>
              <w:jc w:val="center"/>
              <w:rPr>
                <w:rFonts w:ascii="宋体" w:hAnsi="宋体" w:cs="仿宋"/>
                <w:kern w:val="0"/>
                <w:sz w:val="24"/>
              </w:rPr>
            </w:pPr>
            <w:r>
              <w:rPr>
                <w:rFonts w:hint="eastAsia" w:ascii="宋体" w:hAnsi="宋体" w:cs="仿宋"/>
                <w:kern w:val="0"/>
                <w:sz w:val="24"/>
              </w:rPr>
              <w:t>不许有</w:t>
            </w:r>
          </w:p>
        </w:tc>
      </w:tr>
      <w:tr w14:paraId="034B6860">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1134" w:type="dxa"/>
            <w:vAlign w:val="center"/>
          </w:tcPr>
          <w:p w14:paraId="2D8DFC0C">
            <w:pPr>
              <w:widowControl/>
              <w:jc w:val="center"/>
              <w:rPr>
                <w:rFonts w:ascii="宋体" w:hAnsi="宋体" w:cs="仿宋"/>
                <w:kern w:val="0"/>
                <w:sz w:val="24"/>
              </w:rPr>
            </w:pPr>
            <w:r>
              <w:rPr>
                <w:rFonts w:hint="eastAsia" w:ascii="宋体" w:hAnsi="宋体" w:cs="仿宋"/>
                <w:kern w:val="0"/>
                <w:sz w:val="24"/>
              </w:rPr>
              <w:t>6</w:t>
            </w:r>
          </w:p>
        </w:tc>
        <w:tc>
          <w:tcPr>
            <w:tcW w:w="3492" w:type="dxa"/>
            <w:gridSpan w:val="2"/>
            <w:vAlign w:val="center"/>
          </w:tcPr>
          <w:p w14:paraId="7D1EE942">
            <w:pPr>
              <w:widowControl/>
              <w:jc w:val="center"/>
              <w:rPr>
                <w:rFonts w:ascii="宋体" w:hAnsi="宋体" w:cs="仿宋"/>
                <w:kern w:val="0"/>
                <w:sz w:val="24"/>
              </w:rPr>
            </w:pPr>
            <w:r>
              <w:rPr>
                <w:rFonts w:hint="eastAsia" w:ascii="宋体" w:hAnsi="宋体" w:cs="仿宋"/>
                <w:kern w:val="0"/>
                <w:sz w:val="24"/>
              </w:rPr>
              <w:t>卡伯值</w:t>
            </w:r>
          </w:p>
        </w:tc>
        <w:tc>
          <w:tcPr>
            <w:tcW w:w="1236" w:type="dxa"/>
            <w:vAlign w:val="center"/>
          </w:tcPr>
          <w:p w14:paraId="59474D9A">
            <w:pPr>
              <w:widowControl/>
              <w:jc w:val="center"/>
              <w:rPr>
                <w:rFonts w:ascii="宋体" w:hAnsi="宋体" w:cs="仿宋"/>
                <w:kern w:val="0"/>
                <w:sz w:val="24"/>
              </w:rPr>
            </w:pPr>
            <w:r>
              <w:rPr>
                <w:rFonts w:hint="eastAsia" w:ascii="宋体" w:hAnsi="宋体" w:cs="仿宋"/>
                <w:kern w:val="0"/>
                <w:sz w:val="24"/>
              </w:rPr>
              <w:t>/</w:t>
            </w:r>
          </w:p>
        </w:tc>
        <w:tc>
          <w:tcPr>
            <w:tcW w:w="1297" w:type="dxa"/>
            <w:vAlign w:val="center"/>
          </w:tcPr>
          <w:p w14:paraId="5B5BD7C5">
            <w:pPr>
              <w:widowControl/>
              <w:jc w:val="center"/>
              <w:rPr>
                <w:rFonts w:ascii="宋体" w:hAnsi="宋体" w:cs="仿宋"/>
                <w:kern w:val="0"/>
                <w:sz w:val="24"/>
              </w:rPr>
            </w:pPr>
            <w:r>
              <w:rPr>
                <w:rFonts w:ascii="宋体" w:hAnsi="宋体" w:cs="仿宋"/>
                <w:kern w:val="0"/>
                <w:sz w:val="24"/>
              </w:rPr>
              <w:t>17</w:t>
            </w:r>
            <w:r>
              <w:rPr>
                <w:rFonts w:hint="eastAsia" w:ascii="宋体" w:hAnsi="宋体" w:cs="仿宋"/>
                <w:kern w:val="0"/>
                <w:sz w:val="24"/>
              </w:rPr>
              <w:t>.0±5.0</w:t>
            </w:r>
          </w:p>
        </w:tc>
      </w:tr>
      <w:tr w14:paraId="5CCA6CAA">
        <w:tblPrEx>
          <w:tblBorders>
            <w:top w:val="single" w:color="000000" w:sz="4" w:space="0"/>
            <w:left w:val="single" w:color="auto"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134" w:type="dxa"/>
            <w:vAlign w:val="center"/>
          </w:tcPr>
          <w:p w14:paraId="1E241C07">
            <w:pPr>
              <w:widowControl/>
              <w:jc w:val="center"/>
              <w:rPr>
                <w:rFonts w:ascii="宋体" w:hAnsi="宋体" w:cs="仿宋"/>
                <w:kern w:val="0"/>
                <w:sz w:val="24"/>
              </w:rPr>
            </w:pPr>
            <w:r>
              <w:rPr>
                <w:rFonts w:hint="eastAsia" w:ascii="宋体" w:hAnsi="宋体" w:cs="仿宋"/>
                <w:kern w:val="0"/>
                <w:sz w:val="24"/>
              </w:rPr>
              <w:t>7</w:t>
            </w:r>
          </w:p>
        </w:tc>
        <w:tc>
          <w:tcPr>
            <w:tcW w:w="3492" w:type="dxa"/>
            <w:gridSpan w:val="2"/>
            <w:vAlign w:val="center"/>
          </w:tcPr>
          <w:p w14:paraId="364AE5D2">
            <w:pPr>
              <w:widowControl/>
              <w:jc w:val="center"/>
              <w:rPr>
                <w:rFonts w:ascii="宋体" w:hAnsi="宋体" w:cs="仿宋"/>
                <w:kern w:val="0"/>
                <w:sz w:val="24"/>
              </w:rPr>
            </w:pPr>
            <w:r>
              <w:rPr>
                <w:rFonts w:ascii="宋体" w:hAnsi="宋体" w:cs="仿宋"/>
                <w:kern w:val="0"/>
                <w:sz w:val="24"/>
              </w:rPr>
              <w:t>R457</w:t>
            </w:r>
            <w:r>
              <w:rPr>
                <w:rFonts w:hint="eastAsia" w:ascii="宋体" w:hAnsi="宋体" w:cs="仿宋"/>
                <w:kern w:val="0"/>
                <w:sz w:val="24"/>
              </w:rPr>
              <w:t xml:space="preserve"> 亮度</w:t>
            </w:r>
          </w:p>
        </w:tc>
        <w:tc>
          <w:tcPr>
            <w:tcW w:w="1236" w:type="dxa"/>
            <w:vAlign w:val="center"/>
          </w:tcPr>
          <w:p w14:paraId="4BF25C74">
            <w:pPr>
              <w:widowControl/>
              <w:jc w:val="center"/>
              <w:rPr>
                <w:rFonts w:ascii="宋体" w:hAnsi="宋体" w:cs="仿宋"/>
                <w:kern w:val="0"/>
                <w:sz w:val="24"/>
              </w:rPr>
            </w:pPr>
            <w:r>
              <w:rPr>
                <w:rFonts w:hint="eastAsia" w:ascii="宋体" w:hAnsi="宋体" w:cs="仿宋"/>
                <w:kern w:val="0"/>
                <w:sz w:val="24"/>
              </w:rPr>
              <w:t>%</w:t>
            </w:r>
          </w:p>
        </w:tc>
        <w:tc>
          <w:tcPr>
            <w:tcW w:w="1297" w:type="dxa"/>
            <w:vAlign w:val="center"/>
          </w:tcPr>
          <w:p w14:paraId="440DC4E2">
            <w:pPr>
              <w:widowControl/>
              <w:jc w:val="center"/>
              <w:rPr>
                <w:rFonts w:ascii="宋体" w:hAnsi="宋体" w:cs="仿宋"/>
                <w:kern w:val="0"/>
                <w:sz w:val="24"/>
              </w:rPr>
            </w:pPr>
            <w:r>
              <w:rPr>
                <w:rFonts w:hint="eastAsia" w:ascii="宋体" w:hAnsi="宋体" w:cs="仿宋"/>
                <w:kern w:val="0"/>
                <w:sz w:val="24"/>
              </w:rPr>
              <w:t>2</w:t>
            </w:r>
            <w:r>
              <w:rPr>
                <w:rFonts w:ascii="宋体" w:hAnsi="宋体" w:cs="仿宋"/>
                <w:kern w:val="0"/>
                <w:sz w:val="24"/>
              </w:rPr>
              <w:t>6</w:t>
            </w:r>
            <w:r>
              <w:rPr>
                <w:rFonts w:hint="eastAsia" w:ascii="宋体" w:hAnsi="宋体" w:cs="仿宋"/>
                <w:kern w:val="0"/>
                <w:sz w:val="24"/>
              </w:rPr>
              <w:t>±</w:t>
            </w:r>
            <w:r>
              <w:rPr>
                <w:rFonts w:ascii="宋体" w:hAnsi="宋体" w:cs="仿宋"/>
                <w:kern w:val="0"/>
                <w:sz w:val="24"/>
              </w:rPr>
              <w:t>4</w:t>
            </w:r>
          </w:p>
        </w:tc>
      </w:tr>
    </w:tbl>
    <w:p w14:paraId="64351D57"/>
    <w:p w14:paraId="474ADD3B">
      <w:pPr>
        <w:pStyle w:val="3"/>
        <w:spacing w:before="156" w:after="156"/>
        <w:ind w:firstLine="281"/>
      </w:pPr>
      <w:bookmarkStart w:id="71" w:name="_Toc4765"/>
      <w:bookmarkStart w:id="72" w:name="_Toc11785"/>
      <w:bookmarkStart w:id="73" w:name="_Toc8127"/>
      <w:r>
        <w:t>4、设备</w:t>
      </w:r>
      <w:bookmarkEnd w:id="71"/>
      <w:bookmarkEnd w:id="72"/>
      <w:bookmarkEnd w:id="73"/>
    </w:p>
    <w:p w14:paraId="45E04095">
      <w:pPr>
        <w:jc w:val="center"/>
        <w:rPr>
          <w:sz w:val="24"/>
          <w:szCs w:val="21"/>
        </w:rPr>
      </w:pPr>
      <w:r>
        <w:rPr>
          <w:rFonts w:hint="eastAsia"/>
          <w:sz w:val="24"/>
          <w:szCs w:val="21"/>
        </w:rPr>
        <w:t>蒸煮工段主要工艺设备清单</w:t>
      </w:r>
    </w:p>
    <w:tbl>
      <w:tblPr>
        <w:tblStyle w:val="18"/>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3440"/>
        <w:gridCol w:w="2100"/>
        <w:gridCol w:w="1559"/>
        <w:gridCol w:w="1155"/>
      </w:tblGrid>
      <w:tr w14:paraId="60F0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60" w:type="dxa"/>
          </w:tcPr>
          <w:p w14:paraId="2881BF9A">
            <w:pPr>
              <w:widowControl/>
              <w:spacing w:line="560" w:lineRule="exact"/>
              <w:jc w:val="center"/>
              <w:rPr>
                <w:rFonts w:ascii="宋体" w:hAnsi="宋体" w:cs="仿宋"/>
                <w:kern w:val="0"/>
                <w:sz w:val="22"/>
              </w:rPr>
            </w:pPr>
            <w:r>
              <w:rPr>
                <w:rFonts w:hint="eastAsia" w:ascii="宋体" w:hAnsi="宋体" w:cs="仿宋"/>
                <w:kern w:val="0"/>
                <w:sz w:val="22"/>
              </w:rPr>
              <w:t>序号</w:t>
            </w:r>
          </w:p>
        </w:tc>
        <w:tc>
          <w:tcPr>
            <w:tcW w:w="3440" w:type="dxa"/>
          </w:tcPr>
          <w:p w14:paraId="09E34B63">
            <w:pPr>
              <w:widowControl/>
              <w:spacing w:line="560" w:lineRule="exact"/>
              <w:jc w:val="center"/>
              <w:rPr>
                <w:rFonts w:ascii="宋体" w:hAnsi="宋体" w:cs="仿宋"/>
                <w:kern w:val="0"/>
                <w:sz w:val="22"/>
              </w:rPr>
            </w:pPr>
            <w:r>
              <w:rPr>
                <w:rFonts w:hint="eastAsia" w:ascii="宋体" w:hAnsi="宋体" w:cs="仿宋"/>
                <w:kern w:val="0"/>
                <w:sz w:val="22"/>
              </w:rPr>
              <w:t>设备名称</w:t>
            </w:r>
          </w:p>
        </w:tc>
        <w:tc>
          <w:tcPr>
            <w:tcW w:w="2100" w:type="dxa"/>
          </w:tcPr>
          <w:p w14:paraId="5034759B">
            <w:pPr>
              <w:widowControl/>
              <w:spacing w:line="560" w:lineRule="exact"/>
              <w:jc w:val="center"/>
              <w:rPr>
                <w:rFonts w:ascii="宋体" w:hAnsi="宋体" w:cs="仿宋"/>
                <w:kern w:val="0"/>
                <w:sz w:val="22"/>
              </w:rPr>
            </w:pPr>
            <w:r>
              <w:rPr>
                <w:rFonts w:hint="eastAsia" w:ascii="宋体" w:hAnsi="宋体" w:cs="仿宋"/>
                <w:kern w:val="0"/>
                <w:sz w:val="22"/>
              </w:rPr>
              <w:t>规格性能</w:t>
            </w:r>
          </w:p>
        </w:tc>
        <w:tc>
          <w:tcPr>
            <w:tcW w:w="1559" w:type="dxa"/>
          </w:tcPr>
          <w:p w14:paraId="61122F42">
            <w:pPr>
              <w:widowControl/>
              <w:spacing w:line="560" w:lineRule="exact"/>
              <w:jc w:val="center"/>
              <w:rPr>
                <w:rFonts w:ascii="宋体" w:hAnsi="宋体" w:cs="仿宋"/>
                <w:kern w:val="0"/>
                <w:sz w:val="22"/>
              </w:rPr>
            </w:pPr>
            <w:r>
              <w:rPr>
                <w:rFonts w:hint="eastAsia" w:ascii="宋体" w:hAnsi="宋体" w:cs="仿宋"/>
                <w:kern w:val="0"/>
                <w:sz w:val="22"/>
              </w:rPr>
              <w:t>数 量</w:t>
            </w:r>
          </w:p>
        </w:tc>
        <w:tc>
          <w:tcPr>
            <w:tcW w:w="1155" w:type="dxa"/>
          </w:tcPr>
          <w:p w14:paraId="571811F1">
            <w:pPr>
              <w:widowControl/>
              <w:spacing w:line="560" w:lineRule="exact"/>
              <w:jc w:val="center"/>
              <w:rPr>
                <w:rFonts w:ascii="宋体" w:hAnsi="宋体" w:cs="仿宋"/>
                <w:kern w:val="0"/>
                <w:sz w:val="22"/>
              </w:rPr>
            </w:pPr>
            <w:r>
              <w:rPr>
                <w:rFonts w:hint="eastAsia" w:ascii="宋体" w:hAnsi="宋体" w:cs="仿宋"/>
                <w:kern w:val="0"/>
                <w:sz w:val="22"/>
              </w:rPr>
              <w:t>备注</w:t>
            </w:r>
          </w:p>
        </w:tc>
      </w:tr>
      <w:tr w14:paraId="3A42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56F489A1">
            <w:pPr>
              <w:widowControl/>
              <w:jc w:val="center"/>
              <w:rPr>
                <w:rFonts w:ascii="宋体" w:hAnsi="宋体" w:cs="宋体"/>
                <w:kern w:val="0"/>
                <w:sz w:val="24"/>
              </w:rPr>
            </w:pPr>
            <w:r>
              <w:rPr>
                <w:rFonts w:hint="eastAsia" w:ascii="宋体" w:hAnsi="宋体" w:cs="宋体"/>
                <w:kern w:val="0"/>
                <w:sz w:val="24"/>
              </w:rPr>
              <w:t>1</w:t>
            </w:r>
          </w:p>
        </w:tc>
        <w:tc>
          <w:tcPr>
            <w:tcW w:w="3440" w:type="dxa"/>
            <w:vAlign w:val="center"/>
          </w:tcPr>
          <w:p w14:paraId="2EEB28F6">
            <w:pPr>
              <w:widowControl/>
              <w:spacing w:line="560" w:lineRule="exact"/>
              <w:jc w:val="left"/>
              <w:rPr>
                <w:rFonts w:ascii="宋体" w:hAnsi="宋体" w:cs="仿宋"/>
                <w:kern w:val="0"/>
                <w:sz w:val="22"/>
              </w:rPr>
            </w:pPr>
            <w:r>
              <w:rPr>
                <w:rFonts w:hint="eastAsia" w:ascii="宋体" w:hAnsi="宋体" w:cs="仿宋"/>
                <w:kern w:val="0"/>
                <w:sz w:val="22"/>
              </w:rPr>
              <w:t>蒸煮锅（立式）27</w:t>
            </w:r>
            <w:r>
              <w:rPr>
                <w:rFonts w:ascii="宋体" w:hAnsi="宋体" w:cs="仿宋"/>
                <w:kern w:val="0"/>
                <w:sz w:val="22"/>
              </w:rPr>
              <w:t>5</w:t>
            </w:r>
            <w:r>
              <w:rPr>
                <w:rFonts w:hint="eastAsia" w:ascii="宋体" w:hAnsi="宋体" w:cs="仿宋"/>
                <w:kern w:val="0"/>
                <w:sz w:val="22"/>
              </w:rPr>
              <w:t>m</w:t>
            </w:r>
            <w:r>
              <w:rPr>
                <w:rFonts w:hint="eastAsia" w:ascii="宋体" w:hAnsi="宋体" w:cs="仿宋"/>
                <w:kern w:val="0"/>
                <w:sz w:val="22"/>
                <w:vertAlign w:val="superscript"/>
              </w:rPr>
              <w:t>3</w:t>
            </w:r>
          </w:p>
        </w:tc>
        <w:tc>
          <w:tcPr>
            <w:tcW w:w="2100" w:type="dxa"/>
            <w:vAlign w:val="center"/>
          </w:tcPr>
          <w:p w14:paraId="50E0B36A">
            <w:pPr>
              <w:widowControl/>
              <w:spacing w:line="560" w:lineRule="exact"/>
              <w:jc w:val="center"/>
              <w:rPr>
                <w:rFonts w:ascii="宋体" w:hAnsi="宋体" w:cs="仿宋"/>
                <w:kern w:val="0"/>
                <w:sz w:val="22"/>
                <w:vertAlign w:val="superscript"/>
              </w:rPr>
            </w:pPr>
            <w:r>
              <w:rPr>
                <w:rFonts w:ascii="宋体" w:hAnsi="宋体" w:cs="仿宋"/>
                <w:kern w:val="0"/>
                <w:sz w:val="22"/>
              </w:rPr>
              <w:t>275m</w:t>
            </w:r>
            <w:r>
              <w:rPr>
                <w:rFonts w:ascii="宋体" w:hAnsi="宋体" w:cs="仿宋"/>
                <w:kern w:val="0"/>
                <w:sz w:val="22"/>
                <w:vertAlign w:val="superscript"/>
              </w:rPr>
              <w:t>3</w:t>
            </w:r>
          </w:p>
        </w:tc>
        <w:tc>
          <w:tcPr>
            <w:tcW w:w="1559" w:type="dxa"/>
            <w:vAlign w:val="center"/>
          </w:tcPr>
          <w:p w14:paraId="4FF1F9C7">
            <w:pPr>
              <w:widowControl/>
              <w:spacing w:line="560" w:lineRule="exact"/>
              <w:jc w:val="center"/>
              <w:rPr>
                <w:rFonts w:ascii="宋体" w:hAnsi="宋体" w:cs="仿宋"/>
                <w:kern w:val="0"/>
                <w:sz w:val="22"/>
              </w:rPr>
            </w:pPr>
            <w:r>
              <w:rPr>
                <w:rFonts w:hint="eastAsia" w:ascii="宋体" w:hAnsi="宋体" w:cs="仿宋"/>
                <w:kern w:val="0"/>
                <w:sz w:val="22"/>
              </w:rPr>
              <w:t>6</w:t>
            </w:r>
          </w:p>
        </w:tc>
        <w:tc>
          <w:tcPr>
            <w:tcW w:w="1155" w:type="dxa"/>
            <w:vAlign w:val="center"/>
          </w:tcPr>
          <w:p w14:paraId="7B081EF0">
            <w:pPr>
              <w:widowControl/>
              <w:spacing w:line="560" w:lineRule="exact"/>
              <w:jc w:val="center"/>
              <w:rPr>
                <w:rFonts w:ascii="宋体" w:hAnsi="宋体" w:cs="仿宋"/>
                <w:kern w:val="0"/>
                <w:sz w:val="22"/>
              </w:rPr>
            </w:pPr>
          </w:p>
        </w:tc>
      </w:tr>
      <w:tr w14:paraId="6AC27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31E3640A">
            <w:pPr>
              <w:widowControl/>
              <w:jc w:val="center"/>
              <w:rPr>
                <w:rFonts w:ascii="宋体" w:hAnsi="宋体" w:cs="宋体"/>
                <w:kern w:val="0"/>
                <w:sz w:val="24"/>
              </w:rPr>
            </w:pPr>
            <w:r>
              <w:rPr>
                <w:rFonts w:ascii="宋体" w:hAnsi="宋体" w:cs="宋体"/>
                <w:kern w:val="0"/>
                <w:sz w:val="24"/>
              </w:rPr>
              <w:t>2</w:t>
            </w:r>
          </w:p>
        </w:tc>
        <w:tc>
          <w:tcPr>
            <w:tcW w:w="3440" w:type="dxa"/>
            <w:vAlign w:val="center"/>
          </w:tcPr>
          <w:p w14:paraId="1476E049">
            <w:pPr>
              <w:widowControl/>
              <w:spacing w:line="560" w:lineRule="exact"/>
              <w:jc w:val="left"/>
              <w:rPr>
                <w:rFonts w:ascii="宋体" w:hAnsi="宋体" w:cs="仿宋"/>
                <w:kern w:val="0"/>
                <w:sz w:val="22"/>
              </w:rPr>
            </w:pPr>
            <w:r>
              <w:rPr>
                <w:rFonts w:hint="eastAsia" w:ascii="宋体" w:hAnsi="宋体" w:cs="仿宋"/>
                <w:kern w:val="0"/>
                <w:sz w:val="22"/>
              </w:rPr>
              <w:t>热黑液槽</w:t>
            </w:r>
          </w:p>
        </w:tc>
        <w:tc>
          <w:tcPr>
            <w:tcW w:w="2100" w:type="dxa"/>
            <w:vAlign w:val="center"/>
          </w:tcPr>
          <w:p w14:paraId="2CEB2BC9">
            <w:pPr>
              <w:widowControl/>
              <w:jc w:val="center"/>
              <w:rPr>
                <w:rFonts w:ascii="宋体" w:hAnsi="宋体" w:cs="宋体"/>
                <w:kern w:val="0"/>
                <w:sz w:val="22"/>
              </w:rPr>
            </w:pPr>
          </w:p>
        </w:tc>
        <w:tc>
          <w:tcPr>
            <w:tcW w:w="1559" w:type="dxa"/>
            <w:vAlign w:val="center"/>
          </w:tcPr>
          <w:p w14:paraId="0E4ECD4E">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489EEA53">
            <w:pPr>
              <w:widowControl/>
              <w:spacing w:line="560" w:lineRule="exact"/>
              <w:jc w:val="center"/>
              <w:rPr>
                <w:rFonts w:ascii="宋体" w:hAnsi="宋体" w:cs="仿宋"/>
                <w:kern w:val="0"/>
                <w:sz w:val="22"/>
              </w:rPr>
            </w:pPr>
          </w:p>
        </w:tc>
      </w:tr>
      <w:tr w14:paraId="300B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42C6530C">
            <w:pPr>
              <w:widowControl/>
              <w:jc w:val="center"/>
              <w:rPr>
                <w:rFonts w:ascii="宋体" w:hAnsi="宋体" w:cs="宋体"/>
                <w:kern w:val="0"/>
                <w:sz w:val="24"/>
              </w:rPr>
            </w:pPr>
            <w:r>
              <w:rPr>
                <w:rFonts w:ascii="宋体" w:hAnsi="宋体" w:cs="宋体"/>
                <w:kern w:val="0"/>
                <w:sz w:val="24"/>
              </w:rPr>
              <w:t>3</w:t>
            </w:r>
          </w:p>
        </w:tc>
        <w:tc>
          <w:tcPr>
            <w:tcW w:w="3440" w:type="dxa"/>
            <w:vAlign w:val="center"/>
          </w:tcPr>
          <w:p w14:paraId="7942E5E2">
            <w:pPr>
              <w:widowControl/>
              <w:spacing w:line="560" w:lineRule="exact"/>
              <w:jc w:val="left"/>
              <w:rPr>
                <w:rFonts w:ascii="宋体" w:hAnsi="宋体" w:cs="仿宋"/>
                <w:kern w:val="0"/>
                <w:sz w:val="22"/>
              </w:rPr>
            </w:pPr>
            <w:r>
              <w:rPr>
                <w:rFonts w:hint="eastAsia" w:ascii="宋体" w:hAnsi="宋体" w:cs="仿宋"/>
                <w:kern w:val="0"/>
                <w:sz w:val="22"/>
              </w:rPr>
              <w:t>温黑液槽</w:t>
            </w:r>
          </w:p>
        </w:tc>
        <w:tc>
          <w:tcPr>
            <w:tcW w:w="2100" w:type="dxa"/>
            <w:vAlign w:val="center"/>
          </w:tcPr>
          <w:p w14:paraId="67B7B360">
            <w:pPr>
              <w:widowControl/>
              <w:jc w:val="center"/>
              <w:rPr>
                <w:rFonts w:ascii="宋体" w:hAnsi="宋体" w:cs="宋体"/>
                <w:kern w:val="0"/>
                <w:sz w:val="22"/>
              </w:rPr>
            </w:pPr>
          </w:p>
        </w:tc>
        <w:tc>
          <w:tcPr>
            <w:tcW w:w="1559" w:type="dxa"/>
            <w:vAlign w:val="center"/>
          </w:tcPr>
          <w:p w14:paraId="5B39DA72">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280FE104">
            <w:pPr>
              <w:widowControl/>
              <w:spacing w:line="560" w:lineRule="exact"/>
              <w:jc w:val="center"/>
              <w:rPr>
                <w:rFonts w:ascii="宋体" w:hAnsi="宋体" w:cs="仿宋"/>
                <w:kern w:val="0"/>
                <w:sz w:val="22"/>
              </w:rPr>
            </w:pPr>
          </w:p>
        </w:tc>
      </w:tr>
      <w:tr w14:paraId="59DF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1CD20E87">
            <w:pPr>
              <w:widowControl/>
              <w:jc w:val="center"/>
              <w:rPr>
                <w:rFonts w:ascii="宋体" w:hAnsi="宋体" w:cs="宋体"/>
                <w:kern w:val="0"/>
                <w:sz w:val="24"/>
              </w:rPr>
            </w:pPr>
            <w:r>
              <w:rPr>
                <w:rFonts w:ascii="宋体" w:hAnsi="宋体" w:cs="宋体"/>
                <w:kern w:val="0"/>
                <w:sz w:val="24"/>
              </w:rPr>
              <w:t>4</w:t>
            </w:r>
          </w:p>
        </w:tc>
        <w:tc>
          <w:tcPr>
            <w:tcW w:w="3440" w:type="dxa"/>
            <w:vAlign w:val="center"/>
          </w:tcPr>
          <w:p w14:paraId="42944E30">
            <w:pPr>
              <w:widowControl/>
              <w:spacing w:line="560" w:lineRule="exact"/>
              <w:jc w:val="left"/>
              <w:rPr>
                <w:rFonts w:ascii="宋体" w:hAnsi="宋体" w:cs="仿宋"/>
                <w:kern w:val="0"/>
                <w:sz w:val="22"/>
              </w:rPr>
            </w:pPr>
            <w:r>
              <w:rPr>
                <w:rFonts w:hint="eastAsia" w:ascii="宋体" w:hAnsi="宋体" w:cs="仿宋"/>
                <w:kern w:val="0"/>
                <w:sz w:val="22"/>
              </w:rPr>
              <w:t>热白液槽</w:t>
            </w:r>
          </w:p>
        </w:tc>
        <w:tc>
          <w:tcPr>
            <w:tcW w:w="2100" w:type="dxa"/>
            <w:vAlign w:val="center"/>
          </w:tcPr>
          <w:p w14:paraId="78210CF5">
            <w:pPr>
              <w:widowControl/>
              <w:jc w:val="center"/>
              <w:rPr>
                <w:rFonts w:ascii="宋体" w:hAnsi="宋体" w:cs="宋体"/>
                <w:kern w:val="0"/>
                <w:sz w:val="22"/>
              </w:rPr>
            </w:pPr>
          </w:p>
        </w:tc>
        <w:tc>
          <w:tcPr>
            <w:tcW w:w="1559" w:type="dxa"/>
            <w:vAlign w:val="center"/>
          </w:tcPr>
          <w:p w14:paraId="6DCE17E8">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3350296D">
            <w:pPr>
              <w:widowControl/>
              <w:spacing w:line="560" w:lineRule="exact"/>
              <w:jc w:val="center"/>
              <w:rPr>
                <w:rFonts w:ascii="宋体" w:hAnsi="宋体" w:cs="仿宋"/>
                <w:kern w:val="0"/>
                <w:sz w:val="22"/>
              </w:rPr>
            </w:pPr>
          </w:p>
        </w:tc>
      </w:tr>
      <w:tr w14:paraId="564CB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78A80AC7">
            <w:pPr>
              <w:widowControl/>
              <w:jc w:val="center"/>
              <w:rPr>
                <w:rFonts w:ascii="宋体" w:hAnsi="宋体" w:cs="宋体"/>
                <w:kern w:val="0"/>
                <w:sz w:val="24"/>
              </w:rPr>
            </w:pPr>
            <w:r>
              <w:rPr>
                <w:rFonts w:ascii="宋体" w:hAnsi="宋体" w:cs="宋体"/>
                <w:kern w:val="0"/>
                <w:sz w:val="24"/>
              </w:rPr>
              <w:t>5</w:t>
            </w:r>
          </w:p>
        </w:tc>
        <w:tc>
          <w:tcPr>
            <w:tcW w:w="3440" w:type="dxa"/>
            <w:vAlign w:val="center"/>
          </w:tcPr>
          <w:p w14:paraId="5F09C4ED">
            <w:pPr>
              <w:widowControl/>
              <w:spacing w:line="560" w:lineRule="exact"/>
              <w:jc w:val="left"/>
              <w:rPr>
                <w:rFonts w:ascii="宋体" w:hAnsi="宋体" w:cs="仿宋"/>
                <w:kern w:val="0"/>
                <w:sz w:val="22"/>
              </w:rPr>
            </w:pPr>
            <w:r>
              <w:rPr>
                <w:rFonts w:hint="eastAsia" w:ascii="宋体" w:hAnsi="宋体" w:cs="仿宋"/>
                <w:kern w:val="0"/>
                <w:sz w:val="22"/>
              </w:rPr>
              <w:t>冷白液槽</w:t>
            </w:r>
          </w:p>
        </w:tc>
        <w:tc>
          <w:tcPr>
            <w:tcW w:w="2100" w:type="dxa"/>
            <w:vAlign w:val="center"/>
          </w:tcPr>
          <w:p w14:paraId="68C96208">
            <w:pPr>
              <w:widowControl/>
              <w:jc w:val="center"/>
              <w:rPr>
                <w:rFonts w:ascii="宋体" w:hAnsi="宋体" w:cs="宋体"/>
                <w:kern w:val="0"/>
                <w:sz w:val="22"/>
              </w:rPr>
            </w:pPr>
          </w:p>
        </w:tc>
        <w:tc>
          <w:tcPr>
            <w:tcW w:w="1559" w:type="dxa"/>
            <w:vAlign w:val="center"/>
          </w:tcPr>
          <w:p w14:paraId="3149DC66">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25E5829C">
            <w:pPr>
              <w:widowControl/>
              <w:spacing w:line="560" w:lineRule="exact"/>
              <w:jc w:val="center"/>
              <w:rPr>
                <w:rFonts w:ascii="宋体" w:hAnsi="宋体" w:cs="仿宋"/>
                <w:kern w:val="0"/>
                <w:sz w:val="22"/>
              </w:rPr>
            </w:pPr>
          </w:p>
        </w:tc>
      </w:tr>
      <w:tr w14:paraId="18191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5D54C014">
            <w:pPr>
              <w:widowControl/>
              <w:jc w:val="center"/>
              <w:rPr>
                <w:rFonts w:ascii="宋体" w:hAnsi="宋体" w:cs="宋体"/>
                <w:kern w:val="0"/>
                <w:sz w:val="24"/>
              </w:rPr>
            </w:pPr>
            <w:r>
              <w:rPr>
                <w:rFonts w:ascii="宋体" w:hAnsi="宋体" w:cs="宋体"/>
                <w:kern w:val="0"/>
                <w:sz w:val="24"/>
              </w:rPr>
              <w:t>6</w:t>
            </w:r>
          </w:p>
        </w:tc>
        <w:tc>
          <w:tcPr>
            <w:tcW w:w="3440" w:type="dxa"/>
            <w:vAlign w:val="center"/>
          </w:tcPr>
          <w:p w14:paraId="7A182248">
            <w:pPr>
              <w:widowControl/>
              <w:spacing w:line="560" w:lineRule="exact"/>
              <w:jc w:val="left"/>
              <w:rPr>
                <w:rFonts w:ascii="宋体" w:hAnsi="宋体" w:cs="仿宋"/>
                <w:kern w:val="0"/>
                <w:sz w:val="22"/>
              </w:rPr>
            </w:pPr>
            <w:r>
              <w:rPr>
                <w:rFonts w:hint="eastAsia" w:ascii="宋体" w:hAnsi="宋体" w:cs="仿宋"/>
                <w:kern w:val="0"/>
                <w:sz w:val="22"/>
              </w:rPr>
              <w:t>回收槽</w:t>
            </w:r>
          </w:p>
        </w:tc>
        <w:tc>
          <w:tcPr>
            <w:tcW w:w="2100" w:type="dxa"/>
            <w:vAlign w:val="center"/>
          </w:tcPr>
          <w:p w14:paraId="10AB9DF2">
            <w:pPr>
              <w:widowControl/>
              <w:jc w:val="center"/>
              <w:rPr>
                <w:rFonts w:ascii="宋体" w:hAnsi="宋体" w:cs="宋体"/>
                <w:kern w:val="0"/>
                <w:sz w:val="22"/>
              </w:rPr>
            </w:pPr>
          </w:p>
        </w:tc>
        <w:tc>
          <w:tcPr>
            <w:tcW w:w="1559" w:type="dxa"/>
            <w:vAlign w:val="center"/>
          </w:tcPr>
          <w:p w14:paraId="1289CEEA">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2BF82E11">
            <w:pPr>
              <w:widowControl/>
              <w:spacing w:line="560" w:lineRule="exact"/>
              <w:jc w:val="center"/>
              <w:rPr>
                <w:rFonts w:ascii="宋体" w:hAnsi="宋体" w:cs="仿宋"/>
                <w:kern w:val="0"/>
                <w:sz w:val="22"/>
              </w:rPr>
            </w:pPr>
          </w:p>
        </w:tc>
      </w:tr>
      <w:tr w14:paraId="01EF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040648E8">
            <w:pPr>
              <w:widowControl/>
              <w:jc w:val="center"/>
              <w:rPr>
                <w:rFonts w:ascii="宋体" w:hAnsi="宋体" w:cs="宋体"/>
                <w:kern w:val="0"/>
                <w:sz w:val="24"/>
              </w:rPr>
            </w:pPr>
            <w:r>
              <w:rPr>
                <w:rFonts w:ascii="宋体" w:hAnsi="宋体" w:cs="宋体"/>
                <w:kern w:val="0"/>
                <w:sz w:val="24"/>
              </w:rPr>
              <w:t>7</w:t>
            </w:r>
          </w:p>
        </w:tc>
        <w:tc>
          <w:tcPr>
            <w:tcW w:w="3440" w:type="dxa"/>
            <w:vAlign w:val="center"/>
          </w:tcPr>
          <w:p w14:paraId="232D7976">
            <w:pPr>
              <w:widowControl/>
              <w:spacing w:line="560" w:lineRule="exact"/>
              <w:jc w:val="left"/>
              <w:rPr>
                <w:rFonts w:ascii="宋体" w:hAnsi="宋体" w:cs="仿宋"/>
                <w:kern w:val="0"/>
                <w:sz w:val="22"/>
              </w:rPr>
            </w:pPr>
            <w:r>
              <w:rPr>
                <w:rFonts w:hint="eastAsia" w:ascii="宋体" w:hAnsi="宋体" w:cs="仿宋"/>
                <w:kern w:val="0"/>
                <w:sz w:val="22"/>
              </w:rPr>
              <w:t>冷黑液槽</w:t>
            </w:r>
          </w:p>
        </w:tc>
        <w:tc>
          <w:tcPr>
            <w:tcW w:w="2100" w:type="dxa"/>
            <w:vAlign w:val="center"/>
          </w:tcPr>
          <w:p w14:paraId="1BD22ACB">
            <w:pPr>
              <w:widowControl/>
              <w:jc w:val="center"/>
              <w:rPr>
                <w:rFonts w:ascii="宋体" w:hAnsi="宋体" w:cs="宋体"/>
                <w:kern w:val="0"/>
                <w:sz w:val="22"/>
              </w:rPr>
            </w:pPr>
          </w:p>
        </w:tc>
        <w:tc>
          <w:tcPr>
            <w:tcW w:w="1559" w:type="dxa"/>
            <w:vAlign w:val="center"/>
          </w:tcPr>
          <w:p w14:paraId="6B92E555">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464C689E">
            <w:pPr>
              <w:widowControl/>
              <w:spacing w:line="560" w:lineRule="exact"/>
              <w:jc w:val="center"/>
              <w:rPr>
                <w:rFonts w:ascii="宋体" w:hAnsi="宋体" w:cs="仿宋"/>
                <w:kern w:val="0"/>
                <w:sz w:val="22"/>
              </w:rPr>
            </w:pPr>
          </w:p>
        </w:tc>
      </w:tr>
      <w:tr w14:paraId="0AFC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0" w:type="dxa"/>
            <w:vAlign w:val="center"/>
          </w:tcPr>
          <w:p w14:paraId="51312BAC">
            <w:pPr>
              <w:widowControl/>
              <w:jc w:val="center"/>
              <w:rPr>
                <w:rFonts w:ascii="宋体" w:hAnsi="宋体" w:cs="宋体"/>
                <w:kern w:val="0"/>
                <w:sz w:val="24"/>
              </w:rPr>
            </w:pPr>
            <w:r>
              <w:rPr>
                <w:rFonts w:ascii="宋体" w:hAnsi="宋体" w:cs="宋体"/>
                <w:kern w:val="0"/>
                <w:sz w:val="24"/>
              </w:rPr>
              <w:t>8</w:t>
            </w:r>
          </w:p>
        </w:tc>
        <w:tc>
          <w:tcPr>
            <w:tcW w:w="3440" w:type="dxa"/>
            <w:vAlign w:val="center"/>
          </w:tcPr>
          <w:p w14:paraId="50A7E11F">
            <w:pPr>
              <w:widowControl/>
              <w:spacing w:line="560" w:lineRule="exact"/>
              <w:jc w:val="left"/>
              <w:rPr>
                <w:rFonts w:ascii="宋体" w:hAnsi="宋体" w:cs="仿宋"/>
                <w:kern w:val="0"/>
                <w:sz w:val="22"/>
              </w:rPr>
            </w:pPr>
            <w:r>
              <w:rPr>
                <w:rFonts w:hint="eastAsia" w:ascii="宋体" w:hAnsi="宋体" w:cs="仿宋"/>
                <w:kern w:val="0"/>
                <w:sz w:val="22"/>
              </w:rPr>
              <w:t>喷放锅</w:t>
            </w:r>
          </w:p>
        </w:tc>
        <w:tc>
          <w:tcPr>
            <w:tcW w:w="2100" w:type="dxa"/>
            <w:vAlign w:val="center"/>
          </w:tcPr>
          <w:p w14:paraId="5A263590">
            <w:pPr>
              <w:widowControl/>
              <w:jc w:val="center"/>
              <w:rPr>
                <w:rFonts w:ascii="宋体" w:hAnsi="宋体" w:cs="宋体"/>
                <w:kern w:val="0"/>
                <w:sz w:val="22"/>
              </w:rPr>
            </w:pPr>
          </w:p>
        </w:tc>
        <w:tc>
          <w:tcPr>
            <w:tcW w:w="1559" w:type="dxa"/>
            <w:vAlign w:val="center"/>
          </w:tcPr>
          <w:p w14:paraId="0077F907">
            <w:pPr>
              <w:widowControl/>
              <w:spacing w:line="560" w:lineRule="exact"/>
              <w:jc w:val="center"/>
              <w:rPr>
                <w:rFonts w:ascii="宋体" w:hAnsi="宋体" w:cs="仿宋"/>
                <w:kern w:val="0"/>
                <w:sz w:val="22"/>
              </w:rPr>
            </w:pPr>
            <w:r>
              <w:rPr>
                <w:rFonts w:ascii="宋体" w:hAnsi="宋体" w:cs="仿宋"/>
                <w:kern w:val="0"/>
                <w:sz w:val="22"/>
              </w:rPr>
              <w:t>2</w:t>
            </w:r>
          </w:p>
        </w:tc>
        <w:tc>
          <w:tcPr>
            <w:tcW w:w="1155" w:type="dxa"/>
            <w:vAlign w:val="center"/>
          </w:tcPr>
          <w:p w14:paraId="3667324E">
            <w:pPr>
              <w:widowControl/>
              <w:spacing w:line="560" w:lineRule="exact"/>
              <w:jc w:val="center"/>
              <w:rPr>
                <w:rFonts w:ascii="宋体" w:hAnsi="宋体" w:cs="仿宋"/>
                <w:kern w:val="0"/>
                <w:sz w:val="22"/>
              </w:rPr>
            </w:pPr>
          </w:p>
        </w:tc>
      </w:tr>
      <w:tr w14:paraId="709B5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6BF032F3">
            <w:pPr>
              <w:widowControl/>
              <w:jc w:val="center"/>
              <w:rPr>
                <w:rFonts w:ascii="宋体" w:hAnsi="宋体" w:cs="宋体"/>
                <w:kern w:val="0"/>
                <w:sz w:val="24"/>
              </w:rPr>
            </w:pPr>
            <w:r>
              <w:rPr>
                <w:rFonts w:ascii="宋体" w:hAnsi="宋体" w:cs="宋体"/>
                <w:kern w:val="0"/>
                <w:sz w:val="24"/>
              </w:rPr>
              <w:t>9</w:t>
            </w:r>
          </w:p>
        </w:tc>
        <w:tc>
          <w:tcPr>
            <w:tcW w:w="3440" w:type="dxa"/>
            <w:vAlign w:val="center"/>
          </w:tcPr>
          <w:p w14:paraId="45D87F83">
            <w:pPr>
              <w:widowControl/>
              <w:spacing w:line="560" w:lineRule="exact"/>
              <w:jc w:val="left"/>
              <w:rPr>
                <w:rFonts w:ascii="宋体" w:hAnsi="宋体" w:cs="仿宋"/>
                <w:kern w:val="0"/>
                <w:sz w:val="22"/>
              </w:rPr>
            </w:pPr>
            <w:r>
              <w:rPr>
                <w:rFonts w:hint="eastAsia" w:ascii="宋体" w:hAnsi="宋体" w:cs="仿宋"/>
                <w:kern w:val="0"/>
                <w:sz w:val="22"/>
              </w:rPr>
              <w:t>污热水槽</w:t>
            </w:r>
          </w:p>
        </w:tc>
        <w:tc>
          <w:tcPr>
            <w:tcW w:w="2100" w:type="dxa"/>
            <w:vAlign w:val="center"/>
          </w:tcPr>
          <w:p w14:paraId="6275C2F4">
            <w:pPr>
              <w:widowControl/>
              <w:jc w:val="center"/>
              <w:rPr>
                <w:rFonts w:ascii="宋体" w:hAnsi="宋体" w:cs="宋体"/>
                <w:kern w:val="0"/>
                <w:sz w:val="22"/>
              </w:rPr>
            </w:pPr>
          </w:p>
        </w:tc>
        <w:tc>
          <w:tcPr>
            <w:tcW w:w="1559" w:type="dxa"/>
            <w:vAlign w:val="center"/>
          </w:tcPr>
          <w:p w14:paraId="6FAEF5A5">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4DEB839D">
            <w:pPr>
              <w:widowControl/>
              <w:spacing w:line="560" w:lineRule="exact"/>
              <w:jc w:val="center"/>
              <w:rPr>
                <w:rFonts w:ascii="宋体" w:hAnsi="宋体" w:cs="仿宋"/>
                <w:kern w:val="0"/>
                <w:sz w:val="22"/>
              </w:rPr>
            </w:pPr>
          </w:p>
        </w:tc>
      </w:tr>
      <w:tr w14:paraId="77F09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68665248">
            <w:pPr>
              <w:widowControl/>
              <w:jc w:val="center"/>
              <w:rPr>
                <w:rFonts w:ascii="宋体" w:hAnsi="宋体" w:cs="宋体"/>
                <w:kern w:val="0"/>
                <w:sz w:val="24"/>
              </w:rPr>
            </w:pPr>
            <w:r>
              <w:rPr>
                <w:rFonts w:ascii="宋体" w:hAnsi="宋体" w:cs="宋体"/>
                <w:kern w:val="0"/>
                <w:sz w:val="24"/>
              </w:rPr>
              <w:t>10</w:t>
            </w:r>
          </w:p>
        </w:tc>
        <w:tc>
          <w:tcPr>
            <w:tcW w:w="3440" w:type="dxa"/>
            <w:vAlign w:val="center"/>
          </w:tcPr>
          <w:p w14:paraId="05A6258A">
            <w:pPr>
              <w:widowControl/>
              <w:spacing w:line="560" w:lineRule="exact"/>
              <w:jc w:val="left"/>
              <w:rPr>
                <w:rFonts w:ascii="宋体" w:hAnsi="宋体" w:cs="仿宋"/>
                <w:kern w:val="0"/>
                <w:sz w:val="22"/>
              </w:rPr>
            </w:pPr>
            <w:r>
              <w:rPr>
                <w:rFonts w:hint="eastAsia" w:ascii="宋体" w:hAnsi="宋体" w:cs="仿宋"/>
                <w:kern w:val="0"/>
                <w:sz w:val="22"/>
              </w:rPr>
              <w:t>加热器、冷却器、冷凝器</w:t>
            </w:r>
          </w:p>
        </w:tc>
        <w:tc>
          <w:tcPr>
            <w:tcW w:w="2100" w:type="dxa"/>
            <w:vAlign w:val="center"/>
          </w:tcPr>
          <w:p w14:paraId="5BFA255E">
            <w:pPr>
              <w:widowControl/>
              <w:jc w:val="center"/>
              <w:rPr>
                <w:rFonts w:ascii="宋体" w:hAnsi="宋体" w:cs="宋体"/>
                <w:kern w:val="0"/>
                <w:sz w:val="22"/>
              </w:rPr>
            </w:pPr>
          </w:p>
        </w:tc>
        <w:tc>
          <w:tcPr>
            <w:tcW w:w="1559" w:type="dxa"/>
            <w:vAlign w:val="center"/>
          </w:tcPr>
          <w:p w14:paraId="0E43F963">
            <w:pPr>
              <w:widowControl/>
              <w:spacing w:line="560" w:lineRule="exact"/>
              <w:jc w:val="center"/>
              <w:rPr>
                <w:rFonts w:ascii="宋体" w:hAnsi="宋体" w:cs="仿宋"/>
                <w:kern w:val="0"/>
                <w:sz w:val="22"/>
              </w:rPr>
            </w:pPr>
          </w:p>
        </w:tc>
        <w:tc>
          <w:tcPr>
            <w:tcW w:w="1155" w:type="dxa"/>
            <w:vAlign w:val="center"/>
          </w:tcPr>
          <w:p w14:paraId="458A83FF">
            <w:pPr>
              <w:widowControl/>
              <w:spacing w:line="560" w:lineRule="exact"/>
              <w:jc w:val="center"/>
              <w:rPr>
                <w:rFonts w:ascii="宋体" w:hAnsi="宋体" w:cs="仿宋"/>
                <w:kern w:val="0"/>
                <w:sz w:val="22"/>
              </w:rPr>
            </w:pPr>
          </w:p>
        </w:tc>
      </w:tr>
      <w:tr w14:paraId="25D46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2F259F49">
            <w:pPr>
              <w:widowControl/>
              <w:jc w:val="center"/>
              <w:rPr>
                <w:rFonts w:ascii="宋体" w:hAnsi="宋体" w:cs="宋体"/>
                <w:kern w:val="0"/>
                <w:sz w:val="24"/>
              </w:rPr>
            </w:pPr>
            <w:r>
              <w:rPr>
                <w:rFonts w:ascii="宋体" w:hAnsi="宋体" w:cs="宋体"/>
                <w:kern w:val="0"/>
                <w:sz w:val="24"/>
              </w:rPr>
              <w:t>11</w:t>
            </w:r>
          </w:p>
        </w:tc>
        <w:tc>
          <w:tcPr>
            <w:tcW w:w="3440" w:type="dxa"/>
            <w:vAlign w:val="center"/>
          </w:tcPr>
          <w:p w14:paraId="7EF3AF9D">
            <w:pPr>
              <w:widowControl/>
              <w:spacing w:line="560" w:lineRule="exact"/>
              <w:jc w:val="left"/>
              <w:rPr>
                <w:rFonts w:ascii="宋体" w:hAnsi="宋体" w:cs="仿宋"/>
                <w:kern w:val="0"/>
                <w:sz w:val="22"/>
              </w:rPr>
            </w:pPr>
            <w:r>
              <w:rPr>
                <w:rFonts w:hint="eastAsia" w:ascii="宋体" w:hAnsi="宋体" w:cs="仿宋"/>
                <w:kern w:val="0"/>
                <w:sz w:val="22"/>
              </w:rPr>
              <w:t>轻污水槽</w:t>
            </w:r>
          </w:p>
        </w:tc>
        <w:tc>
          <w:tcPr>
            <w:tcW w:w="2100" w:type="dxa"/>
            <w:vAlign w:val="center"/>
          </w:tcPr>
          <w:p w14:paraId="12C85777">
            <w:pPr>
              <w:widowControl/>
              <w:jc w:val="center"/>
              <w:rPr>
                <w:rFonts w:ascii="宋体" w:hAnsi="宋体" w:cs="宋体"/>
                <w:kern w:val="0"/>
                <w:sz w:val="22"/>
              </w:rPr>
            </w:pPr>
          </w:p>
        </w:tc>
        <w:tc>
          <w:tcPr>
            <w:tcW w:w="1559" w:type="dxa"/>
            <w:vAlign w:val="center"/>
          </w:tcPr>
          <w:p w14:paraId="7FF6E208">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1FAD456F">
            <w:pPr>
              <w:widowControl/>
              <w:spacing w:line="560" w:lineRule="exact"/>
              <w:jc w:val="center"/>
              <w:rPr>
                <w:rFonts w:ascii="宋体" w:hAnsi="宋体" w:cs="仿宋"/>
                <w:kern w:val="0"/>
                <w:sz w:val="22"/>
              </w:rPr>
            </w:pPr>
          </w:p>
        </w:tc>
      </w:tr>
      <w:tr w14:paraId="0ABF7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7B930BF8">
            <w:pPr>
              <w:widowControl/>
              <w:jc w:val="center"/>
              <w:rPr>
                <w:rFonts w:ascii="宋体" w:hAnsi="宋体" w:cs="宋体"/>
                <w:kern w:val="0"/>
                <w:sz w:val="24"/>
              </w:rPr>
            </w:pPr>
            <w:r>
              <w:rPr>
                <w:rFonts w:ascii="宋体" w:hAnsi="宋体" w:cs="宋体"/>
                <w:kern w:val="0"/>
                <w:sz w:val="24"/>
              </w:rPr>
              <w:t>12</w:t>
            </w:r>
          </w:p>
        </w:tc>
        <w:tc>
          <w:tcPr>
            <w:tcW w:w="3440" w:type="dxa"/>
            <w:vAlign w:val="center"/>
          </w:tcPr>
          <w:p w14:paraId="6A93C446">
            <w:pPr>
              <w:widowControl/>
              <w:spacing w:line="560" w:lineRule="exact"/>
              <w:jc w:val="left"/>
              <w:rPr>
                <w:rFonts w:ascii="宋体" w:hAnsi="宋体" w:cs="仿宋"/>
                <w:kern w:val="0"/>
                <w:sz w:val="22"/>
              </w:rPr>
            </w:pPr>
            <w:r>
              <w:rPr>
                <w:rFonts w:hint="eastAsia" w:ascii="宋体" w:hAnsi="宋体" w:cs="仿宋"/>
                <w:kern w:val="0"/>
                <w:sz w:val="22"/>
              </w:rPr>
              <w:t>压力式黑液过滤机</w:t>
            </w:r>
          </w:p>
        </w:tc>
        <w:tc>
          <w:tcPr>
            <w:tcW w:w="2100" w:type="dxa"/>
            <w:vAlign w:val="center"/>
          </w:tcPr>
          <w:p w14:paraId="25471ED2">
            <w:pPr>
              <w:widowControl/>
              <w:jc w:val="center"/>
              <w:rPr>
                <w:rFonts w:ascii="宋体" w:hAnsi="宋体" w:cs="宋体"/>
                <w:kern w:val="0"/>
                <w:sz w:val="22"/>
              </w:rPr>
            </w:pPr>
          </w:p>
        </w:tc>
        <w:tc>
          <w:tcPr>
            <w:tcW w:w="1559" w:type="dxa"/>
            <w:vAlign w:val="center"/>
          </w:tcPr>
          <w:p w14:paraId="73F73F80">
            <w:pPr>
              <w:widowControl/>
              <w:spacing w:line="560" w:lineRule="exact"/>
              <w:jc w:val="center"/>
              <w:rPr>
                <w:rFonts w:ascii="宋体" w:hAnsi="宋体" w:cs="仿宋"/>
                <w:kern w:val="0"/>
                <w:sz w:val="22"/>
              </w:rPr>
            </w:pPr>
          </w:p>
        </w:tc>
        <w:tc>
          <w:tcPr>
            <w:tcW w:w="1155" w:type="dxa"/>
            <w:vAlign w:val="center"/>
          </w:tcPr>
          <w:p w14:paraId="2808ABF7">
            <w:pPr>
              <w:widowControl/>
              <w:spacing w:line="560" w:lineRule="exact"/>
              <w:jc w:val="center"/>
              <w:rPr>
                <w:rFonts w:ascii="宋体" w:hAnsi="宋体" w:cs="仿宋"/>
                <w:kern w:val="0"/>
                <w:sz w:val="22"/>
              </w:rPr>
            </w:pPr>
          </w:p>
        </w:tc>
      </w:tr>
      <w:tr w14:paraId="22CB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51F1EA9C">
            <w:pPr>
              <w:widowControl/>
              <w:jc w:val="center"/>
              <w:rPr>
                <w:rFonts w:ascii="宋体" w:hAnsi="宋体" w:cs="宋体"/>
                <w:kern w:val="0"/>
                <w:sz w:val="24"/>
              </w:rPr>
            </w:pPr>
            <w:r>
              <w:rPr>
                <w:rFonts w:hint="eastAsia" w:ascii="宋体" w:hAnsi="宋体" w:cs="宋体"/>
                <w:kern w:val="0"/>
                <w:sz w:val="24"/>
              </w:rPr>
              <w:t>13</w:t>
            </w:r>
          </w:p>
        </w:tc>
        <w:tc>
          <w:tcPr>
            <w:tcW w:w="3440" w:type="dxa"/>
            <w:vAlign w:val="center"/>
          </w:tcPr>
          <w:p w14:paraId="6709B911">
            <w:pPr>
              <w:widowControl/>
              <w:jc w:val="left"/>
              <w:rPr>
                <w:rFonts w:ascii="宋体" w:hAnsi="宋体" w:cs="仿宋"/>
                <w:kern w:val="0"/>
                <w:sz w:val="22"/>
              </w:rPr>
            </w:pPr>
            <w:r>
              <w:rPr>
                <w:rFonts w:hint="eastAsia" w:ascii="宋体" w:hAnsi="宋体" w:cs="宋体"/>
                <w:kern w:val="0"/>
                <w:sz w:val="22"/>
              </w:rPr>
              <w:t>黑液泵</w:t>
            </w:r>
          </w:p>
        </w:tc>
        <w:tc>
          <w:tcPr>
            <w:tcW w:w="2100" w:type="dxa"/>
            <w:vAlign w:val="center"/>
          </w:tcPr>
          <w:p w14:paraId="05B11230">
            <w:pPr>
              <w:widowControl/>
              <w:spacing w:line="560" w:lineRule="exact"/>
              <w:jc w:val="center"/>
              <w:rPr>
                <w:rFonts w:ascii="宋体" w:hAnsi="宋体" w:cs="宋体"/>
                <w:kern w:val="0"/>
                <w:sz w:val="22"/>
              </w:rPr>
            </w:pPr>
          </w:p>
        </w:tc>
        <w:tc>
          <w:tcPr>
            <w:tcW w:w="1559" w:type="dxa"/>
            <w:vAlign w:val="center"/>
          </w:tcPr>
          <w:p w14:paraId="0729E40A">
            <w:pPr>
              <w:widowControl/>
              <w:spacing w:line="560" w:lineRule="exact"/>
              <w:jc w:val="center"/>
              <w:rPr>
                <w:rFonts w:ascii="宋体" w:hAnsi="宋体" w:cs="仿宋"/>
                <w:kern w:val="0"/>
                <w:sz w:val="22"/>
              </w:rPr>
            </w:pPr>
          </w:p>
        </w:tc>
        <w:tc>
          <w:tcPr>
            <w:tcW w:w="1155" w:type="dxa"/>
            <w:vAlign w:val="center"/>
          </w:tcPr>
          <w:p w14:paraId="677FD508">
            <w:pPr>
              <w:widowControl/>
              <w:spacing w:line="560" w:lineRule="exact"/>
              <w:jc w:val="center"/>
              <w:rPr>
                <w:rFonts w:ascii="宋体" w:hAnsi="宋体" w:cs="仿宋"/>
                <w:kern w:val="0"/>
                <w:sz w:val="22"/>
              </w:rPr>
            </w:pPr>
          </w:p>
        </w:tc>
      </w:tr>
      <w:tr w14:paraId="518D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519DC81C">
            <w:pPr>
              <w:widowControl/>
              <w:jc w:val="center"/>
              <w:rPr>
                <w:rFonts w:ascii="宋体" w:hAnsi="宋体" w:cs="宋体"/>
                <w:kern w:val="0"/>
                <w:sz w:val="24"/>
              </w:rPr>
            </w:pPr>
            <w:r>
              <w:rPr>
                <w:rFonts w:hint="eastAsia" w:ascii="宋体" w:hAnsi="宋体" w:cs="宋体"/>
                <w:kern w:val="0"/>
                <w:sz w:val="24"/>
              </w:rPr>
              <w:t>14</w:t>
            </w:r>
          </w:p>
        </w:tc>
        <w:tc>
          <w:tcPr>
            <w:tcW w:w="3440" w:type="dxa"/>
            <w:vAlign w:val="center"/>
          </w:tcPr>
          <w:p w14:paraId="43105C40">
            <w:pPr>
              <w:widowControl/>
              <w:jc w:val="left"/>
              <w:rPr>
                <w:rFonts w:ascii="宋体" w:hAnsi="宋体" w:cs="仿宋"/>
                <w:kern w:val="0"/>
                <w:sz w:val="22"/>
              </w:rPr>
            </w:pPr>
            <w:r>
              <w:rPr>
                <w:rFonts w:hint="eastAsia" w:ascii="宋体" w:hAnsi="宋体" w:cs="宋体"/>
                <w:kern w:val="0"/>
                <w:sz w:val="22"/>
              </w:rPr>
              <w:t>白液泵</w:t>
            </w:r>
          </w:p>
        </w:tc>
        <w:tc>
          <w:tcPr>
            <w:tcW w:w="2100" w:type="dxa"/>
            <w:vAlign w:val="center"/>
          </w:tcPr>
          <w:p w14:paraId="7ED5E49B">
            <w:pPr>
              <w:widowControl/>
              <w:spacing w:line="560" w:lineRule="exact"/>
              <w:jc w:val="center"/>
              <w:rPr>
                <w:rFonts w:ascii="宋体" w:hAnsi="宋体" w:cs="宋体"/>
                <w:kern w:val="0"/>
                <w:sz w:val="22"/>
              </w:rPr>
            </w:pPr>
          </w:p>
        </w:tc>
        <w:tc>
          <w:tcPr>
            <w:tcW w:w="1559" w:type="dxa"/>
            <w:vAlign w:val="center"/>
          </w:tcPr>
          <w:p w14:paraId="2D2C07C4">
            <w:pPr>
              <w:widowControl/>
              <w:spacing w:line="560" w:lineRule="exact"/>
              <w:jc w:val="center"/>
              <w:rPr>
                <w:rFonts w:ascii="宋体" w:hAnsi="宋体" w:cs="仿宋"/>
                <w:kern w:val="0"/>
                <w:sz w:val="22"/>
              </w:rPr>
            </w:pPr>
          </w:p>
        </w:tc>
        <w:tc>
          <w:tcPr>
            <w:tcW w:w="1155" w:type="dxa"/>
            <w:vAlign w:val="center"/>
          </w:tcPr>
          <w:p w14:paraId="52B98C48">
            <w:pPr>
              <w:widowControl/>
              <w:spacing w:line="560" w:lineRule="exact"/>
              <w:jc w:val="center"/>
              <w:rPr>
                <w:rFonts w:ascii="宋体" w:hAnsi="宋体" w:cs="仿宋"/>
                <w:kern w:val="0"/>
                <w:sz w:val="22"/>
              </w:rPr>
            </w:pPr>
          </w:p>
        </w:tc>
      </w:tr>
      <w:tr w14:paraId="2A0E4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0C6C72EE">
            <w:pPr>
              <w:widowControl/>
              <w:jc w:val="center"/>
              <w:rPr>
                <w:rFonts w:ascii="宋体" w:hAnsi="宋体" w:cs="宋体"/>
                <w:kern w:val="0"/>
                <w:sz w:val="24"/>
              </w:rPr>
            </w:pPr>
            <w:r>
              <w:rPr>
                <w:rFonts w:hint="eastAsia" w:ascii="宋体" w:hAnsi="宋体" w:cs="宋体"/>
                <w:kern w:val="0"/>
                <w:sz w:val="24"/>
              </w:rPr>
              <w:t>15</w:t>
            </w:r>
          </w:p>
        </w:tc>
        <w:tc>
          <w:tcPr>
            <w:tcW w:w="3440" w:type="dxa"/>
            <w:vAlign w:val="center"/>
          </w:tcPr>
          <w:p w14:paraId="67D670FD">
            <w:pPr>
              <w:widowControl/>
              <w:jc w:val="left"/>
              <w:rPr>
                <w:rFonts w:ascii="宋体" w:hAnsi="宋体" w:cs="宋体"/>
                <w:kern w:val="0"/>
                <w:sz w:val="22"/>
              </w:rPr>
            </w:pPr>
            <w:r>
              <w:rPr>
                <w:rFonts w:hint="eastAsia" w:ascii="宋体" w:hAnsi="宋体" w:cs="宋体"/>
                <w:kern w:val="0"/>
                <w:sz w:val="22"/>
              </w:rPr>
              <w:t>蒸煮循环泵</w:t>
            </w:r>
          </w:p>
        </w:tc>
        <w:tc>
          <w:tcPr>
            <w:tcW w:w="2100" w:type="dxa"/>
            <w:vAlign w:val="center"/>
          </w:tcPr>
          <w:p w14:paraId="063619E2">
            <w:pPr>
              <w:widowControl/>
              <w:spacing w:line="560" w:lineRule="exact"/>
              <w:jc w:val="center"/>
              <w:rPr>
                <w:rFonts w:ascii="宋体" w:hAnsi="宋体" w:cs="宋体"/>
                <w:kern w:val="0"/>
                <w:sz w:val="22"/>
              </w:rPr>
            </w:pPr>
          </w:p>
        </w:tc>
        <w:tc>
          <w:tcPr>
            <w:tcW w:w="1559" w:type="dxa"/>
            <w:vAlign w:val="center"/>
          </w:tcPr>
          <w:p w14:paraId="5A449464">
            <w:pPr>
              <w:widowControl/>
              <w:spacing w:line="560" w:lineRule="exact"/>
              <w:jc w:val="center"/>
              <w:rPr>
                <w:rFonts w:ascii="宋体" w:hAnsi="宋体" w:cs="仿宋"/>
                <w:kern w:val="0"/>
                <w:sz w:val="22"/>
              </w:rPr>
            </w:pPr>
            <w:r>
              <w:rPr>
                <w:rFonts w:hint="eastAsia" w:ascii="宋体" w:hAnsi="宋体" w:cs="仿宋"/>
                <w:kern w:val="0"/>
                <w:sz w:val="22"/>
              </w:rPr>
              <w:t>6</w:t>
            </w:r>
          </w:p>
        </w:tc>
        <w:tc>
          <w:tcPr>
            <w:tcW w:w="1155" w:type="dxa"/>
            <w:vAlign w:val="center"/>
          </w:tcPr>
          <w:p w14:paraId="0D31AA85">
            <w:pPr>
              <w:widowControl/>
              <w:spacing w:line="560" w:lineRule="exact"/>
              <w:jc w:val="center"/>
              <w:rPr>
                <w:rFonts w:ascii="宋体" w:hAnsi="宋体" w:cs="仿宋"/>
                <w:kern w:val="0"/>
                <w:sz w:val="22"/>
              </w:rPr>
            </w:pPr>
          </w:p>
        </w:tc>
      </w:tr>
      <w:tr w14:paraId="5998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16357A03">
            <w:pPr>
              <w:widowControl/>
              <w:jc w:val="center"/>
              <w:rPr>
                <w:rFonts w:ascii="宋体" w:hAnsi="宋体" w:cs="宋体"/>
                <w:kern w:val="0"/>
                <w:sz w:val="24"/>
              </w:rPr>
            </w:pPr>
            <w:r>
              <w:rPr>
                <w:rFonts w:hint="eastAsia" w:ascii="宋体" w:hAnsi="宋体" w:cs="宋体"/>
                <w:kern w:val="0"/>
                <w:sz w:val="24"/>
              </w:rPr>
              <w:t>16</w:t>
            </w:r>
          </w:p>
        </w:tc>
        <w:tc>
          <w:tcPr>
            <w:tcW w:w="3440" w:type="dxa"/>
            <w:vAlign w:val="center"/>
          </w:tcPr>
          <w:p w14:paraId="6075B253">
            <w:pPr>
              <w:widowControl/>
              <w:jc w:val="left"/>
              <w:rPr>
                <w:rFonts w:ascii="宋体" w:hAnsi="宋体" w:cs="宋体"/>
                <w:kern w:val="0"/>
                <w:sz w:val="22"/>
              </w:rPr>
            </w:pPr>
            <w:r>
              <w:rPr>
                <w:rFonts w:hint="eastAsia" w:ascii="宋体" w:hAnsi="宋体" w:cs="宋体"/>
                <w:kern w:val="0"/>
                <w:sz w:val="22"/>
              </w:rPr>
              <w:t>引风机/送风机</w:t>
            </w:r>
          </w:p>
        </w:tc>
        <w:tc>
          <w:tcPr>
            <w:tcW w:w="2100" w:type="dxa"/>
            <w:vAlign w:val="center"/>
          </w:tcPr>
          <w:p w14:paraId="5CE475BC">
            <w:pPr>
              <w:widowControl/>
              <w:spacing w:line="560" w:lineRule="exact"/>
              <w:jc w:val="center"/>
              <w:rPr>
                <w:rFonts w:ascii="宋体" w:hAnsi="宋体" w:cs="宋体"/>
                <w:kern w:val="0"/>
                <w:sz w:val="22"/>
              </w:rPr>
            </w:pPr>
          </w:p>
        </w:tc>
        <w:tc>
          <w:tcPr>
            <w:tcW w:w="1559" w:type="dxa"/>
            <w:vAlign w:val="center"/>
          </w:tcPr>
          <w:p w14:paraId="05E3FAD9">
            <w:pPr>
              <w:widowControl/>
              <w:spacing w:line="560" w:lineRule="exact"/>
              <w:jc w:val="center"/>
              <w:rPr>
                <w:rFonts w:ascii="宋体" w:hAnsi="宋体" w:cs="仿宋"/>
                <w:kern w:val="0"/>
                <w:sz w:val="22"/>
              </w:rPr>
            </w:pPr>
          </w:p>
        </w:tc>
        <w:tc>
          <w:tcPr>
            <w:tcW w:w="1155" w:type="dxa"/>
            <w:vAlign w:val="center"/>
          </w:tcPr>
          <w:p w14:paraId="178C0DB8">
            <w:pPr>
              <w:widowControl/>
              <w:spacing w:line="560" w:lineRule="exact"/>
              <w:jc w:val="center"/>
              <w:rPr>
                <w:rFonts w:ascii="宋体" w:hAnsi="宋体" w:cs="仿宋"/>
                <w:kern w:val="0"/>
                <w:sz w:val="22"/>
              </w:rPr>
            </w:pPr>
          </w:p>
        </w:tc>
      </w:tr>
      <w:tr w14:paraId="01F5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5E65BE0F">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7</w:t>
            </w:r>
          </w:p>
        </w:tc>
        <w:tc>
          <w:tcPr>
            <w:tcW w:w="3440" w:type="dxa"/>
            <w:vAlign w:val="center"/>
          </w:tcPr>
          <w:p w14:paraId="47D7DCF5">
            <w:pPr>
              <w:widowControl/>
              <w:jc w:val="left"/>
              <w:rPr>
                <w:rFonts w:ascii="宋体" w:hAnsi="宋体" w:cs="宋体"/>
                <w:kern w:val="0"/>
                <w:sz w:val="22"/>
              </w:rPr>
            </w:pPr>
            <w:r>
              <w:rPr>
                <w:rFonts w:hint="eastAsia" w:ascii="宋体" w:hAnsi="宋体" w:cs="宋体"/>
                <w:kern w:val="0"/>
                <w:sz w:val="22"/>
              </w:rPr>
              <w:t>放锅泵</w:t>
            </w:r>
          </w:p>
        </w:tc>
        <w:tc>
          <w:tcPr>
            <w:tcW w:w="2100" w:type="dxa"/>
            <w:vAlign w:val="center"/>
          </w:tcPr>
          <w:p w14:paraId="70A979BE">
            <w:pPr>
              <w:widowControl/>
              <w:spacing w:line="560" w:lineRule="exact"/>
              <w:jc w:val="center"/>
              <w:rPr>
                <w:rFonts w:ascii="宋体" w:hAnsi="宋体" w:cs="宋体"/>
                <w:kern w:val="0"/>
                <w:sz w:val="22"/>
              </w:rPr>
            </w:pPr>
          </w:p>
        </w:tc>
        <w:tc>
          <w:tcPr>
            <w:tcW w:w="1559" w:type="dxa"/>
            <w:vAlign w:val="center"/>
          </w:tcPr>
          <w:p w14:paraId="0E37832B">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3719BAB7">
            <w:pPr>
              <w:widowControl/>
              <w:spacing w:line="560" w:lineRule="exact"/>
              <w:rPr>
                <w:rFonts w:ascii="宋体" w:hAnsi="宋体" w:cs="仿宋"/>
                <w:kern w:val="0"/>
                <w:sz w:val="22"/>
              </w:rPr>
            </w:pPr>
          </w:p>
        </w:tc>
      </w:tr>
      <w:tr w14:paraId="5790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60E5423E">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8</w:t>
            </w:r>
          </w:p>
        </w:tc>
        <w:tc>
          <w:tcPr>
            <w:tcW w:w="3440" w:type="dxa"/>
            <w:vAlign w:val="center"/>
          </w:tcPr>
          <w:p w14:paraId="3B4CD429">
            <w:pPr>
              <w:widowControl/>
              <w:jc w:val="left"/>
              <w:rPr>
                <w:rFonts w:ascii="宋体" w:hAnsi="宋体" w:cs="宋体"/>
                <w:kern w:val="0"/>
                <w:sz w:val="22"/>
              </w:rPr>
            </w:pPr>
            <w:r>
              <w:rPr>
                <w:rFonts w:hint="eastAsia" w:ascii="宋体" w:hAnsi="宋体" w:cs="宋体"/>
                <w:kern w:val="0"/>
                <w:sz w:val="22"/>
              </w:rPr>
              <w:t>热水槽</w:t>
            </w:r>
          </w:p>
        </w:tc>
        <w:tc>
          <w:tcPr>
            <w:tcW w:w="2100" w:type="dxa"/>
            <w:vAlign w:val="center"/>
          </w:tcPr>
          <w:p w14:paraId="3F107244">
            <w:pPr>
              <w:widowControl/>
              <w:spacing w:line="560" w:lineRule="exact"/>
              <w:jc w:val="center"/>
              <w:rPr>
                <w:rFonts w:ascii="宋体" w:hAnsi="宋体" w:cs="宋体"/>
                <w:kern w:val="0"/>
                <w:sz w:val="22"/>
              </w:rPr>
            </w:pPr>
          </w:p>
        </w:tc>
        <w:tc>
          <w:tcPr>
            <w:tcW w:w="1559" w:type="dxa"/>
            <w:vAlign w:val="center"/>
          </w:tcPr>
          <w:p w14:paraId="63257926">
            <w:pPr>
              <w:widowControl/>
              <w:spacing w:line="560" w:lineRule="exact"/>
              <w:jc w:val="center"/>
              <w:rPr>
                <w:rFonts w:ascii="宋体" w:hAnsi="宋体" w:cs="仿宋"/>
                <w:kern w:val="0"/>
                <w:sz w:val="22"/>
              </w:rPr>
            </w:pPr>
            <w:r>
              <w:rPr>
                <w:rFonts w:hint="eastAsia" w:ascii="宋体" w:hAnsi="宋体" w:cs="仿宋"/>
                <w:kern w:val="0"/>
                <w:sz w:val="22"/>
              </w:rPr>
              <w:t>1</w:t>
            </w:r>
          </w:p>
        </w:tc>
        <w:tc>
          <w:tcPr>
            <w:tcW w:w="1155" w:type="dxa"/>
            <w:vAlign w:val="center"/>
          </w:tcPr>
          <w:p w14:paraId="6AC10BA5">
            <w:pPr>
              <w:widowControl/>
              <w:spacing w:line="560" w:lineRule="exact"/>
              <w:rPr>
                <w:rFonts w:ascii="宋体" w:hAnsi="宋体" w:cs="仿宋"/>
                <w:kern w:val="0"/>
                <w:sz w:val="22"/>
              </w:rPr>
            </w:pPr>
          </w:p>
        </w:tc>
      </w:tr>
      <w:tr w14:paraId="17107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7F2E0306">
            <w:pPr>
              <w:widowControl/>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9</w:t>
            </w:r>
          </w:p>
        </w:tc>
        <w:tc>
          <w:tcPr>
            <w:tcW w:w="3440" w:type="dxa"/>
            <w:vAlign w:val="center"/>
          </w:tcPr>
          <w:p w14:paraId="37A01188">
            <w:pPr>
              <w:widowControl/>
              <w:jc w:val="left"/>
              <w:rPr>
                <w:rFonts w:ascii="宋体" w:hAnsi="宋体" w:cs="宋体"/>
                <w:kern w:val="0"/>
                <w:sz w:val="22"/>
              </w:rPr>
            </w:pPr>
            <w:r>
              <w:rPr>
                <w:rFonts w:ascii="宋体" w:hAnsi="宋体" w:cs="宋体"/>
                <w:kern w:val="0"/>
                <w:sz w:val="22"/>
              </w:rPr>
              <w:t>……</w:t>
            </w:r>
          </w:p>
        </w:tc>
        <w:tc>
          <w:tcPr>
            <w:tcW w:w="2100" w:type="dxa"/>
            <w:vAlign w:val="center"/>
          </w:tcPr>
          <w:p w14:paraId="1157A688">
            <w:pPr>
              <w:widowControl/>
              <w:spacing w:line="560" w:lineRule="exact"/>
              <w:jc w:val="center"/>
              <w:rPr>
                <w:rFonts w:ascii="宋体" w:hAnsi="宋体" w:cs="宋体"/>
                <w:kern w:val="0"/>
                <w:sz w:val="22"/>
              </w:rPr>
            </w:pPr>
          </w:p>
        </w:tc>
        <w:tc>
          <w:tcPr>
            <w:tcW w:w="1559" w:type="dxa"/>
            <w:vAlign w:val="center"/>
          </w:tcPr>
          <w:p w14:paraId="330E16C3">
            <w:pPr>
              <w:widowControl/>
              <w:spacing w:line="560" w:lineRule="exact"/>
              <w:jc w:val="center"/>
              <w:rPr>
                <w:rFonts w:ascii="宋体" w:hAnsi="宋体" w:cs="仿宋"/>
                <w:kern w:val="0"/>
                <w:sz w:val="22"/>
              </w:rPr>
            </w:pPr>
          </w:p>
        </w:tc>
        <w:tc>
          <w:tcPr>
            <w:tcW w:w="1155" w:type="dxa"/>
            <w:vAlign w:val="center"/>
          </w:tcPr>
          <w:p w14:paraId="4D9CEF04">
            <w:pPr>
              <w:widowControl/>
              <w:spacing w:line="560" w:lineRule="exact"/>
              <w:rPr>
                <w:rFonts w:ascii="宋体" w:hAnsi="宋体" w:cs="仿宋"/>
                <w:kern w:val="0"/>
                <w:sz w:val="22"/>
              </w:rPr>
            </w:pPr>
          </w:p>
        </w:tc>
      </w:tr>
    </w:tbl>
    <w:p w14:paraId="7927D023">
      <w:pPr>
        <w:rPr>
          <w:rFonts w:ascii="宋体" w:hAnsi="宋体" w:cs="宋体"/>
          <w:sz w:val="24"/>
          <w:szCs w:val="24"/>
          <w:lang w:val="zh-CN"/>
        </w:rPr>
      </w:pPr>
    </w:p>
    <w:p w14:paraId="5BD8D266">
      <w:pPr>
        <w:rPr>
          <w:rFonts w:ascii="宋体" w:hAnsi="宋体" w:cs="宋体"/>
          <w:sz w:val="24"/>
          <w:szCs w:val="24"/>
          <w:lang w:val="zh-CN"/>
        </w:rPr>
      </w:pPr>
      <w:r>
        <w:rPr>
          <w:rFonts w:hint="eastAsia" w:ascii="宋体" w:hAnsi="宋体" w:cs="宋体"/>
          <w:sz w:val="24"/>
          <w:szCs w:val="24"/>
        </w:rPr>
        <w:t>注：</w:t>
      </w:r>
      <w:r>
        <w:rPr>
          <w:rFonts w:hint="eastAsia" w:ascii="宋体" w:hAnsi="宋体" w:cs="宋体"/>
          <w:sz w:val="24"/>
          <w:szCs w:val="24"/>
          <w:lang w:val="zh-CN"/>
        </w:rPr>
        <w:t>设备详细参数由投标方提供。</w:t>
      </w:r>
    </w:p>
    <w:p w14:paraId="34D5EDAE">
      <w:pPr>
        <w:pStyle w:val="2"/>
      </w:pPr>
      <w:bookmarkStart w:id="74" w:name="_Toc4382"/>
      <w:bookmarkStart w:id="75" w:name="_Toc31771"/>
      <w:bookmarkStart w:id="76" w:name="_Toc22528"/>
      <w:r>
        <w:rPr>
          <w:rFonts w:hint="eastAsia"/>
        </w:rPr>
        <w:t>第四节</w:t>
      </w:r>
      <w:r>
        <w:t xml:space="preserve"> </w:t>
      </w:r>
      <w:r>
        <w:rPr>
          <w:rFonts w:hint="eastAsia"/>
        </w:rPr>
        <w:t>洗选工段</w:t>
      </w:r>
      <w:bookmarkEnd w:id="74"/>
      <w:bookmarkEnd w:id="75"/>
      <w:bookmarkEnd w:id="76"/>
    </w:p>
    <w:p w14:paraId="3911C855">
      <w:pPr>
        <w:pStyle w:val="3"/>
        <w:spacing w:before="156" w:after="156"/>
        <w:ind w:firstLine="281"/>
      </w:pPr>
      <w:bookmarkStart w:id="77" w:name="_Toc25341"/>
      <w:bookmarkStart w:id="78" w:name="_Toc25266"/>
      <w:bookmarkStart w:id="79" w:name="_Toc4147"/>
      <w:r>
        <w:rPr>
          <w:rFonts w:hint="eastAsia"/>
        </w:rPr>
        <w:t>1、技术简要说明</w:t>
      </w:r>
      <w:bookmarkEnd w:id="77"/>
      <w:bookmarkEnd w:id="78"/>
      <w:bookmarkEnd w:id="79"/>
    </w:p>
    <w:p w14:paraId="0137A13C">
      <w:pPr>
        <w:pStyle w:val="5"/>
        <w:ind w:firstLine="480"/>
      </w:pPr>
      <w:r>
        <w:rPr>
          <w:rFonts w:hint="eastAsia"/>
        </w:rPr>
        <w:t>洗选工段主要由：高浓重质分离器、除节机、压力筛，双辊挤浆机、洗节机、除砂器、洗渣机、水力碎浆机、双盘磨、浆池、中浓泵和阀门等设备组成。</w:t>
      </w:r>
    </w:p>
    <w:p w14:paraId="12C39095">
      <w:pPr>
        <w:pStyle w:val="5"/>
        <w:ind w:firstLine="480"/>
        <w:rPr>
          <w:rFonts w:cs="宋体"/>
          <w:kern w:val="0"/>
          <w:szCs w:val="24"/>
        </w:rPr>
      </w:pPr>
      <w:r>
        <w:rPr>
          <w:rFonts w:hint="eastAsia"/>
        </w:rPr>
        <w:t>工艺概述：利用3#洗选现有的设备及产能。新浆线再配置一条洗选线：筛选系统+4台双辊挤浆机洗涤+双氧水微漂降流塔+</w:t>
      </w:r>
      <w:r>
        <w:t>1</w:t>
      </w:r>
      <w:r>
        <w:rPr>
          <w:rFonts w:hint="eastAsia"/>
        </w:rPr>
        <w:t>台双辊挤浆机洗涤+中浓储浆塔，微漂浆产能</w:t>
      </w:r>
      <w:r>
        <w:t>5</w:t>
      </w:r>
      <w:r>
        <w:rPr>
          <w:rFonts w:hint="eastAsia"/>
        </w:rPr>
        <w:t>00</w:t>
      </w:r>
      <w:r>
        <w:t>adt</w:t>
      </w:r>
      <w:r>
        <w:rPr>
          <w:rFonts w:hint="eastAsia"/>
        </w:rPr>
        <w:t>/d。</w:t>
      </w:r>
      <w:r>
        <w:t>采用封闭筛选、逆流洗涤、双氧水微漂</w:t>
      </w:r>
      <w:r>
        <w:rPr>
          <w:rFonts w:hint="eastAsia"/>
        </w:rPr>
        <w:t>降流</w:t>
      </w:r>
      <w:r>
        <w:t>塔。</w:t>
      </w:r>
      <w:r>
        <w:rPr>
          <w:rFonts w:hint="eastAsia" w:cs="宋体"/>
          <w:kern w:val="0"/>
          <w:szCs w:val="24"/>
        </w:rPr>
        <w:t>蒸煮喷放的浆料首先经除节、筛选设备处理后送4台双辊挤浆机串联洗涤，进行双氧水微漂，微漂后再由1台双辊挤浆机洗涤，洗后浆料送入中浓储浆塔内待用。生产过程中产生的节子和渣浆，经水力碎浆机疏解后送至双盘磨处理，磨后浆料送至1#、2#喷放锅或低浓槽回用。工艺流程须具备节子和渣浆外排至渣浆间的通道，配套截流沟及黑液回收池，定期清运。</w:t>
      </w:r>
    </w:p>
    <w:p w14:paraId="0BB18409">
      <w:pPr>
        <w:pStyle w:val="5"/>
        <w:ind w:firstLine="480"/>
      </w:pPr>
      <w:r>
        <w:rPr>
          <w:rFonts w:hint="eastAsia"/>
        </w:rPr>
        <w:t>低浓槽粗浆输送泵入口处配置沉砂装置，浆料进筛选前配置全浆料进重质分离器，采用除节机单独除节筛选，保证系统生产的稳定性。采用高浓度和封闭的两段精筛设备、除砂器等，以保证得浆率的同时保证筛选的除渣率要在85%以上。节子渣浆分两种情况处理，一是进水力碎浆机处理后再进双盘磨，磨后回系统；二是要具备渣节浆外排功能。除渣器排渣废液设置过滤回收装置，废液收集循环使用。</w:t>
      </w:r>
    </w:p>
    <w:p w14:paraId="51C8BE61">
      <w:pPr>
        <w:adjustRightInd w:val="0"/>
        <w:snapToGrid w:val="0"/>
        <w:spacing w:line="480" w:lineRule="exact"/>
        <w:ind w:firstLine="480" w:firstLineChars="200"/>
        <w:rPr>
          <w:rFonts w:ascii="宋体" w:hAnsi="宋体" w:cs="宋体"/>
          <w:kern w:val="0"/>
          <w:sz w:val="24"/>
          <w:szCs w:val="24"/>
        </w:rPr>
      </w:pPr>
      <w:r>
        <w:rPr>
          <w:rFonts w:hint="eastAsia"/>
          <w:sz w:val="24"/>
          <w:szCs w:val="24"/>
        </w:rPr>
        <w:t>洗涤稀释因子要达到≤</w:t>
      </w:r>
      <w:r>
        <w:rPr>
          <w:rFonts w:hint="eastAsia" w:ascii="宋体" w:hAnsi="宋体" w:cs="宋体"/>
          <w:kern w:val="0"/>
          <w:sz w:val="24"/>
          <w:szCs w:val="24"/>
        </w:rPr>
        <w:t>2.5；</w:t>
      </w:r>
      <w:r>
        <w:rPr>
          <w:rFonts w:hint="eastAsia"/>
          <w:sz w:val="24"/>
          <w:szCs w:val="24"/>
        </w:rPr>
        <w:t>经过多段洗涤后</w:t>
      </w:r>
      <w:r>
        <w:rPr>
          <w:rFonts w:hint="eastAsia"/>
        </w:rPr>
        <w:t>，</w:t>
      </w:r>
      <w:r>
        <w:rPr>
          <w:rFonts w:hint="eastAsia" w:ascii="宋体" w:hAnsi="宋体" w:cs="宋体"/>
          <w:kern w:val="0"/>
          <w:sz w:val="24"/>
          <w:szCs w:val="24"/>
        </w:rPr>
        <w:t>4#洗浆机竖管取样洗净度1.5</w:t>
      </w:r>
      <w:r>
        <w:t xml:space="preserve"> </w:t>
      </w:r>
      <w:r>
        <w:rPr>
          <w:rFonts w:ascii="宋体" w:hAnsi="宋体" w:cs="宋体"/>
          <w:kern w:val="0"/>
          <w:sz w:val="24"/>
          <w:szCs w:val="24"/>
        </w:rPr>
        <w:t>kg/t浆</w:t>
      </w:r>
      <w:r>
        <w:rPr>
          <w:rFonts w:hint="eastAsia" w:ascii="宋体" w:hAnsi="宋体" w:cs="宋体"/>
          <w:kern w:val="0"/>
          <w:sz w:val="24"/>
          <w:szCs w:val="24"/>
        </w:rPr>
        <w:t>以下。</w:t>
      </w:r>
    </w:p>
    <w:p w14:paraId="18C33727">
      <w:pPr>
        <w:adjustRightInd w:val="0"/>
        <w:snapToGrid w:val="0"/>
        <w:spacing w:line="480" w:lineRule="exact"/>
        <w:ind w:firstLine="480" w:firstLineChars="200"/>
        <w:rPr>
          <w:rFonts w:ascii="宋体" w:hAnsi="宋体" w:cs="宋体"/>
          <w:kern w:val="0"/>
          <w:sz w:val="24"/>
          <w:szCs w:val="24"/>
        </w:rPr>
      </w:pPr>
      <w:r>
        <w:rPr>
          <w:rFonts w:hint="eastAsia" w:ascii="宋体" w:hAnsi="宋体" w:cs="宋体"/>
          <w:kern w:val="0"/>
          <w:sz w:val="24"/>
          <w:szCs w:val="24"/>
        </w:rPr>
        <w:t>双氧水微漂反应条件：</w:t>
      </w:r>
      <w:r>
        <w:rPr>
          <w:rFonts w:ascii="宋体" w:hAnsi="宋体" w:cs="宋体"/>
          <w:kern w:val="0"/>
          <w:sz w:val="24"/>
          <w:szCs w:val="24"/>
        </w:rPr>
        <w:t>p</w:t>
      </w:r>
      <w:r>
        <w:rPr>
          <w:rFonts w:hint="eastAsia" w:ascii="宋体" w:hAnsi="宋体" w:cs="宋体"/>
          <w:kern w:val="0"/>
          <w:sz w:val="24"/>
          <w:szCs w:val="24"/>
        </w:rPr>
        <w:t>H值约10，温度80℃，反应时间</w:t>
      </w:r>
      <w:r>
        <w:rPr>
          <w:rFonts w:ascii="宋体" w:hAnsi="宋体" w:cs="宋体"/>
          <w:kern w:val="0"/>
          <w:sz w:val="24"/>
          <w:szCs w:val="24"/>
        </w:rPr>
        <w:t>3</w:t>
      </w:r>
      <w:r>
        <w:rPr>
          <w:rFonts w:hint="eastAsia" w:ascii="宋体" w:hAnsi="宋体" w:cs="宋体"/>
          <w:kern w:val="0"/>
          <w:sz w:val="24"/>
          <w:szCs w:val="24"/>
        </w:rPr>
        <w:t>小时，双氧水用量30kg/a</w:t>
      </w:r>
      <w:r>
        <w:rPr>
          <w:rFonts w:ascii="宋体" w:hAnsi="宋体" w:cs="宋体"/>
          <w:kern w:val="0"/>
          <w:sz w:val="24"/>
          <w:szCs w:val="24"/>
        </w:rPr>
        <w:t>dt</w:t>
      </w:r>
      <w:r>
        <w:rPr>
          <w:rFonts w:hint="eastAsia" w:ascii="宋体" w:hAnsi="宋体" w:cs="宋体"/>
          <w:kern w:val="0"/>
          <w:sz w:val="24"/>
          <w:szCs w:val="24"/>
        </w:rPr>
        <w:t>以内。</w:t>
      </w:r>
    </w:p>
    <w:p w14:paraId="180FC821">
      <w:pPr>
        <w:adjustRightInd w:val="0"/>
        <w:snapToGrid w:val="0"/>
        <w:spacing w:line="480" w:lineRule="exact"/>
        <w:ind w:firstLine="480" w:firstLineChars="200"/>
        <w:rPr>
          <w:rFonts w:ascii="宋体" w:hAnsi="宋体" w:cs="宋体"/>
          <w:kern w:val="0"/>
          <w:sz w:val="24"/>
          <w:szCs w:val="24"/>
        </w:rPr>
      </w:pPr>
      <w:r>
        <w:rPr>
          <w:rFonts w:hint="eastAsia" w:ascii="宋体" w:hAnsi="宋体" w:cs="宋体"/>
          <w:kern w:val="0"/>
          <w:sz w:val="24"/>
          <w:szCs w:val="24"/>
        </w:rPr>
        <w:t>冷却水、机封水等洁净污水应设计收集循环系统，最大限度减少污水排放。</w:t>
      </w:r>
    </w:p>
    <w:p w14:paraId="177AF921">
      <w:pPr>
        <w:adjustRightInd w:val="0"/>
        <w:snapToGrid w:val="0"/>
        <w:spacing w:line="480" w:lineRule="exact"/>
        <w:ind w:firstLine="480" w:firstLineChars="200"/>
        <w:rPr>
          <w:rFonts w:ascii="宋体" w:hAnsi="宋体" w:cs="宋体"/>
          <w:kern w:val="0"/>
          <w:sz w:val="24"/>
          <w:szCs w:val="24"/>
        </w:rPr>
      </w:pPr>
      <w:r>
        <w:rPr>
          <w:rFonts w:hint="eastAsia" w:ascii="宋体" w:hAnsi="宋体" w:cs="宋体"/>
          <w:kern w:val="0"/>
          <w:sz w:val="24"/>
          <w:szCs w:val="24"/>
        </w:rPr>
        <w:t>地沟水除清洁冷却水、设备和地面冲洗水、低污染工艺废水等，不得排放高浓度有机废水、强酸、强碱、重金属、悬浮物浓度高、易沉积的废水。</w:t>
      </w:r>
    </w:p>
    <w:p w14:paraId="07F567BA">
      <w:pPr>
        <w:adjustRightInd w:val="0"/>
        <w:snapToGrid w:val="0"/>
        <w:spacing w:line="480" w:lineRule="exact"/>
        <w:ind w:firstLine="480" w:firstLineChars="200"/>
        <w:rPr>
          <w:rFonts w:ascii="宋体" w:hAnsi="宋体" w:cs="宋体"/>
          <w:kern w:val="0"/>
          <w:sz w:val="24"/>
          <w:szCs w:val="24"/>
        </w:rPr>
      </w:pPr>
      <w:r>
        <w:rPr>
          <w:rFonts w:hint="eastAsia" w:ascii="宋体" w:hAnsi="宋体" w:cs="宋体"/>
          <w:kern w:val="0"/>
          <w:sz w:val="24"/>
          <w:szCs w:val="24"/>
        </w:rPr>
        <w:t>质量指标满足各浆种要求的标准，</w:t>
      </w:r>
      <w:r>
        <w:rPr>
          <w:rFonts w:hint="eastAsia" w:ascii="宋体" w:hAnsi="宋体" w:cs="宋体"/>
          <w:sz w:val="24"/>
          <w:szCs w:val="24"/>
        </w:rPr>
        <w:t>纸成品L值要求达到68以上。</w:t>
      </w:r>
    </w:p>
    <w:p w14:paraId="07DA4F53">
      <w:pPr>
        <w:adjustRightInd w:val="0"/>
        <w:snapToGrid w:val="0"/>
        <w:spacing w:line="480" w:lineRule="exact"/>
        <w:ind w:firstLine="480" w:firstLineChars="200"/>
        <w:rPr>
          <w:rFonts w:ascii="宋体" w:hAnsi="宋体" w:cs="宋体"/>
          <w:kern w:val="0"/>
          <w:sz w:val="24"/>
          <w:szCs w:val="24"/>
        </w:rPr>
      </w:pPr>
      <w:r>
        <w:rPr>
          <w:rFonts w:hint="eastAsia" w:ascii="宋体" w:hAnsi="宋体" w:cs="宋体"/>
          <w:kern w:val="0"/>
          <w:sz w:val="24"/>
          <w:szCs w:val="24"/>
        </w:rPr>
        <w:t>投标方在规划设计过程中需：</w:t>
      </w:r>
    </w:p>
    <w:p w14:paraId="50C1FE6C">
      <w:pPr>
        <w:adjustRightInd w:val="0"/>
        <w:snapToGrid w:val="0"/>
        <w:spacing w:line="480" w:lineRule="exact"/>
        <w:ind w:firstLine="480" w:firstLineChars="200"/>
      </w:pPr>
      <w:r>
        <w:rPr>
          <w:rFonts w:hint="eastAsia" w:ascii="宋体" w:hAnsi="宋体" w:cs="宋体"/>
          <w:sz w:val="24"/>
          <w:szCs w:val="24"/>
        </w:rPr>
        <w:t>1.</w:t>
      </w:r>
      <w:r>
        <w:rPr>
          <w:rFonts w:hint="eastAsia" w:ascii="宋体" w:hAnsi="宋体" w:cs="宋体"/>
          <w:kern w:val="0"/>
          <w:sz w:val="24"/>
          <w:szCs w:val="24"/>
        </w:rPr>
        <w:t>包括氧脱设计，并预留实施场地（本项目仅设计，但暂不实施采购及安装）</w:t>
      </w:r>
      <w:r>
        <w:rPr>
          <w:rFonts w:hint="eastAsia"/>
        </w:rPr>
        <w:t>.</w:t>
      </w:r>
    </w:p>
    <w:p w14:paraId="3FEDA9D1">
      <w:pPr>
        <w:adjustRightInd w:val="0"/>
        <w:snapToGrid w:val="0"/>
        <w:spacing w:line="480" w:lineRule="exact"/>
        <w:ind w:firstLine="480" w:firstLineChars="200"/>
        <w:rPr>
          <w:rFonts w:ascii="宋体" w:hAnsi="宋体" w:cs="宋体"/>
          <w:kern w:val="0"/>
          <w:sz w:val="24"/>
          <w:szCs w:val="24"/>
        </w:rPr>
      </w:pPr>
      <w:r>
        <w:rPr>
          <w:rFonts w:hint="eastAsia" w:ascii="宋体" w:hAnsi="宋体" w:cs="宋体"/>
          <w:kern w:val="0"/>
          <w:sz w:val="24"/>
          <w:szCs w:val="24"/>
        </w:rPr>
        <w:t>2.规划漂白工艺方案及布置流程。</w:t>
      </w:r>
    </w:p>
    <w:p w14:paraId="109FC694">
      <w:pPr>
        <w:pStyle w:val="5"/>
        <w:ind w:firstLine="480"/>
      </w:pPr>
      <w:r>
        <w:rPr>
          <w:rFonts w:hint="eastAsia"/>
        </w:rPr>
        <w:t>洗选工段大致工艺流程参见下图：</w:t>
      </w:r>
    </w:p>
    <w:p w14:paraId="7D44B855">
      <w:pPr>
        <w:adjustRightInd w:val="0"/>
        <w:ind w:left="-980" w:leftChars="-350"/>
        <w:jc w:val="center"/>
        <w:rPr>
          <w:rFonts w:ascii="宋体" w:hAnsi="宋体"/>
          <w:bCs/>
          <w:kern w:val="0"/>
          <w:szCs w:val="20"/>
          <w:lang w:val="en-AU"/>
        </w:rPr>
      </w:pPr>
      <w:r>
        <w:rPr>
          <w:rFonts w:ascii="宋体" w:hAnsi="宋体"/>
          <w:bCs/>
          <w:kern w:val="0"/>
          <w:szCs w:val="20"/>
        </w:rPr>
        <w:drawing>
          <wp:inline distT="0" distB="0" distL="114300" distR="114300">
            <wp:extent cx="5267960" cy="3810635"/>
            <wp:effectExtent l="0" t="0" r="8890" b="18415"/>
            <wp:docPr id="7" name="图片 7" descr="31db1f8f8be0886c82b12e79e7590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1db1f8f8be0886c82b12e79e7590ca"/>
                    <pic:cNvPicPr>
                      <a:picLocks noChangeAspect="1"/>
                    </pic:cNvPicPr>
                  </pic:nvPicPr>
                  <pic:blipFill>
                    <a:blip r:embed="rId16"/>
                    <a:stretch>
                      <a:fillRect/>
                    </a:stretch>
                  </pic:blipFill>
                  <pic:spPr>
                    <a:xfrm>
                      <a:off x="0" y="0"/>
                      <a:ext cx="5267960" cy="3810635"/>
                    </a:xfrm>
                    <a:prstGeom prst="rect">
                      <a:avLst/>
                    </a:prstGeom>
                  </pic:spPr>
                </pic:pic>
              </a:graphicData>
            </a:graphic>
          </wp:inline>
        </w:drawing>
      </w:r>
    </w:p>
    <w:p w14:paraId="6914028B">
      <w:pPr>
        <w:adjustRightInd w:val="0"/>
        <w:jc w:val="center"/>
        <w:rPr>
          <w:rFonts w:ascii="宋体" w:hAnsi="宋体"/>
          <w:bCs/>
          <w:kern w:val="0"/>
          <w:sz w:val="24"/>
          <w:szCs w:val="20"/>
        </w:rPr>
      </w:pPr>
      <w:r>
        <w:rPr>
          <w:rFonts w:hint="eastAsia" w:ascii="宋体" w:hAnsi="宋体"/>
          <w:bCs/>
          <w:kern w:val="0"/>
          <w:sz w:val="24"/>
          <w:szCs w:val="20"/>
        </w:rPr>
        <w:t>洗选工段工艺流程简图</w:t>
      </w:r>
    </w:p>
    <w:p w14:paraId="7FC98A4A">
      <w:pPr>
        <w:pStyle w:val="3"/>
        <w:spacing w:before="156" w:after="156"/>
        <w:ind w:firstLine="281"/>
      </w:pPr>
      <w:bookmarkStart w:id="80" w:name="_Toc31799"/>
      <w:bookmarkStart w:id="81" w:name="_Toc22009"/>
      <w:bookmarkStart w:id="82" w:name="_Toc17441"/>
      <w:r>
        <w:rPr>
          <w:rFonts w:hint="eastAsia"/>
        </w:rPr>
        <w:t>2、技术指标</w:t>
      </w:r>
      <w:bookmarkEnd w:id="80"/>
      <w:bookmarkEnd w:id="81"/>
      <w:bookmarkEnd w:id="82"/>
    </w:p>
    <w:p w14:paraId="68D1CEA3">
      <w:pPr>
        <w:pStyle w:val="5"/>
        <w:ind w:firstLine="480"/>
        <w:jc w:val="center"/>
      </w:pPr>
      <w:r>
        <w:rPr>
          <w:rFonts w:hint="eastAsia"/>
        </w:rPr>
        <w:t>洗选工段主要工艺参数</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3"/>
        <w:gridCol w:w="1309"/>
        <w:gridCol w:w="1512"/>
        <w:gridCol w:w="1887"/>
      </w:tblGrid>
      <w:tr w14:paraId="0D1B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1D69D2B6">
            <w:pPr>
              <w:spacing w:line="480" w:lineRule="exact"/>
              <w:jc w:val="center"/>
              <w:rPr>
                <w:rFonts w:ascii="宋体" w:hAnsi="宋体" w:cs="仿宋"/>
                <w:sz w:val="24"/>
              </w:rPr>
            </w:pPr>
            <w:r>
              <w:rPr>
                <w:rFonts w:hint="eastAsia" w:ascii="宋体" w:hAnsi="宋体" w:cs="仿宋"/>
                <w:sz w:val="24"/>
              </w:rPr>
              <w:t>名 称</w:t>
            </w:r>
          </w:p>
        </w:tc>
        <w:tc>
          <w:tcPr>
            <w:tcW w:w="1309" w:type="dxa"/>
            <w:vAlign w:val="center"/>
          </w:tcPr>
          <w:p w14:paraId="476ED5BE">
            <w:pPr>
              <w:spacing w:line="480" w:lineRule="exact"/>
              <w:jc w:val="center"/>
              <w:rPr>
                <w:rFonts w:ascii="宋体" w:hAnsi="宋体" w:cs="仿宋"/>
                <w:sz w:val="24"/>
              </w:rPr>
            </w:pPr>
            <w:r>
              <w:rPr>
                <w:rFonts w:hint="eastAsia" w:ascii="宋体" w:hAnsi="宋体" w:cs="仿宋"/>
                <w:sz w:val="24"/>
              </w:rPr>
              <w:t>单 位</w:t>
            </w:r>
          </w:p>
        </w:tc>
        <w:tc>
          <w:tcPr>
            <w:tcW w:w="1512" w:type="dxa"/>
            <w:vAlign w:val="center"/>
          </w:tcPr>
          <w:p w14:paraId="61CBD6D7">
            <w:pPr>
              <w:spacing w:line="480" w:lineRule="exact"/>
              <w:jc w:val="center"/>
              <w:rPr>
                <w:rFonts w:ascii="宋体" w:hAnsi="宋体" w:cs="仿宋"/>
                <w:sz w:val="24"/>
                <w:lang w:val="en-AU"/>
              </w:rPr>
            </w:pPr>
            <w:r>
              <w:rPr>
                <w:rFonts w:hint="eastAsia" w:ascii="宋体" w:hAnsi="宋体" w:cs="仿宋"/>
                <w:sz w:val="24"/>
                <w:lang w:val="en-AU"/>
              </w:rPr>
              <w:t>数 值</w:t>
            </w:r>
          </w:p>
        </w:tc>
        <w:tc>
          <w:tcPr>
            <w:tcW w:w="1887" w:type="dxa"/>
            <w:vAlign w:val="center"/>
          </w:tcPr>
          <w:p w14:paraId="2A277E00">
            <w:pPr>
              <w:spacing w:line="480" w:lineRule="exact"/>
              <w:jc w:val="center"/>
              <w:rPr>
                <w:rFonts w:ascii="宋体" w:hAnsi="宋体" w:cs="仿宋"/>
                <w:sz w:val="24"/>
              </w:rPr>
            </w:pPr>
            <w:r>
              <w:rPr>
                <w:rFonts w:hint="eastAsia" w:ascii="宋体" w:hAnsi="宋体" w:cs="仿宋"/>
                <w:sz w:val="24"/>
              </w:rPr>
              <w:t>备 注</w:t>
            </w:r>
          </w:p>
        </w:tc>
      </w:tr>
      <w:tr w14:paraId="04C2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4E709E5C">
            <w:pPr>
              <w:spacing w:line="480" w:lineRule="exact"/>
              <w:jc w:val="center"/>
              <w:rPr>
                <w:rFonts w:ascii="宋体" w:hAnsi="宋体" w:cs="仿宋"/>
                <w:sz w:val="24"/>
              </w:rPr>
            </w:pPr>
            <w:r>
              <w:rPr>
                <w:rFonts w:hint="eastAsia" w:ascii="宋体" w:hAnsi="宋体" w:cs="仿宋"/>
                <w:sz w:val="24"/>
              </w:rPr>
              <w:t>黑液提取率</w:t>
            </w:r>
          </w:p>
        </w:tc>
        <w:tc>
          <w:tcPr>
            <w:tcW w:w="1309" w:type="dxa"/>
            <w:vAlign w:val="center"/>
          </w:tcPr>
          <w:p w14:paraId="3475B886">
            <w:pPr>
              <w:spacing w:line="480" w:lineRule="exact"/>
              <w:jc w:val="center"/>
              <w:rPr>
                <w:rFonts w:ascii="宋体" w:hAnsi="宋体" w:cs="仿宋"/>
                <w:sz w:val="24"/>
              </w:rPr>
            </w:pPr>
            <w:r>
              <w:rPr>
                <w:rFonts w:hint="eastAsia" w:ascii="宋体" w:hAnsi="宋体" w:cs="仿宋"/>
                <w:sz w:val="24"/>
              </w:rPr>
              <w:t>%</w:t>
            </w:r>
          </w:p>
        </w:tc>
        <w:tc>
          <w:tcPr>
            <w:tcW w:w="1512" w:type="dxa"/>
            <w:vAlign w:val="center"/>
          </w:tcPr>
          <w:p w14:paraId="6AE5FF5B">
            <w:pPr>
              <w:spacing w:line="480" w:lineRule="exact"/>
              <w:jc w:val="center"/>
              <w:rPr>
                <w:rFonts w:ascii="宋体" w:hAnsi="宋体" w:cs="仿宋"/>
                <w:sz w:val="24"/>
                <w:lang w:val="en-AU"/>
              </w:rPr>
            </w:pPr>
            <w:r>
              <w:rPr>
                <w:rFonts w:ascii="宋体" w:hAnsi="宋体" w:cs="仿宋"/>
                <w:sz w:val="24"/>
                <w:lang w:val="en-AU"/>
              </w:rPr>
              <w:t>98</w:t>
            </w:r>
          </w:p>
        </w:tc>
        <w:tc>
          <w:tcPr>
            <w:tcW w:w="1887" w:type="dxa"/>
            <w:vAlign w:val="center"/>
          </w:tcPr>
          <w:p w14:paraId="522713A1">
            <w:pPr>
              <w:spacing w:line="480" w:lineRule="exact"/>
              <w:jc w:val="center"/>
              <w:rPr>
                <w:rFonts w:ascii="宋体" w:hAnsi="宋体" w:cs="仿宋"/>
                <w:sz w:val="24"/>
              </w:rPr>
            </w:pPr>
          </w:p>
        </w:tc>
      </w:tr>
      <w:tr w14:paraId="3819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688294F7">
            <w:pPr>
              <w:spacing w:line="480" w:lineRule="exact"/>
              <w:jc w:val="center"/>
              <w:rPr>
                <w:rFonts w:ascii="宋体" w:hAnsi="宋体" w:cs="仿宋"/>
                <w:sz w:val="24"/>
              </w:rPr>
            </w:pPr>
            <w:r>
              <w:rPr>
                <w:rFonts w:hint="eastAsia" w:ascii="宋体" w:hAnsi="宋体" w:cs="仿宋"/>
                <w:sz w:val="24"/>
              </w:rPr>
              <w:t>黑液浓度</w:t>
            </w:r>
          </w:p>
        </w:tc>
        <w:tc>
          <w:tcPr>
            <w:tcW w:w="1309" w:type="dxa"/>
            <w:vAlign w:val="center"/>
          </w:tcPr>
          <w:p w14:paraId="672F317D">
            <w:pPr>
              <w:spacing w:line="480" w:lineRule="exact"/>
              <w:jc w:val="center"/>
              <w:rPr>
                <w:rFonts w:ascii="宋体" w:hAnsi="宋体" w:cs="仿宋"/>
                <w:sz w:val="24"/>
              </w:rPr>
            </w:pPr>
            <w:r>
              <w:rPr>
                <w:rFonts w:hint="eastAsia" w:ascii="宋体" w:hAnsi="宋体" w:cs="仿宋"/>
                <w:sz w:val="24"/>
              </w:rPr>
              <w:t>%</w:t>
            </w:r>
          </w:p>
        </w:tc>
        <w:tc>
          <w:tcPr>
            <w:tcW w:w="1512" w:type="dxa"/>
            <w:vAlign w:val="center"/>
          </w:tcPr>
          <w:p w14:paraId="193775ED">
            <w:pPr>
              <w:spacing w:line="480" w:lineRule="exact"/>
              <w:jc w:val="center"/>
              <w:rPr>
                <w:rFonts w:ascii="宋体" w:hAnsi="宋体" w:cs="仿宋"/>
                <w:sz w:val="24"/>
              </w:rPr>
            </w:pPr>
            <w:r>
              <w:rPr>
                <w:rFonts w:hint="eastAsia" w:ascii="宋体" w:hAnsi="宋体" w:cs="仿宋"/>
                <w:sz w:val="24"/>
              </w:rPr>
              <w:t>13~16</w:t>
            </w:r>
          </w:p>
        </w:tc>
        <w:tc>
          <w:tcPr>
            <w:tcW w:w="1887" w:type="dxa"/>
            <w:vAlign w:val="center"/>
          </w:tcPr>
          <w:p w14:paraId="1AFC833C">
            <w:pPr>
              <w:spacing w:line="480" w:lineRule="exact"/>
              <w:jc w:val="center"/>
              <w:rPr>
                <w:rFonts w:ascii="宋体" w:hAnsi="宋体" w:cs="仿宋"/>
                <w:sz w:val="24"/>
              </w:rPr>
            </w:pPr>
            <w:r>
              <w:rPr>
                <w:rFonts w:hint="eastAsia" w:ascii="宋体" w:hAnsi="宋体" w:cs="仿宋"/>
                <w:sz w:val="24"/>
              </w:rPr>
              <w:t>送蒸发黑液</w:t>
            </w:r>
          </w:p>
        </w:tc>
      </w:tr>
      <w:tr w14:paraId="78B5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29D17338">
            <w:pPr>
              <w:spacing w:line="480" w:lineRule="exact"/>
              <w:jc w:val="center"/>
              <w:rPr>
                <w:rFonts w:ascii="宋体" w:hAnsi="宋体" w:cs="仿宋"/>
                <w:sz w:val="24"/>
              </w:rPr>
            </w:pPr>
            <w:r>
              <w:rPr>
                <w:rFonts w:hint="eastAsia" w:ascii="宋体" w:hAnsi="宋体" w:cs="仿宋"/>
                <w:sz w:val="24"/>
              </w:rPr>
              <w:t>洗涤损失率</w:t>
            </w:r>
          </w:p>
        </w:tc>
        <w:tc>
          <w:tcPr>
            <w:tcW w:w="1309" w:type="dxa"/>
            <w:vAlign w:val="center"/>
          </w:tcPr>
          <w:p w14:paraId="2D0313F3">
            <w:pPr>
              <w:spacing w:line="480" w:lineRule="exact"/>
              <w:jc w:val="center"/>
              <w:rPr>
                <w:rFonts w:ascii="宋体" w:hAnsi="宋体" w:cs="仿宋"/>
                <w:sz w:val="24"/>
              </w:rPr>
            </w:pPr>
            <w:r>
              <w:rPr>
                <w:rFonts w:hint="eastAsia" w:ascii="宋体" w:hAnsi="宋体" w:cs="仿宋"/>
                <w:sz w:val="24"/>
              </w:rPr>
              <w:t>%</w:t>
            </w:r>
          </w:p>
        </w:tc>
        <w:tc>
          <w:tcPr>
            <w:tcW w:w="1512" w:type="dxa"/>
            <w:vAlign w:val="center"/>
          </w:tcPr>
          <w:p w14:paraId="3ED93ED9">
            <w:pPr>
              <w:spacing w:line="480" w:lineRule="exact"/>
              <w:jc w:val="center"/>
              <w:rPr>
                <w:rFonts w:ascii="宋体" w:hAnsi="宋体" w:cs="仿宋"/>
                <w:sz w:val="24"/>
                <w:lang w:val="en-AU"/>
              </w:rPr>
            </w:pPr>
            <w:r>
              <w:rPr>
                <w:rFonts w:ascii="宋体" w:hAnsi="宋体" w:cs="仿宋"/>
                <w:sz w:val="24"/>
                <w:lang w:val="en-AU"/>
              </w:rPr>
              <w:t>1.0</w:t>
            </w:r>
          </w:p>
        </w:tc>
        <w:tc>
          <w:tcPr>
            <w:tcW w:w="1887" w:type="dxa"/>
            <w:vAlign w:val="center"/>
          </w:tcPr>
          <w:p w14:paraId="643364E4">
            <w:pPr>
              <w:spacing w:line="480" w:lineRule="exact"/>
              <w:jc w:val="center"/>
              <w:rPr>
                <w:rFonts w:ascii="宋体" w:hAnsi="宋体" w:cs="仿宋"/>
                <w:sz w:val="24"/>
              </w:rPr>
            </w:pPr>
          </w:p>
        </w:tc>
      </w:tr>
      <w:tr w14:paraId="768E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259383BF">
            <w:pPr>
              <w:spacing w:line="480" w:lineRule="exact"/>
              <w:jc w:val="center"/>
              <w:rPr>
                <w:rFonts w:ascii="宋体" w:hAnsi="宋体" w:cs="仿宋"/>
                <w:sz w:val="24"/>
              </w:rPr>
            </w:pPr>
            <w:r>
              <w:rPr>
                <w:rFonts w:hint="eastAsia" w:ascii="宋体" w:hAnsi="宋体" w:cs="仿宋"/>
                <w:sz w:val="24"/>
              </w:rPr>
              <w:t>筛选损失率</w:t>
            </w:r>
          </w:p>
        </w:tc>
        <w:tc>
          <w:tcPr>
            <w:tcW w:w="1309" w:type="dxa"/>
            <w:vAlign w:val="center"/>
          </w:tcPr>
          <w:p w14:paraId="3A4FFA33">
            <w:pPr>
              <w:spacing w:line="480" w:lineRule="exact"/>
              <w:jc w:val="center"/>
              <w:rPr>
                <w:rFonts w:ascii="宋体" w:hAnsi="宋体" w:cs="仿宋"/>
                <w:sz w:val="24"/>
              </w:rPr>
            </w:pPr>
            <w:r>
              <w:rPr>
                <w:rFonts w:hint="eastAsia" w:ascii="宋体" w:hAnsi="宋体" w:cs="仿宋"/>
                <w:sz w:val="24"/>
              </w:rPr>
              <w:t>%</w:t>
            </w:r>
          </w:p>
        </w:tc>
        <w:tc>
          <w:tcPr>
            <w:tcW w:w="1512" w:type="dxa"/>
            <w:vAlign w:val="center"/>
          </w:tcPr>
          <w:p w14:paraId="4167EC21">
            <w:pPr>
              <w:spacing w:line="480" w:lineRule="exact"/>
              <w:jc w:val="center"/>
              <w:rPr>
                <w:rFonts w:ascii="宋体" w:hAnsi="宋体" w:cs="仿宋"/>
                <w:sz w:val="24"/>
                <w:lang w:val="en-AU"/>
              </w:rPr>
            </w:pPr>
            <w:r>
              <w:rPr>
                <w:rFonts w:ascii="宋体" w:hAnsi="宋体" w:cs="仿宋"/>
                <w:sz w:val="24"/>
                <w:lang w:val="en-AU"/>
              </w:rPr>
              <w:t>1.0</w:t>
            </w:r>
          </w:p>
        </w:tc>
        <w:tc>
          <w:tcPr>
            <w:tcW w:w="1887" w:type="dxa"/>
            <w:vAlign w:val="center"/>
          </w:tcPr>
          <w:p w14:paraId="075DAE6B">
            <w:pPr>
              <w:spacing w:line="480" w:lineRule="exact"/>
              <w:jc w:val="center"/>
              <w:rPr>
                <w:rFonts w:ascii="宋体" w:hAnsi="宋体" w:cs="仿宋"/>
                <w:sz w:val="24"/>
              </w:rPr>
            </w:pPr>
          </w:p>
        </w:tc>
      </w:tr>
      <w:tr w14:paraId="7BD9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706D2055">
            <w:pPr>
              <w:spacing w:line="480" w:lineRule="exact"/>
              <w:jc w:val="center"/>
              <w:rPr>
                <w:rFonts w:ascii="宋体" w:hAnsi="宋体" w:cs="仿宋"/>
                <w:sz w:val="24"/>
              </w:rPr>
            </w:pPr>
            <w:r>
              <w:rPr>
                <w:rFonts w:hint="eastAsia" w:ascii="宋体" w:hAnsi="宋体" w:cs="仿宋"/>
                <w:sz w:val="24"/>
              </w:rPr>
              <w:t>成浆得率</w:t>
            </w:r>
          </w:p>
        </w:tc>
        <w:tc>
          <w:tcPr>
            <w:tcW w:w="1309" w:type="dxa"/>
            <w:vAlign w:val="center"/>
          </w:tcPr>
          <w:p w14:paraId="0E99263B">
            <w:pPr>
              <w:spacing w:line="480" w:lineRule="exact"/>
              <w:jc w:val="center"/>
              <w:rPr>
                <w:rFonts w:ascii="宋体" w:hAnsi="宋体" w:cs="仿宋"/>
                <w:sz w:val="24"/>
              </w:rPr>
            </w:pPr>
            <w:r>
              <w:rPr>
                <w:rFonts w:hint="eastAsia" w:ascii="宋体" w:hAnsi="宋体" w:cs="仿宋"/>
                <w:sz w:val="24"/>
              </w:rPr>
              <w:t>%</w:t>
            </w:r>
          </w:p>
        </w:tc>
        <w:tc>
          <w:tcPr>
            <w:tcW w:w="1512" w:type="dxa"/>
            <w:vAlign w:val="center"/>
          </w:tcPr>
          <w:p w14:paraId="419CDA14">
            <w:pPr>
              <w:spacing w:line="480" w:lineRule="exact"/>
              <w:jc w:val="center"/>
              <w:rPr>
                <w:rFonts w:ascii="宋体" w:hAnsi="宋体" w:cs="仿宋"/>
                <w:sz w:val="24"/>
              </w:rPr>
            </w:pPr>
          </w:p>
        </w:tc>
        <w:tc>
          <w:tcPr>
            <w:tcW w:w="1887" w:type="dxa"/>
            <w:vAlign w:val="center"/>
          </w:tcPr>
          <w:p w14:paraId="2D7A5332">
            <w:pPr>
              <w:spacing w:line="480" w:lineRule="exact"/>
              <w:jc w:val="center"/>
              <w:rPr>
                <w:rFonts w:ascii="宋体" w:hAnsi="宋体" w:cs="仿宋"/>
                <w:sz w:val="24"/>
              </w:rPr>
            </w:pPr>
          </w:p>
        </w:tc>
      </w:tr>
      <w:tr w14:paraId="4784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05DDF52A">
            <w:pPr>
              <w:spacing w:line="480" w:lineRule="exact"/>
              <w:jc w:val="center"/>
              <w:rPr>
                <w:rFonts w:ascii="宋体" w:hAnsi="宋体" w:cs="仿宋"/>
                <w:sz w:val="24"/>
              </w:rPr>
            </w:pPr>
            <w:r>
              <w:rPr>
                <w:rFonts w:hint="eastAsia" w:ascii="宋体" w:hAnsi="宋体" w:cs="宋体"/>
                <w:kern w:val="0"/>
                <w:sz w:val="24"/>
                <w:szCs w:val="24"/>
              </w:rPr>
              <w:t>浆料洗净度</w:t>
            </w:r>
          </w:p>
        </w:tc>
        <w:tc>
          <w:tcPr>
            <w:tcW w:w="1309" w:type="dxa"/>
            <w:vAlign w:val="center"/>
          </w:tcPr>
          <w:p w14:paraId="11CE57B1">
            <w:pPr>
              <w:spacing w:line="480" w:lineRule="exact"/>
              <w:jc w:val="center"/>
              <w:rPr>
                <w:rFonts w:ascii="宋体" w:hAnsi="宋体" w:cs="仿宋"/>
                <w:sz w:val="24"/>
              </w:rPr>
            </w:pPr>
            <w:r>
              <w:rPr>
                <w:rFonts w:hint="eastAsia" w:ascii="宋体" w:hAnsi="宋体" w:cs="宋体"/>
                <w:kern w:val="0"/>
                <w:sz w:val="24"/>
                <w:szCs w:val="24"/>
              </w:rPr>
              <w:t>kg/t浆</w:t>
            </w:r>
          </w:p>
        </w:tc>
        <w:tc>
          <w:tcPr>
            <w:tcW w:w="1512" w:type="dxa"/>
            <w:vAlign w:val="center"/>
          </w:tcPr>
          <w:p w14:paraId="2072B5A6">
            <w:pPr>
              <w:spacing w:line="480" w:lineRule="exact"/>
              <w:jc w:val="center"/>
              <w:rPr>
                <w:rFonts w:ascii="宋体" w:hAnsi="宋体" w:cs="仿宋"/>
                <w:sz w:val="24"/>
              </w:rPr>
            </w:pPr>
            <w:r>
              <w:rPr>
                <w:rFonts w:hint="eastAsia" w:ascii="宋体" w:hAnsi="宋体" w:cs="仿宋"/>
                <w:sz w:val="24"/>
              </w:rPr>
              <w:t>1.5</w:t>
            </w:r>
          </w:p>
        </w:tc>
        <w:tc>
          <w:tcPr>
            <w:tcW w:w="1887" w:type="dxa"/>
            <w:vAlign w:val="center"/>
          </w:tcPr>
          <w:p w14:paraId="6885AF47">
            <w:pPr>
              <w:spacing w:line="480" w:lineRule="exact"/>
              <w:jc w:val="center"/>
              <w:rPr>
                <w:rFonts w:ascii="宋体" w:hAnsi="宋体" w:cs="仿宋"/>
                <w:sz w:val="24"/>
              </w:rPr>
            </w:pPr>
          </w:p>
        </w:tc>
      </w:tr>
      <w:tr w14:paraId="4123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63" w:type="dxa"/>
            <w:vAlign w:val="center"/>
          </w:tcPr>
          <w:p w14:paraId="0FE3F54B">
            <w:pPr>
              <w:spacing w:line="480" w:lineRule="exact"/>
              <w:jc w:val="center"/>
              <w:rPr>
                <w:rFonts w:ascii="宋体" w:hAnsi="宋体" w:cs="宋体"/>
                <w:kern w:val="0"/>
                <w:sz w:val="24"/>
                <w:szCs w:val="24"/>
              </w:rPr>
            </w:pPr>
            <w:r>
              <w:rPr>
                <w:rFonts w:ascii="宋体" w:hAnsi="宋体" w:cs="宋体"/>
                <w:kern w:val="0"/>
                <w:sz w:val="24"/>
                <w:szCs w:val="24"/>
              </w:rPr>
              <w:t>……</w:t>
            </w:r>
          </w:p>
        </w:tc>
        <w:tc>
          <w:tcPr>
            <w:tcW w:w="1309" w:type="dxa"/>
            <w:vAlign w:val="center"/>
          </w:tcPr>
          <w:p w14:paraId="346CD587">
            <w:pPr>
              <w:spacing w:line="480" w:lineRule="exact"/>
              <w:jc w:val="center"/>
              <w:rPr>
                <w:rFonts w:ascii="宋体" w:hAnsi="宋体" w:cs="宋体"/>
                <w:kern w:val="0"/>
                <w:sz w:val="24"/>
                <w:szCs w:val="24"/>
              </w:rPr>
            </w:pPr>
          </w:p>
        </w:tc>
        <w:tc>
          <w:tcPr>
            <w:tcW w:w="1512" w:type="dxa"/>
            <w:vAlign w:val="center"/>
          </w:tcPr>
          <w:p w14:paraId="5431D32F">
            <w:pPr>
              <w:spacing w:line="480" w:lineRule="exact"/>
              <w:jc w:val="center"/>
              <w:rPr>
                <w:rFonts w:ascii="宋体" w:hAnsi="宋体" w:cs="仿宋"/>
                <w:sz w:val="24"/>
              </w:rPr>
            </w:pPr>
          </w:p>
        </w:tc>
        <w:tc>
          <w:tcPr>
            <w:tcW w:w="1887" w:type="dxa"/>
            <w:vAlign w:val="center"/>
          </w:tcPr>
          <w:p w14:paraId="4E1FA297">
            <w:pPr>
              <w:spacing w:line="480" w:lineRule="exact"/>
              <w:jc w:val="center"/>
              <w:rPr>
                <w:rFonts w:ascii="宋体" w:hAnsi="宋体" w:cs="仿宋"/>
                <w:sz w:val="24"/>
              </w:rPr>
            </w:pPr>
          </w:p>
        </w:tc>
      </w:tr>
    </w:tbl>
    <w:p w14:paraId="7F29BB81">
      <w:pPr>
        <w:pStyle w:val="5"/>
        <w:ind w:firstLine="480"/>
      </w:pPr>
      <w:r>
        <w:rPr>
          <w:rFonts w:hint="eastAsia"/>
        </w:rPr>
        <w:t>2.1洗净度测定</w:t>
      </w:r>
    </w:p>
    <w:p w14:paraId="3DD31F3F">
      <w:pPr>
        <w:pStyle w:val="23"/>
        <w:ind w:firstLine="720"/>
        <w:rPr>
          <w:rFonts w:hint="default"/>
        </w:rPr>
      </w:pPr>
      <w:r>
        <w:t>2.1.1化验设备</w:t>
      </w:r>
    </w:p>
    <w:p w14:paraId="2E38664A">
      <w:pPr>
        <w:pStyle w:val="23"/>
        <w:ind w:firstLine="720"/>
        <w:rPr>
          <w:rFonts w:hint="default"/>
        </w:rPr>
      </w:pPr>
      <w:r>
        <w:t xml:space="preserve">   25ml 滴定管一支；50ml量筒一个；250ml三角瓶一个；250ml量筒一个。</w:t>
      </w:r>
    </w:p>
    <w:p w14:paraId="15D68130">
      <w:pPr>
        <w:pStyle w:val="23"/>
        <w:ind w:firstLine="720"/>
        <w:rPr>
          <w:rFonts w:hint="default"/>
        </w:rPr>
      </w:pPr>
      <w:r>
        <w:t>2.1.2干浆的化验和结果计算</w:t>
      </w:r>
    </w:p>
    <w:p w14:paraId="2FF58189">
      <w:pPr>
        <w:pStyle w:val="23"/>
        <w:ind w:firstLine="720"/>
        <w:rPr>
          <w:rFonts w:hint="default"/>
        </w:rPr>
      </w:pPr>
      <w:r>
        <w:t>从洗浆机出口取出一杯浆料并混合均匀，再从中称取10g浆样两份，一份用烘箱烘干至恒重，记下其重量为m，另一份加200ml蒸馏水稀释，并充分搅拌，使浆块分散，并使其中的碱溶解。从稀释后的浆料中用手（或纱布等工具）挤出不少于100ml的滤液于搪瓷杯内（此搪瓷杯必须事先用此滤液洗过两次）。根据浆样的预估洗净度量取一定量的此滤液，记为W ml（根据预估洗净度取5-100ml,洗净度值越高，量取的体积越少），将量取的滤液置于250ml三角瓶中，加入2-3滴1%酚酞指示剂，用0.01N盐酸标准液滴定至溶液红色消失为止。记其消耗0.01N盐酸标准液毫升数V。</w:t>
      </w:r>
    </w:p>
    <w:p w14:paraId="1830BF98">
      <w:pPr>
        <w:spacing w:line="360" w:lineRule="auto"/>
        <w:rPr>
          <w:rFonts w:ascii="宋体" w:hAnsi="宋体" w:cs="宋体"/>
          <w:sz w:val="24"/>
          <w:szCs w:val="24"/>
        </w:rPr>
      </w:pPr>
    </w:p>
    <w:p w14:paraId="4157EF8B">
      <w:pPr>
        <w:spacing w:line="360" w:lineRule="auto"/>
        <w:rPr>
          <w:rFonts w:ascii="宋体" w:hAnsi="宋体" w:cs="宋体"/>
          <w:sz w:val="24"/>
          <w:szCs w:val="24"/>
        </w:rPr>
      </w:pPr>
      <w:r>
        <w:rPr>
          <w:rFonts w:hint="eastAsia" w:ascii="宋体" w:hAnsi="宋体" w:cs="宋体"/>
          <w:sz w:val="24"/>
          <w:szCs w:val="24"/>
        </w:rPr>
        <w:t>洗净度kg/t风干浆=</w:t>
      </w:r>
      <w:r>
        <w:rPr>
          <w:rFonts w:hint="eastAsia" w:ascii="宋体" w:hAnsi="宋体" w:cs="宋体"/>
          <w:position w:val="-30"/>
          <w:sz w:val="24"/>
          <w:szCs w:val="24"/>
        </w:rPr>
        <w:object>
          <v:shape id="_x0000_i1025" o:spt="75" type="#_x0000_t75" style="height:42.75pt;width:88.2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rFonts w:hint="eastAsia" w:ascii="宋体" w:hAnsi="宋体" w:cs="宋体"/>
          <w:sz w:val="24"/>
          <w:szCs w:val="24"/>
        </w:rPr>
        <w:t>×</w:t>
      </w:r>
      <w:r>
        <w:rPr>
          <w:rFonts w:hint="eastAsia" w:ascii="宋体" w:hAnsi="宋体" w:cs="宋体"/>
          <w:position w:val="-24"/>
          <w:sz w:val="24"/>
          <w:szCs w:val="24"/>
        </w:rPr>
        <w:object>
          <v:shape id="_x0000_i1026" o:spt="75" type="#_x0000_t75" style="height:30.45pt;width:43.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rFonts w:hint="eastAsia" w:ascii="宋体" w:hAnsi="宋体" w:cs="宋体"/>
          <w:sz w:val="24"/>
          <w:szCs w:val="24"/>
        </w:rPr>
        <w:t xml:space="preserve"> =</w:t>
      </w:r>
      <w:r>
        <w:rPr>
          <w:rFonts w:hint="eastAsia" w:ascii="宋体" w:hAnsi="宋体" w:cs="宋体"/>
          <w:position w:val="-24"/>
          <w:sz w:val="24"/>
          <w:szCs w:val="24"/>
        </w:rPr>
        <w:object>
          <v:shape id="_x0000_i1027" o:spt="75" type="#_x0000_t75" style="height:30.45pt;width:30.05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rFonts w:hint="eastAsia" w:ascii="宋体" w:hAnsi="宋体" w:cs="宋体"/>
          <w:sz w:val="24"/>
          <w:szCs w:val="24"/>
        </w:rPr>
        <w:t>×</w:t>
      </w:r>
      <w:r>
        <w:rPr>
          <w:rFonts w:hint="eastAsia" w:ascii="宋体" w:hAnsi="宋体" w:cs="宋体"/>
          <w:position w:val="-24"/>
          <w:sz w:val="24"/>
          <w:szCs w:val="24"/>
        </w:rPr>
        <w:object>
          <v:shape id="_x0000_i1028" o:spt="75" type="#_x0000_t75" style="height:30.45pt;width:43.5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r>
        <w:rPr>
          <w:rFonts w:hint="eastAsia" w:ascii="宋体" w:hAnsi="宋体" w:cs="宋体"/>
          <w:sz w:val="24"/>
          <w:szCs w:val="24"/>
        </w:rPr>
        <w:t xml:space="preserve">   （以NaOH表示）</w:t>
      </w:r>
    </w:p>
    <w:p w14:paraId="45435B78">
      <w:pPr>
        <w:spacing w:line="360" w:lineRule="auto"/>
        <w:rPr>
          <w:rFonts w:ascii="宋体" w:hAnsi="宋体" w:cs="宋体"/>
          <w:sz w:val="24"/>
          <w:szCs w:val="24"/>
        </w:rPr>
      </w:pPr>
    </w:p>
    <w:p w14:paraId="4A306CED">
      <w:pPr>
        <w:spacing w:line="360" w:lineRule="auto"/>
        <w:rPr>
          <w:rFonts w:ascii="宋体" w:hAnsi="宋体" w:cs="宋体"/>
          <w:sz w:val="24"/>
          <w:szCs w:val="24"/>
        </w:rPr>
      </w:pPr>
      <w:r>
        <w:rPr>
          <w:rFonts w:hint="eastAsia" w:ascii="宋体" w:hAnsi="宋体" w:cs="宋体"/>
          <w:sz w:val="24"/>
          <w:szCs w:val="24"/>
        </w:rPr>
        <w:t>式中：V—盐酸标准液滴定时，所消耗的毫升数(ml)</w:t>
      </w:r>
    </w:p>
    <w:p w14:paraId="6ABFC207">
      <w:pPr>
        <w:spacing w:line="360" w:lineRule="auto"/>
        <w:rPr>
          <w:rFonts w:ascii="宋体" w:hAnsi="宋体" w:cs="宋体"/>
          <w:sz w:val="24"/>
          <w:szCs w:val="24"/>
        </w:rPr>
      </w:pPr>
      <w:r>
        <w:rPr>
          <w:rFonts w:hint="eastAsia" w:ascii="宋体" w:hAnsi="宋体" w:cs="宋体"/>
          <w:sz w:val="24"/>
          <w:szCs w:val="24"/>
        </w:rPr>
        <w:t xml:space="preserve">      W—量取后用于滴定的滤液体积(ml)</w:t>
      </w:r>
    </w:p>
    <w:p w14:paraId="1D3A8A4E">
      <w:pPr>
        <w:spacing w:line="360" w:lineRule="auto"/>
        <w:rPr>
          <w:rFonts w:ascii="宋体" w:hAnsi="宋体" w:cs="宋体"/>
          <w:sz w:val="24"/>
          <w:szCs w:val="24"/>
        </w:rPr>
      </w:pPr>
      <w:r>
        <w:rPr>
          <w:rFonts w:hint="eastAsia" w:ascii="宋体" w:hAnsi="宋体" w:cs="宋体"/>
          <w:sz w:val="24"/>
          <w:szCs w:val="24"/>
        </w:rPr>
        <w:t xml:space="preserve">      m—10g浆样烘干后的绝干重(g)</w:t>
      </w:r>
    </w:p>
    <w:p w14:paraId="60F8DAD5">
      <w:pPr>
        <w:pStyle w:val="23"/>
        <w:ind w:firstLine="720"/>
        <w:rPr>
          <w:rFonts w:hint="default"/>
        </w:rPr>
      </w:pPr>
      <w:r>
        <w:t>2.1.3注意事项：</w:t>
      </w:r>
    </w:p>
    <w:p w14:paraId="76A5E39D">
      <w:pPr>
        <w:pStyle w:val="23"/>
        <w:ind w:left="280" w:leftChars="100" w:firstLine="720"/>
        <w:rPr>
          <w:rFonts w:hint="default"/>
        </w:rPr>
      </w:pPr>
      <w:r>
        <w:t>浆料中的残碱过大时，溶液颜色较深，会影响观察滴定终点，如遇此种情况可同时取两份50ml被测溶液，以便滴定进行比较，帮助判定终点，另外还可成倍数的稀释溶液，但计算时应按稀释倍数计算。</w:t>
      </w:r>
    </w:p>
    <w:p w14:paraId="4B9C6973">
      <w:pPr>
        <w:pStyle w:val="3"/>
        <w:spacing w:before="156" w:after="156"/>
        <w:ind w:firstLine="281"/>
      </w:pPr>
      <w:bookmarkStart w:id="83" w:name="_Toc610"/>
      <w:bookmarkStart w:id="84" w:name="_Toc18614"/>
      <w:bookmarkStart w:id="85" w:name="_Toc25402"/>
      <w:r>
        <w:rPr>
          <w:rFonts w:hint="eastAsia"/>
        </w:rPr>
        <w:t>3</w:t>
      </w:r>
      <w:r>
        <w:t>、设备</w:t>
      </w:r>
      <w:bookmarkEnd w:id="83"/>
      <w:bookmarkEnd w:id="84"/>
      <w:bookmarkEnd w:id="85"/>
    </w:p>
    <w:p w14:paraId="2B48E976">
      <w:pPr>
        <w:spacing w:line="520" w:lineRule="exact"/>
        <w:jc w:val="center"/>
        <w:rPr>
          <w:rFonts w:ascii="宋体" w:hAnsi="宋体"/>
          <w:sz w:val="24"/>
          <w:szCs w:val="24"/>
        </w:rPr>
      </w:pPr>
      <w:r>
        <w:rPr>
          <w:rFonts w:hint="eastAsia" w:ascii="宋体" w:hAnsi="宋体"/>
          <w:sz w:val="24"/>
          <w:szCs w:val="24"/>
        </w:rPr>
        <w:t>洗选工段主要工艺设备清单</w:t>
      </w:r>
    </w:p>
    <w:tbl>
      <w:tblPr>
        <w:tblStyle w:val="18"/>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3440"/>
        <w:gridCol w:w="2100"/>
        <w:gridCol w:w="1559"/>
        <w:gridCol w:w="1155"/>
      </w:tblGrid>
      <w:tr w14:paraId="069A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tcPr>
          <w:p w14:paraId="23AFE0D6">
            <w:pPr>
              <w:widowControl/>
              <w:spacing w:line="560" w:lineRule="exact"/>
              <w:jc w:val="center"/>
              <w:rPr>
                <w:rFonts w:ascii="宋体" w:hAnsi="宋体" w:cs="宋体"/>
                <w:kern w:val="0"/>
                <w:sz w:val="24"/>
                <w:szCs w:val="24"/>
              </w:rPr>
            </w:pPr>
            <w:r>
              <w:rPr>
                <w:rFonts w:hint="eastAsia" w:ascii="宋体" w:hAnsi="宋体" w:cs="仿宋"/>
                <w:kern w:val="0"/>
                <w:sz w:val="24"/>
                <w:szCs w:val="24"/>
              </w:rPr>
              <w:t>序号</w:t>
            </w:r>
          </w:p>
        </w:tc>
        <w:tc>
          <w:tcPr>
            <w:tcW w:w="3440" w:type="dxa"/>
          </w:tcPr>
          <w:p w14:paraId="0E5B1994">
            <w:pPr>
              <w:widowControl/>
              <w:spacing w:line="560" w:lineRule="exact"/>
              <w:jc w:val="center"/>
              <w:rPr>
                <w:rFonts w:ascii="宋体" w:hAnsi="宋体" w:cs="仿宋"/>
                <w:kern w:val="0"/>
                <w:sz w:val="24"/>
                <w:szCs w:val="24"/>
              </w:rPr>
            </w:pPr>
            <w:r>
              <w:rPr>
                <w:rFonts w:hint="eastAsia" w:ascii="宋体" w:hAnsi="宋体" w:cs="仿宋"/>
                <w:kern w:val="0"/>
                <w:sz w:val="24"/>
                <w:szCs w:val="24"/>
              </w:rPr>
              <w:t>设备名称</w:t>
            </w:r>
          </w:p>
        </w:tc>
        <w:tc>
          <w:tcPr>
            <w:tcW w:w="2100" w:type="dxa"/>
          </w:tcPr>
          <w:p w14:paraId="5A5173F5">
            <w:pPr>
              <w:widowControl/>
              <w:spacing w:line="560" w:lineRule="exact"/>
              <w:jc w:val="center"/>
              <w:rPr>
                <w:rFonts w:ascii="宋体" w:hAnsi="宋体" w:cs="宋体"/>
                <w:kern w:val="0"/>
                <w:sz w:val="24"/>
                <w:szCs w:val="24"/>
              </w:rPr>
            </w:pPr>
            <w:r>
              <w:rPr>
                <w:rFonts w:hint="eastAsia" w:ascii="宋体" w:hAnsi="宋体" w:cs="仿宋"/>
                <w:kern w:val="0"/>
                <w:sz w:val="24"/>
                <w:szCs w:val="24"/>
              </w:rPr>
              <w:t>规格性能</w:t>
            </w:r>
          </w:p>
        </w:tc>
        <w:tc>
          <w:tcPr>
            <w:tcW w:w="1559" w:type="dxa"/>
          </w:tcPr>
          <w:p w14:paraId="409A984D">
            <w:pPr>
              <w:widowControl/>
              <w:spacing w:line="560" w:lineRule="exact"/>
              <w:jc w:val="center"/>
              <w:rPr>
                <w:rFonts w:ascii="宋体" w:hAnsi="宋体" w:cs="仿宋"/>
                <w:kern w:val="0"/>
                <w:sz w:val="24"/>
                <w:szCs w:val="24"/>
              </w:rPr>
            </w:pPr>
            <w:r>
              <w:rPr>
                <w:rFonts w:hint="eastAsia" w:ascii="宋体" w:hAnsi="宋体" w:cs="仿宋"/>
                <w:kern w:val="0"/>
                <w:sz w:val="24"/>
                <w:szCs w:val="24"/>
              </w:rPr>
              <w:t>数 量</w:t>
            </w:r>
          </w:p>
        </w:tc>
        <w:tc>
          <w:tcPr>
            <w:tcW w:w="1155" w:type="dxa"/>
          </w:tcPr>
          <w:p w14:paraId="576D32C0">
            <w:pPr>
              <w:widowControl/>
              <w:spacing w:line="560" w:lineRule="exact"/>
              <w:jc w:val="center"/>
              <w:rPr>
                <w:rFonts w:ascii="宋体" w:hAnsi="宋体" w:cs="仿宋"/>
                <w:kern w:val="0"/>
                <w:sz w:val="24"/>
                <w:szCs w:val="24"/>
              </w:rPr>
            </w:pPr>
            <w:r>
              <w:rPr>
                <w:rFonts w:hint="eastAsia" w:ascii="宋体" w:hAnsi="宋体" w:cs="仿宋"/>
                <w:kern w:val="0"/>
                <w:sz w:val="24"/>
                <w:szCs w:val="24"/>
              </w:rPr>
              <w:t>备注</w:t>
            </w:r>
          </w:p>
        </w:tc>
      </w:tr>
      <w:tr w14:paraId="61B7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52EE24C9">
            <w:pPr>
              <w:widowControl/>
              <w:jc w:val="center"/>
              <w:rPr>
                <w:rFonts w:ascii="宋体" w:hAnsi="宋体" w:cs="宋体"/>
                <w:kern w:val="0"/>
                <w:sz w:val="24"/>
                <w:szCs w:val="24"/>
                <w:lang w:val="en-AU"/>
              </w:rPr>
            </w:pPr>
            <w:r>
              <w:rPr>
                <w:rFonts w:ascii="宋体" w:hAnsi="宋体" w:cs="宋体"/>
                <w:kern w:val="0"/>
                <w:sz w:val="24"/>
                <w:szCs w:val="24"/>
                <w:lang w:val="en-AU"/>
              </w:rPr>
              <w:t>1</w:t>
            </w:r>
          </w:p>
        </w:tc>
        <w:tc>
          <w:tcPr>
            <w:tcW w:w="3440" w:type="dxa"/>
            <w:vAlign w:val="center"/>
          </w:tcPr>
          <w:p w14:paraId="368D5330">
            <w:pPr>
              <w:widowControl/>
              <w:spacing w:line="560" w:lineRule="exact"/>
              <w:jc w:val="left"/>
              <w:rPr>
                <w:rFonts w:ascii="宋体" w:hAnsi="宋体" w:cs="仿宋"/>
                <w:kern w:val="0"/>
                <w:sz w:val="24"/>
                <w:szCs w:val="24"/>
              </w:rPr>
            </w:pPr>
            <w:r>
              <w:rPr>
                <w:rFonts w:hint="eastAsia" w:ascii="宋体" w:hAnsi="宋体" w:cs="仿宋"/>
                <w:kern w:val="0"/>
                <w:sz w:val="24"/>
                <w:szCs w:val="24"/>
              </w:rPr>
              <w:t>低浓槽</w:t>
            </w:r>
          </w:p>
        </w:tc>
        <w:tc>
          <w:tcPr>
            <w:tcW w:w="2100" w:type="dxa"/>
            <w:vAlign w:val="center"/>
          </w:tcPr>
          <w:p w14:paraId="462D896C">
            <w:pPr>
              <w:widowControl/>
              <w:spacing w:line="560" w:lineRule="exact"/>
              <w:jc w:val="center"/>
              <w:rPr>
                <w:rFonts w:ascii="宋体" w:hAnsi="宋体" w:cs="仿宋"/>
                <w:kern w:val="0"/>
                <w:sz w:val="24"/>
                <w:szCs w:val="24"/>
              </w:rPr>
            </w:pPr>
          </w:p>
        </w:tc>
        <w:tc>
          <w:tcPr>
            <w:tcW w:w="1559" w:type="dxa"/>
            <w:vAlign w:val="center"/>
          </w:tcPr>
          <w:p w14:paraId="6A816561">
            <w:pPr>
              <w:widowControl/>
              <w:spacing w:line="560" w:lineRule="exact"/>
              <w:jc w:val="center"/>
              <w:rPr>
                <w:rFonts w:ascii="宋体" w:hAnsi="宋体" w:cs="仿宋"/>
                <w:kern w:val="0"/>
                <w:sz w:val="24"/>
                <w:szCs w:val="24"/>
              </w:rPr>
            </w:pPr>
          </w:p>
        </w:tc>
        <w:tc>
          <w:tcPr>
            <w:tcW w:w="1155" w:type="dxa"/>
            <w:vAlign w:val="center"/>
          </w:tcPr>
          <w:p w14:paraId="64B370E1">
            <w:pPr>
              <w:widowControl/>
              <w:spacing w:line="560" w:lineRule="exact"/>
              <w:jc w:val="center"/>
              <w:rPr>
                <w:rFonts w:ascii="宋体" w:hAnsi="宋体" w:cs="仿宋"/>
                <w:kern w:val="0"/>
                <w:sz w:val="24"/>
                <w:szCs w:val="24"/>
              </w:rPr>
            </w:pPr>
          </w:p>
        </w:tc>
      </w:tr>
      <w:tr w14:paraId="553D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32AB5FB7">
            <w:pPr>
              <w:widowControl/>
              <w:jc w:val="center"/>
              <w:rPr>
                <w:rFonts w:ascii="宋体" w:hAnsi="宋体" w:cs="宋体"/>
                <w:kern w:val="0"/>
                <w:sz w:val="24"/>
                <w:szCs w:val="24"/>
                <w:lang w:val="en-AU"/>
              </w:rPr>
            </w:pPr>
            <w:r>
              <w:rPr>
                <w:rFonts w:ascii="宋体" w:hAnsi="宋体" w:cs="宋体"/>
                <w:kern w:val="0"/>
                <w:sz w:val="24"/>
                <w:szCs w:val="24"/>
                <w:lang w:val="en-AU"/>
              </w:rPr>
              <w:t>2</w:t>
            </w:r>
          </w:p>
        </w:tc>
        <w:tc>
          <w:tcPr>
            <w:tcW w:w="3440" w:type="dxa"/>
            <w:vAlign w:val="center"/>
          </w:tcPr>
          <w:p w14:paraId="59040FB5">
            <w:pPr>
              <w:widowControl/>
              <w:spacing w:line="560" w:lineRule="exact"/>
              <w:jc w:val="left"/>
              <w:rPr>
                <w:rFonts w:ascii="宋体" w:hAnsi="宋体" w:cs="仿宋"/>
                <w:kern w:val="0"/>
                <w:sz w:val="24"/>
                <w:szCs w:val="24"/>
              </w:rPr>
            </w:pPr>
            <w:r>
              <w:rPr>
                <w:rFonts w:hint="eastAsia" w:ascii="宋体" w:hAnsi="宋体" w:cs="仿宋"/>
                <w:kern w:val="0"/>
                <w:sz w:val="24"/>
                <w:szCs w:val="24"/>
              </w:rPr>
              <w:t>除节机</w:t>
            </w:r>
          </w:p>
        </w:tc>
        <w:tc>
          <w:tcPr>
            <w:tcW w:w="2100" w:type="dxa"/>
            <w:vAlign w:val="center"/>
          </w:tcPr>
          <w:p w14:paraId="7B0FA28D">
            <w:pPr>
              <w:widowControl/>
              <w:spacing w:line="560" w:lineRule="exact"/>
              <w:jc w:val="center"/>
              <w:rPr>
                <w:rFonts w:ascii="宋体" w:hAnsi="宋体" w:cs="仿宋"/>
                <w:kern w:val="0"/>
                <w:sz w:val="24"/>
                <w:szCs w:val="24"/>
              </w:rPr>
            </w:pPr>
          </w:p>
        </w:tc>
        <w:tc>
          <w:tcPr>
            <w:tcW w:w="1559" w:type="dxa"/>
            <w:vAlign w:val="center"/>
          </w:tcPr>
          <w:p w14:paraId="34FE908C">
            <w:pPr>
              <w:widowControl/>
              <w:spacing w:line="560" w:lineRule="exact"/>
              <w:jc w:val="center"/>
              <w:rPr>
                <w:rFonts w:ascii="宋体" w:hAnsi="宋体" w:cs="仿宋"/>
                <w:kern w:val="0"/>
                <w:sz w:val="24"/>
                <w:szCs w:val="24"/>
              </w:rPr>
            </w:pPr>
          </w:p>
        </w:tc>
        <w:tc>
          <w:tcPr>
            <w:tcW w:w="1155" w:type="dxa"/>
            <w:vAlign w:val="center"/>
          </w:tcPr>
          <w:p w14:paraId="35E32BD8">
            <w:pPr>
              <w:widowControl/>
              <w:spacing w:line="560" w:lineRule="exact"/>
              <w:jc w:val="center"/>
              <w:rPr>
                <w:rFonts w:ascii="宋体" w:hAnsi="宋体" w:cs="仿宋"/>
                <w:kern w:val="0"/>
                <w:sz w:val="24"/>
                <w:szCs w:val="24"/>
              </w:rPr>
            </w:pPr>
          </w:p>
        </w:tc>
      </w:tr>
      <w:tr w14:paraId="3BDA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171A3E9F">
            <w:pPr>
              <w:widowControl/>
              <w:jc w:val="center"/>
              <w:rPr>
                <w:rFonts w:ascii="宋体" w:hAnsi="宋体" w:cs="宋体"/>
                <w:kern w:val="0"/>
                <w:sz w:val="24"/>
                <w:szCs w:val="24"/>
                <w:lang w:val="en-AU"/>
              </w:rPr>
            </w:pPr>
            <w:r>
              <w:rPr>
                <w:rFonts w:ascii="宋体" w:hAnsi="宋体" w:cs="宋体"/>
                <w:kern w:val="0"/>
                <w:sz w:val="24"/>
                <w:szCs w:val="24"/>
                <w:lang w:val="en-AU"/>
              </w:rPr>
              <w:t>3</w:t>
            </w:r>
          </w:p>
        </w:tc>
        <w:tc>
          <w:tcPr>
            <w:tcW w:w="3440" w:type="dxa"/>
            <w:vAlign w:val="center"/>
          </w:tcPr>
          <w:p w14:paraId="4BA9CCE5">
            <w:pPr>
              <w:widowControl/>
              <w:spacing w:line="560" w:lineRule="exact"/>
              <w:jc w:val="left"/>
              <w:rPr>
                <w:rFonts w:ascii="宋体" w:hAnsi="宋体" w:cs="仿宋"/>
                <w:kern w:val="0"/>
                <w:sz w:val="24"/>
                <w:szCs w:val="24"/>
              </w:rPr>
            </w:pPr>
            <w:r>
              <w:rPr>
                <w:rFonts w:hint="eastAsia" w:ascii="宋体" w:hAnsi="宋体" w:cs="仿宋"/>
                <w:kern w:val="0"/>
                <w:sz w:val="24"/>
                <w:szCs w:val="24"/>
              </w:rPr>
              <w:t>一级二段筛选系统</w:t>
            </w:r>
          </w:p>
        </w:tc>
        <w:tc>
          <w:tcPr>
            <w:tcW w:w="2100" w:type="dxa"/>
            <w:vAlign w:val="center"/>
          </w:tcPr>
          <w:p w14:paraId="03EBD3E6">
            <w:pPr>
              <w:widowControl/>
              <w:spacing w:line="560" w:lineRule="exact"/>
              <w:jc w:val="center"/>
              <w:rPr>
                <w:rFonts w:ascii="宋体" w:hAnsi="宋体" w:cs="仿宋"/>
                <w:kern w:val="0"/>
                <w:sz w:val="24"/>
                <w:szCs w:val="24"/>
              </w:rPr>
            </w:pPr>
          </w:p>
        </w:tc>
        <w:tc>
          <w:tcPr>
            <w:tcW w:w="1559" w:type="dxa"/>
            <w:vAlign w:val="center"/>
          </w:tcPr>
          <w:p w14:paraId="6986C8E7">
            <w:pPr>
              <w:widowControl/>
              <w:spacing w:line="560" w:lineRule="exact"/>
              <w:jc w:val="center"/>
              <w:rPr>
                <w:rFonts w:ascii="宋体" w:hAnsi="宋体" w:cs="仿宋"/>
                <w:kern w:val="0"/>
                <w:sz w:val="24"/>
                <w:szCs w:val="24"/>
              </w:rPr>
            </w:pPr>
          </w:p>
        </w:tc>
        <w:tc>
          <w:tcPr>
            <w:tcW w:w="1155" w:type="dxa"/>
            <w:vAlign w:val="center"/>
          </w:tcPr>
          <w:p w14:paraId="72D52BAD">
            <w:pPr>
              <w:widowControl/>
              <w:spacing w:line="560" w:lineRule="exact"/>
              <w:jc w:val="center"/>
              <w:rPr>
                <w:rFonts w:ascii="宋体" w:hAnsi="宋体" w:cs="仿宋"/>
                <w:kern w:val="0"/>
                <w:sz w:val="24"/>
                <w:szCs w:val="24"/>
              </w:rPr>
            </w:pPr>
          </w:p>
        </w:tc>
      </w:tr>
      <w:tr w14:paraId="1F8B0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2DE3E1CA">
            <w:pPr>
              <w:widowControl/>
              <w:jc w:val="center"/>
              <w:rPr>
                <w:rFonts w:ascii="宋体" w:hAnsi="宋体" w:cs="宋体"/>
                <w:kern w:val="0"/>
                <w:sz w:val="24"/>
                <w:szCs w:val="24"/>
                <w:lang w:val="en-AU"/>
              </w:rPr>
            </w:pPr>
            <w:r>
              <w:rPr>
                <w:rFonts w:ascii="宋体" w:hAnsi="宋体" w:cs="宋体"/>
                <w:kern w:val="0"/>
                <w:sz w:val="24"/>
                <w:szCs w:val="24"/>
                <w:lang w:val="en-AU"/>
              </w:rPr>
              <w:t>4</w:t>
            </w:r>
          </w:p>
        </w:tc>
        <w:tc>
          <w:tcPr>
            <w:tcW w:w="3440" w:type="dxa"/>
            <w:vAlign w:val="center"/>
          </w:tcPr>
          <w:p w14:paraId="2D54A0A7">
            <w:pPr>
              <w:widowControl/>
              <w:spacing w:line="560" w:lineRule="exact"/>
              <w:jc w:val="left"/>
              <w:rPr>
                <w:rFonts w:ascii="宋体" w:hAnsi="宋体" w:cs="仿宋"/>
                <w:kern w:val="0"/>
                <w:sz w:val="24"/>
                <w:szCs w:val="24"/>
              </w:rPr>
            </w:pPr>
            <w:r>
              <w:rPr>
                <w:rFonts w:hint="eastAsia" w:ascii="宋体" w:hAnsi="宋体" w:cs="仿宋"/>
                <w:kern w:val="0"/>
                <w:sz w:val="24"/>
                <w:szCs w:val="24"/>
              </w:rPr>
              <w:t>除砂系统</w:t>
            </w:r>
          </w:p>
        </w:tc>
        <w:tc>
          <w:tcPr>
            <w:tcW w:w="2100" w:type="dxa"/>
            <w:vAlign w:val="center"/>
          </w:tcPr>
          <w:p w14:paraId="7E9A254C">
            <w:pPr>
              <w:widowControl/>
              <w:spacing w:line="560" w:lineRule="exact"/>
              <w:jc w:val="center"/>
              <w:rPr>
                <w:rFonts w:ascii="宋体" w:hAnsi="宋体" w:cs="仿宋"/>
                <w:kern w:val="0"/>
                <w:sz w:val="24"/>
                <w:szCs w:val="24"/>
              </w:rPr>
            </w:pPr>
          </w:p>
        </w:tc>
        <w:tc>
          <w:tcPr>
            <w:tcW w:w="1559" w:type="dxa"/>
            <w:vAlign w:val="center"/>
          </w:tcPr>
          <w:p w14:paraId="70DDA335">
            <w:pPr>
              <w:widowControl/>
              <w:spacing w:line="560" w:lineRule="exact"/>
              <w:jc w:val="center"/>
              <w:rPr>
                <w:rFonts w:ascii="宋体" w:hAnsi="宋体" w:cs="仿宋"/>
                <w:kern w:val="0"/>
                <w:sz w:val="24"/>
                <w:szCs w:val="24"/>
              </w:rPr>
            </w:pPr>
          </w:p>
        </w:tc>
        <w:tc>
          <w:tcPr>
            <w:tcW w:w="1155" w:type="dxa"/>
            <w:vAlign w:val="center"/>
          </w:tcPr>
          <w:p w14:paraId="0B503885">
            <w:pPr>
              <w:widowControl/>
              <w:spacing w:line="560" w:lineRule="exact"/>
              <w:jc w:val="center"/>
              <w:rPr>
                <w:rFonts w:ascii="宋体" w:hAnsi="宋体" w:cs="仿宋"/>
                <w:kern w:val="0"/>
                <w:sz w:val="24"/>
                <w:szCs w:val="24"/>
              </w:rPr>
            </w:pPr>
          </w:p>
        </w:tc>
      </w:tr>
      <w:tr w14:paraId="282D0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4F91940C">
            <w:pPr>
              <w:widowControl/>
              <w:jc w:val="center"/>
              <w:rPr>
                <w:rFonts w:ascii="宋体" w:hAnsi="宋体" w:cs="宋体"/>
                <w:kern w:val="0"/>
                <w:sz w:val="24"/>
                <w:szCs w:val="24"/>
                <w:lang w:val="en-AU"/>
              </w:rPr>
            </w:pPr>
            <w:r>
              <w:rPr>
                <w:rFonts w:ascii="宋体" w:hAnsi="宋体" w:cs="宋体"/>
                <w:kern w:val="0"/>
                <w:sz w:val="24"/>
                <w:szCs w:val="24"/>
                <w:lang w:val="en-AU"/>
              </w:rPr>
              <w:t>5</w:t>
            </w:r>
          </w:p>
        </w:tc>
        <w:tc>
          <w:tcPr>
            <w:tcW w:w="3440" w:type="dxa"/>
            <w:vAlign w:val="center"/>
          </w:tcPr>
          <w:p w14:paraId="599D09C7">
            <w:pPr>
              <w:widowControl/>
              <w:spacing w:line="560" w:lineRule="exact"/>
              <w:jc w:val="left"/>
              <w:rPr>
                <w:rFonts w:ascii="宋体" w:hAnsi="宋体" w:cs="仿宋"/>
                <w:kern w:val="0"/>
                <w:sz w:val="24"/>
                <w:szCs w:val="24"/>
              </w:rPr>
            </w:pPr>
            <w:r>
              <w:rPr>
                <w:rFonts w:hint="eastAsia" w:ascii="宋体" w:hAnsi="宋体" w:cs="仿宋"/>
                <w:kern w:val="0"/>
                <w:sz w:val="24"/>
                <w:szCs w:val="24"/>
              </w:rPr>
              <w:t>节子洗涤机、渣浆洗涤机</w:t>
            </w:r>
          </w:p>
        </w:tc>
        <w:tc>
          <w:tcPr>
            <w:tcW w:w="2100" w:type="dxa"/>
            <w:vAlign w:val="center"/>
          </w:tcPr>
          <w:p w14:paraId="6F9C69A8">
            <w:pPr>
              <w:widowControl/>
              <w:spacing w:line="560" w:lineRule="exact"/>
              <w:jc w:val="center"/>
              <w:rPr>
                <w:rFonts w:ascii="宋体" w:hAnsi="宋体" w:cs="仿宋"/>
                <w:kern w:val="0"/>
                <w:sz w:val="24"/>
                <w:szCs w:val="24"/>
              </w:rPr>
            </w:pPr>
          </w:p>
        </w:tc>
        <w:tc>
          <w:tcPr>
            <w:tcW w:w="1559" w:type="dxa"/>
            <w:vAlign w:val="center"/>
          </w:tcPr>
          <w:p w14:paraId="09563B0E">
            <w:pPr>
              <w:widowControl/>
              <w:spacing w:line="560" w:lineRule="exact"/>
              <w:jc w:val="center"/>
              <w:rPr>
                <w:rFonts w:ascii="宋体" w:hAnsi="宋体" w:cs="仿宋"/>
                <w:kern w:val="0"/>
                <w:sz w:val="24"/>
                <w:szCs w:val="24"/>
              </w:rPr>
            </w:pPr>
          </w:p>
        </w:tc>
        <w:tc>
          <w:tcPr>
            <w:tcW w:w="1155" w:type="dxa"/>
            <w:vAlign w:val="center"/>
          </w:tcPr>
          <w:p w14:paraId="28CBC4A7">
            <w:pPr>
              <w:widowControl/>
              <w:spacing w:line="560" w:lineRule="exact"/>
              <w:jc w:val="center"/>
              <w:rPr>
                <w:rFonts w:ascii="宋体" w:hAnsi="宋体" w:cs="仿宋"/>
                <w:kern w:val="0"/>
                <w:sz w:val="24"/>
                <w:szCs w:val="24"/>
              </w:rPr>
            </w:pPr>
          </w:p>
        </w:tc>
      </w:tr>
      <w:tr w14:paraId="67A5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2451CB02">
            <w:pPr>
              <w:widowControl/>
              <w:jc w:val="center"/>
              <w:rPr>
                <w:rFonts w:ascii="宋体" w:hAnsi="宋体" w:cs="宋体"/>
                <w:kern w:val="0"/>
                <w:sz w:val="24"/>
                <w:szCs w:val="24"/>
                <w:lang w:val="en-AU"/>
              </w:rPr>
            </w:pPr>
            <w:r>
              <w:rPr>
                <w:rFonts w:ascii="宋体" w:hAnsi="宋体" w:cs="宋体"/>
                <w:kern w:val="0"/>
                <w:sz w:val="24"/>
                <w:szCs w:val="24"/>
                <w:lang w:val="en-AU"/>
              </w:rPr>
              <w:t>6</w:t>
            </w:r>
          </w:p>
        </w:tc>
        <w:tc>
          <w:tcPr>
            <w:tcW w:w="3440" w:type="dxa"/>
            <w:vAlign w:val="center"/>
          </w:tcPr>
          <w:p w14:paraId="63B5EDFD">
            <w:pPr>
              <w:widowControl/>
              <w:spacing w:line="560" w:lineRule="exact"/>
              <w:jc w:val="left"/>
              <w:rPr>
                <w:rFonts w:ascii="宋体" w:hAnsi="宋体" w:cs="仿宋"/>
                <w:kern w:val="0"/>
                <w:sz w:val="24"/>
                <w:szCs w:val="24"/>
              </w:rPr>
            </w:pPr>
            <w:r>
              <w:rPr>
                <w:rFonts w:hint="eastAsia" w:ascii="宋体" w:hAnsi="宋体" w:cs="仿宋"/>
                <w:kern w:val="0"/>
                <w:sz w:val="24"/>
                <w:szCs w:val="24"/>
              </w:rPr>
              <w:t>双盘磨</w:t>
            </w:r>
          </w:p>
        </w:tc>
        <w:tc>
          <w:tcPr>
            <w:tcW w:w="2100" w:type="dxa"/>
            <w:vAlign w:val="center"/>
          </w:tcPr>
          <w:p w14:paraId="71F4A6E0">
            <w:pPr>
              <w:widowControl/>
              <w:spacing w:line="560" w:lineRule="exact"/>
              <w:jc w:val="center"/>
              <w:rPr>
                <w:rFonts w:ascii="宋体" w:hAnsi="宋体" w:cs="仿宋"/>
                <w:kern w:val="0"/>
                <w:sz w:val="24"/>
                <w:szCs w:val="24"/>
              </w:rPr>
            </w:pPr>
          </w:p>
        </w:tc>
        <w:tc>
          <w:tcPr>
            <w:tcW w:w="1559" w:type="dxa"/>
            <w:vAlign w:val="center"/>
          </w:tcPr>
          <w:p w14:paraId="4310A43C">
            <w:pPr>
              <w:widowControl/>
              <w:spacing w:line="560" w:lineRule="exact"/>
              <w:jc w:val="center"/>
              <w:rPr>
                <w:rFonts w:ascii="宋体" w:hAnsi="宋体" w:cs="仿宋"/>
                <w:kern w:val="0"/>
                <w:sz w:val="24"/>
                <w:szCs w:val="24"/>
              </w:rPr>
            </w:pPr>
          </w:p>
        </w:tc>
        <w:tc>
          <w:tcPr>
            <w:tcW w:w="1155" w:type="dxa"/>
            <w:vAlign w:val="center"/>
          </w:tcPr>
          <w:p w14:paraId="4C08C5B8">
            <w:pPr>
              <w:widowControl/>
              <w:spacing w:line="560" w:lineRule="exact"/>
              <w:jc w:val="center"/>
              <w:rPr>
                <w:rFonts w:ascii="宋体" w:hAnsi="宋体" w:cs="仿宋"/>
                <w:kern w:val="0"/>
                <w:sz w:val="24"/>
                <w:szCs w:val="24"/>
              </w:rPr>
            </w:pPr>
          </w:p>
        </w:tc>
      </w:tr>
      <w:tr w14:paraId="1AB5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756FE2F7">
            <w:pPr>
              <w:widowControl/>
              <w:jc w:val="center"/>
              <w:rPr>
                <w:rFonts w:ascii="宋体" w:hAnsi="宋体" w:cs="宋体"/>
                <w:kern w:val="0"/>
                <w:sz w:val="24"/>
                <w:szCs w:val="24"/>
                <w:lang w:val="en-AU"/>
              </w:rPr>
            </w:pPr>
            <w:r>
              <w:rPr>
                <w:rFonts w:ascii="宋体" w:hAnsi="宋体" w:cs="宋体"/>
                <w:kern w:val="0"/>
                <w:sz w:val="24"/>
                <w:szCs w:val="24"/>
                <w:lang w:val="en-AU"/>
              </w:rPr>
              <w:t>7</w:t>
            </w:r>
          </w:p>
        </w:tc>
        <w:tc>
          <w:tcPr>
            <w:tcW w:w="3440" w:type="dxa"/>
            <w:vAlign w:val="center"/>
          </w:tcPr>
          <w:p w14:paraId="58D6CC40">
            <w:pPr>
              <w:widowControl/>
              <w:spacing w:line="560" w:lineRule="exact"/>
              <w:jc w:val="left"/>
              <w:rPr>
                <w:rFonts w:ascii="宋体" w:hAnsi="宋体" w:cs="仿宋"/>
                <w:kern w:val="0"/>
                <w:sz w:val="24"/>
                <w:szCs w:val="24"/>
              </w:rPr>
            </w:pPr>
            <w:r>
              <w:rPr>
                <w:rFonts w:hint="eastAsia" w:ascii="宋体" w:hAnsi="宋体" w:cs="仿宋"/>
                <w:sz w:val="24"/>
                <w:szCs w:val="24"/>
              </w:rPr>
              <w:t>双辊洗浆机</w:t>
            </w:r>
          </w:p>
        </w:tc>
        <w:tc>
          <w:tcPr>
            <w:tcW w:w="2100" w:type="dxa"/>
            <w:vAlign w:val="center"/>
          </w:tcPr>
          <w:p w14:paraId="4979582C">
            <w:pPr>
              <w:widowControl/>
              <w:spacing w:line="560" w:lineRule="exact"/>
              <w:jc w:val="center"/>
              <w:rPr>
                <w:rFonts w:ascii="宋体" w:hAnsi="宋体" w:cs="仿宋"/>
                <w:kern w:val="0"/>
                <w:sz w:val="24"/>
                <w:szCs w:val="24"/>
              </w:rPr>
            </w:pPr>
          </w:p>
        </w:tc>
        <w:tc>
          <w:tcPr>
            <w:tcW w:w="1559" w:type="dxa"/>
            <w:vAlign w:val="center"/>
          </w:tcPr>
          <w:p w14:paraId="052E41AB">
            <w:pPr>
              <w:widowControl/>
              <w:spacing w:line="560" w:lineRule="exact"/>
              <w:jc w:val="center"/>
              <w:rPr>
                <w:rFonts w:ascii="宋体" w:hAnsi="宋体" w:cs="仿宋"/>
                <w:kern w:val="0"/>
                <w:sz w:val="24"/>
                <w:szCs w:val="24"/>
              </w:rPr>
            </w:pPr>
            <w:r>
              <w:rPr>
                <w:rFonts w:hint="eastAsia" w:ascii="宋体" w:hAnsi="宋体" w:cs="仿宋"/>
                <w:kern w:val="0"/>
                <w:sz w:val="24"/>
                <w:szCs w:val="24"/>
              </w:rPr>
              <w:t>5</w:t>
            </w:r>
          </w:p>
        </w:tc>
        <w:tc>
          <w:tcPr>
            <w:tcW w:w="1155" w:type="dxa"/>
            <w:vAlign w:val="center"/>
          </w:tcPr>
          <w:p w14:paraId="7352028E">
            <w:pPr>
              <w:widowControl/>
              <w:spacing w:line="560" w:lineRule="exact"/>
              <w:jc w:val="center"/>
              <w:rPr>
                <w:rFonts w:ascii="宋体" w:hAnsi="宋体" w:cs="仿宋"/>
                <w:kern w:val="0"/>
                <w:sz w:val="24"/>
                <w:szCs w:val="24"/>
              </w:rPr>
            </w:pPr>
          </w:p>
        </w:tc>
      </w:tr>
      <w:tr w14:paraId="3542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257AF437">
            <w:pPr>
              <w:widowControl/>
              <w:jc w:val="center"/>
              <w:rPr>
                <w:rFonts w:ascii="宋体" w:hAnsi="宋体" w:cs="宋体"/>
                <w:kern w:val="0"/>
                <w:sz w:val="24"/>
                <w:szCs w:val="24"/>
                <w:lang w:val="en-AU"/>
              </w:rPr>
            </w:pPr>
            <w:r>
              <w:rPr>
                <w:rFonts w:ascii="宋体" w:hAnsi="宋体" w:cs="宋体"/>
                <w:kern w:val="0"/>
                <w:sz w:val="24"/>
                <w:szCs w:val="24"/>
                <w:lang w:val="en-AU"/>
              </w:rPr>
              <w:t>8</w:t>
            </w:r>
          </w:p>
        </w:tc>
        <w:tc>
          <w:tcPr>
            <w:tcW w:w="3440" w:type="dxa"/>
            <w:vAlign w:val="center"/>
          </w:tcPr>
          <w:p w14:paraId="33FFAC6E">
            <w:pPr>
              <w:widowControl/>
              <w:spacing w:line="560" w:lineRule="exact"/>
              <w:jc w:val="left"/>
              <w:rPr>
                <w:rFonts w:ascii="宋体" w:hAnsi="宋体" w:cs="仿宋"/>
                <w:kern w:val="0"/>
                <w:sz w:val="24"/>
                <w:szCs w:val="24"/>
              </w:rPr>
            </w:pPr>
            <w:r>
              <w:rPr>
                <w:rFonts w:hint="eastAsia" w:ascii="宋体" w:hAnsi="宋体" w:cs="仿宋"/>
                <w:kern w:val="0"/>
                <w:sz w:val="24"/>
                <w:szCs w:val="24"/>
              </w:rPr>
              <w:t>中浓贮浆塔</w:t>
            </w:r>
          </w:p>
        </w:tc>
        <w:tc>
          <w:tcPr>
            <w:tcW w:w="2100" w:type="dxa"/>
            <w:vAlign w:val="center"/>
          </w:tcPr>
          <w:p w14:paraId="69CA3A9F">
            <w:pPr>
              <w:widowControl/>
              <w:spacing w:line="560" w:lineRule="exact"/>
              <w:jc w:val="center"/>
              <w:rPr>
                <w:rFonts w:ascii="宋体" w:hAnsi="宋体" w:cs="仿宋"/>
                <w:kern w:val="0"/>
                <w:sz w:val="24"/>
                <w:szCs w:val="24"/>
              </w:rPr>
            </w:pPr>
          </w:p>
        </w:tc>
        <w:tc>
          <w:tcPr>
            <w:tcW w:w="1559" w:type="dxa"/>
            <w:vAlign w:val="center"/>
          </w:tcPr>
          <w:p w14:paraId="7DD9A117">
            <w:pPr>
              <w:widowControl/>
              <w:spacing w:line="560" w:lineRule="exact"/>
              <w:jc w:val="center"/>
              <w:rPr>
                <w:rFonts w:ascii="宋体" w:hAnsi="宋体" w:cs="仿宋"/>
                <w:kern w:val="0"/>
                <w:sz w:val="24"/>
                <w:szCs w:val="24"/>
              </w:rPr>
            </w:pPr>
            <w:r>
              <w:rPr>
                <w:rFonts w:ascii="宋体" w:hAnsi="宋体" w:cs="仿宋"/>
                <w:kern w:val="0"/>
                <w:sz w:val="24"/>
                <w:szCs w:val="24"/>
              </w:rPr>
              <w:t>1</w:t>
            </w:r>
          </w:p>
        </w:tc>
        <w:tc>
          <w:tcPr>
            <w:tcW w:w="1155" w:type="dxa"/>
            <w:vAlign w:val="center"/>
          </w:tcPr>
          <w:p w14:paraId="6D58CEE3">
            <w:pPr>
              <w:widowControl/>
              <w:spacing w:line="560" w:lineRule="exact"/>
              <w:jc w:val="center"/>
              <w:rPr>
                <w:rFonts w:ascii="宋体" w:hAnsi="宋体" w:cs="仿宋"/>
                <w:kern w:val="0"/>
                <w:sz w:val="24"/>
                <w:szCs w:val="24"/>
              </w:rPr>
            </w:pPr>
          </w:p>
        </w:tc>
      </w:tr>
      <w:tr w14:paraId="0142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34FCAFCA">
            <w:pPr>
              <w:widowControl/>
              <w:jc w:val="center"/>
              <w:rPr>
                <w:rFonts w:ascii="宋体" w:hAnsi="宋体" w:cs="宋体"/>
                <w:kern w:val="0"/>
                <w:sz w:val="24"/>
                <w:szCs w:val="24"/>
                <w:lang w:val="en-AU"/>
              </w:rPr>
            </w:pPr>
            <w:r>
              <w:rPr>
                <w:rFonts w:ascii="宋体" w:hAnsi="宋体" w:cs="宋体"/>
                <w:kern w:val="0"/>
                <w:sz w:val="24"/>
                <w:szCs w:val="24"/>
                <w:lang w:val="en-AU"/>
              </w:rPr>
              <w:t>9</w:t>
            </w:r>
          </w:p>
        </w:tc>
        <w:tc>
          <w:tcPr>
            <w:tcW w:w="3440" w:type="dxa"/>
            <w:vAlign w:val="center"/>
          </w:tcPr>
          <w:p w14:paraId="6D293137">
            <w:pPr>
              <w:widowControl/>
              <w:spacing w:line="560" w:lineRule="exact"/>
              <w:jc w:val="left"/>
              <w:rPr>
                <w:rFonts w:ascii="宋体" w:hAnsi="宋体" w:cs="仿宋"/>
                <w:kern w:val="0"/>
                <w:sz w:val="24"/>
                <w:szCs w:val="24"/>
              </w:rPr>
            </w:pPr>
            <w:r>
              <w:rPr>
                <w:rFonts w:hint="eastAsia" w:ascii="宋体" w:hAnsi="宋体" w:cs="仿宋"/>
                <w:kern w:val="0"/>
                <w:sz w:val="24"/>
                <w:szCs w:val="24"/>
              </w:rPr>
              <w:t>洗选槽罐</w:t>
            </w:r>
          </w:p>
        </w:tc>
        <w:tc>
          <w:tcPr>
            <w:tcW w:w="2100" w:type="dxa"/>
            <w:vAlign w:val="center"/>
          </w:tcPr>
          <w:p w14:paraId="155E3FCD">
            <w:pPr>
              <w:widowControl/>
              <w:spacing w:line="560" w:lineRule="exact"/>
              <w:jc w:val="center"/>
              <w:rPr>
                <w:rFonts w:ascii="宋体" w:hAnsi="宋体" w:cs="仿宋"/>
                <w:kern w:val="0"/>
                <w:sz w:val="24"/>
                <w:szCs w:val="24"/>
              </w:rPr>
            </w:pPr>
          </w:p>
        </w:tc>
        <w:tc>
          <w:tcPr>
            <w:tcW w:w="1559" w:type="dxa"/>
            <w:vAlign w:val="center"/>
          </w:tcPr>
          <w:p w14:paraId="57E25A17">
            <w:pPr>
              <w:widowControl/>
              <w:spacing w:line="560" w:lineRule="exact"/>
              <w:jc w:val="center"/>
              <w:rPr>
                <w:rFonts w:ascii="宋体" w:hAnsi="宋体" w:cs="仿宋"/>
                <w:kern w:val="0"/>
                <w:sz w:val="24"/>
                <w:szCs w:val="24"/>
              </w:rPr>
            </w:pPr>
          </w:p>
        </w:tc>
        <w:tc>
          <w:tcPr>
            <w:tcW w:w="1155" w:type="dxa"/>
            <w:vAlign w:val="center"/>
          </w:tcPr>
          <w:p w14:paraId="665D81DE">
            <w:pPr>
              <w:widowControl/>
              <w:spacing w:line="560" w:lineRule="exact"/>
              <w:jc w:val="center"/>
              <w:rPr>
                <w:rFonts w:ascii="宋体" w:hAnsi="宋体" w:cs="仿宋"/>
                <w:kern w:val="0"/>
                <w:sz w:val="24"/>
                <w:szCs w:val="24"/>
              </w:rPr>
            </w:pPr>
          </w:p>
        </w:tc>
      </w:tr>
      <w:tr w14:paraId="4EAC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53D96B76">
            <w:pPr>
              <w:widowControl/>
              <w:jc w:val="center"/>
              <w:rPr>
                <w:rFonts w:ascii="宋体" w:hAnsi="宋体" w:cs="宋体"/>
                <w:kern w:val="0"/>
                <w:sz w:val="24"/>
                <w:szCs w:val="24"/>
                <w:lang w:val="en-AU"/>
              </w:rPr>
            </w:pPr>
            <w:r>
              <w:rPr>
                <w:rFonts w:ascii="宋体" w:hAnsi="宋体" w:cs="宋体"/>
                <w:kern w:val="0"/>
                <w:sz w:val="24"/>
                <w:szCs w:val="24"/>
                <w:lang w:val="en-AU"/>
              </w:rPr>
              <w:t>10</w:t>
            </w:r>
          </w:p>
        </w:tc>
        <w:tc>
          <w:tcPr>
            <w:tcW w:w="3440" w:type="dxa"/>
            <w:vAlign w:val="center"/>
          </w:tcPr>
          <w:p w14:paraId="11BBBAA6">
            <w:pPr>
              <w:widowControl/>
              <w:jc w:val="left"/>
              <w:rPr>
                <w:rFonts w:ascii="宋体" w:hAnsi="宋体" w:cs="仿宋"/>
                <w:kern w:val="0"/>
                <w:sz w:val="24"/>
                <w:szCs w:val="24"/>
              </w:rPr>
            </w:pPr>
            <w:r>
              <w:rPr>
                <w:rFonts w:hint="eastAsia" w:ascii="宋体" w:hAnsi="宋体" w:cs="宋体"/>
                <w:kern w:val="0"/>
                <w:sz w:val="24"/>
                <w:szCs w:val="24"/>
              </w:rPr>
              <w:t>浆泵</w:t>
            </w:r>
          </w:p>
        </w:tc>
        <w:tc>
          <w:tcPr>
            <w:tcW w:w="2100" w:type="dxa"/>
            <w:vAlign w:val="center"/>
          </w:tcPr>
          <w:p w14:paraId="0FE8F87D">
            <w:pPr>
              <w:widowControl/>
              <w:spacing w:line="560" w:lineRule="exact"/>
              <w:jc w:val="center"/>
              <w:rPr>
                <w:rFonts w:ascii="宋体" w:hAnsi="宋体" w:cs="仿宋"/>
                <w:kern w:val="0"/>
                <w:sz w:val="24"/>
                <w:szCs w:val="24"/>
              </w:rPr>
            </w:pPr>
          </w:p>
        </w:tc>
        <w:tc>
          <w:tcPr>
            <w:tcW w:w="1559" w:type="dxa"/>
            <w:vAlign w:val="center"/>
          </w:tcPr>
          <w:p w14:paraId="681EEB71">
            <w:pPr>
              <w:widowControl/>
              <w:spacing w:line="560" w:lineRule="exact"/>
              <w:jc w:val="center"/>
              <w:rPr>
                <w:rFonts w:ascii="宋体" w:hAnsi="宋体" w:cs="仿宋"/>
                <w:kern w:val="0"/>
                <w:sz w:val="24"/>
                <w:szCs w:val="24"/>
              </w:rPr>
            </w:pPr>
          </w:p>
        </w:tc>
        <w:tc>
          <w:tcPr>
            <w:tcW w:w="1155" w:type="dxa"/>
            <w:vAlign w:val="center"/>
          </w:tcPr>
          <w:p w14:paraId="5F65EA25">
            <w:pPr>
              <w:widowControl/>
              <w:spacing w:line="560" w:lineRule="exact"/>
              <w:jc w:val="center"/>
              <w:rPr>
                <w:rFonts w:ascii="宋体" w:hAnsi="宋体" w:cs="仿宋"/>
                <w:kern w:val="0"/>
                <w:sz w:val="24"/>
                <w:szCs w:val="24"/>
              </w:rPr>
            </w:pPr>
          </w:p>
        </w:tc>
      </w:tr>
      <w:tr w14:paraId="3E20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3233547F">
            <w:pPr>
              <w:widowControl/>
              <w:jc w:val="center"/>
              <w:rPr>
                <w:rFonts w:ascii="宋体" w:hAnsi="宋体" w:cs="宋体"/>
                <w:kern w:val="0"/>
                <w:sz w:val="24"/>
                <w:szCs w:val="24"/>
                <w:lang w:val="en-AU"/>
              </w:rPr>
            </w:pPr>
            <w:r>
              <w:rPr>
                <w:rFonts w:hint="eastAsia" w:ascii="宋体" w:hAnsi="宋体" w:cs="宋体"/>
                <w:kern w:val="0"/>
                <w:sz w:val="24"/>
                <w:szCs w:val="24"/>
              </w:rPr>
              <w:t>1</w:t>
            </w:r>
            <w:r>
              <w:rPr>
                <w:rFonts w:ascii="宋体" w:hAnsi="宋体" w:cs="宋体"/>
                <w:kern w:val="0"/>
                <w:sz w:val="24"/>
                <w:szCs w:val="24"/>
                <w:lang w:val="en-AU"/>
              </w:rPr>
              <w:t>1</w:t>
            </w:r>
          </w:p>
        </w:tc>
        <w:tc>
          <w:tcPr>
            <w:tcW w:w="3440" w:type="dxa"/>
            <w:vAlign w:val="center"/>
          </w:tcPr>
          <w:p w14:paraId="201BA0BA">
            <w:pPr>
              <w:widowControl/>
              <w:jc w:val="left"/>
              <w:rPr>
                <w:rFonts w:ascii="宋体" w:hAnsi="宋体" w:cs="仿宋"/>
                <w:kern w:val="0"/>
                <w:sz w:val="24"/>
                <w:szCs w:val="24"/>
              </w:rPr>
            </w:pPr>
            <w:r>
              <w:rPr>
                <w:rFonts w:hint="eastAsia" w:ascii="宋体" w:hAnsi="宋体" w:cs="宋体"/>
                <w:kern w:val="0"/>
                <w:sz w:val="24"/>
                <w:szCs w:val="24"/>
              </w:rPr>
              <w:t>中浓浆泵</w:t>
            </w:r>
          </w:p>
        </w:tc>
        <w:tc>
          <w:tcPr>
            <w:tcW w:w="2100" w:type="dxa"/>
            <w:vAlign w:val="center"/>
          </w:tcPr>
          <w:p w14:paraId="7417281E">
            <w:pPr>
              <w:widowControl/>
              <w:spacing w:line="560" w:lineRule="exact"/>
              <w:jc w:val="center"/>
              <w:rPr>
                <w:rFonts w:ascii="宋体" w:hAnsi="宋体" w:cs="仿宋"/>
                <w:kern w:val="0"/>
                <w:sz w:val="24"/>
                <w:szCs w:val="24"/>
              </w:rPr>
            </w:pPr>
          </w:p>
        </w:tc>
        <w:tc>
          <w:tcPr>
            <w:tcW w:w="1559" w:type="dxa"/>
            <w:vAlign w:val="center"/>
          </w:tcPr>
          <w:p w14:paraId="49029590">
            <w:pPr>
              <w:widowControl/>
              <w:spacing w:line="560" w:lineRule="exact"/>
              <w:jc w:val="center"/>
              <w:rPr>
                <w:rFonts w:ascii="宋体" w:hAnsi="宋体" w:cs="仿宋"/>
                <w:kern w:val="0"/>
                <w:sz w:val="24"/>
                <w:szCs w:val="24"/>
              </w:rPr>
            </w:pPr>
          </w:p>
        </w:tc>
        <w:tc>
          <w:tcPr>
            <w:tcW w:w="1155" w:type="dxa"/>
            <w:vAlign w:val="center"/>
          </w:tcPr>
          <w:p w14:paraId="44BFC85A">
            <w:pPr>
              <w:widowControl/>
              <w:spacing w:line="560" w:lineRule="exact"/>
              <w:jc w:val="center"/>
              <w:rPr>
                <w:rFonts w:ascii="宋体" w:hAnsi="宋体" w:cs="仿宋"/>
                <w:kern w:val="0"/>
                <w:sz w:val="24"/>
                <w:szCs w:val="24"/>
              </w:rPr>
            </w:pPr>
          </w:p>
        </w:tc>
      </w:tr>
      <w:tr w14:paraId="0B47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26849EE2">
            <w:pPr>
              <w:widowControl/>
              <w:jc w:val="center"/>
              <w:rPr>
                <w:rFonts w:ascii="宋体" w:hAnsi="宋体" w:cs="宋体"/>
                <w:kern w:val="0"/>
                <w:sz w:val="24"/>
                <w:szCs w:val="24"/>
                <w:lang w:val="en-AU"/>
              </w:rPr>
            </w:pPr>
            <w:r>
              <w:rPr>
                <w:rFonts w:hint="eastAsia" w:ascii="宋体" w:hAnsi="宋体" w:cs="宋体"/>
                <w:kern w:val="0"/>
                <w:sz w:val="24"/>
                <w:szCs w:val="24"/>
              </w:rPr>
              <w:t>1</w:t>
            </w:r>
            <w:r>
              <w:rPr>
                <w:rFonts w:ascii="宋体" w:hAnsi="宋体" w:cs="宋体"/>
                <w:kern w:val="0"/>
                <w:sz w:val="24"/>
                <w:szCs w:val="24"/>
                <w:lang w:val="en-AU"/>
              </w:rPr>
              <w:t>2</w:t>
            </w:r>
          </w:p>
        </w:tc>
        <w:tc>
          <w:tcPr>
            <w:tcW w:w="3440" w:type="dxa"/>
            <w:vAlign w:val="center"/>
          </w:tcPr>
          <w:p w14:paraId="18075863">
            <w:pPr>
              <w:widowControl/>
              <w:jc w:val="left"/>
              <w:rPr>
                <w:rFonts w:ascii="宋体" w:hAnsi="宋体" w:cs="仿宋"/>
                <w:kern w:val="0"/>
                <w:sz w:val="24"/>
                <w:szCs w:val="24"/>
              </w:rPr>
            </w:pPr>
            <w:r>
              <w:rPr>
                <w:rFonts w:hint="eastAsia" w:ascii="宋体" w:hAnsi="宋体" w:cs="宋体"/>
                <w:kern w:val="0"/>
                <w:sz w:val="24"/>
                <w:szCs w:val="24"/>
              </w:rPr>
              <w:t>密封水泵</w:t>
            </w:r>
          </w:p>
        </w:tc>
        <w:tc>
          <w:tcPr>
            <w:tcW w:w="2100" w:type="dxa"/>
            <w:vAlign w:val="center"/>
          </w:tcPr>
          <w:p w14:paraId="287DF64B">
            <w:pPr>
              <w:widowControl/>
              <w:spacing w:line="560" w:lineRule="exact"/>
              <w:jc w:val="center"/>
              <w:rPr>
                <w:rFonts w:ascii="宋体" w:hAnsi="宋体" w:cs="仿宋"/>
                <w:kern w:val="0"/>
                <w:sz w:val="24"/>
                <w:szCs w:val="24"/>
              </w:rPr>
            </w:pPr>
          </w:p>
        </w:tc>
        <w:tc>
          <w:tcPr>
            <w:tcW w:w="1559" w:type="dxa"/>
            <w:vAlign w:val="center"/>
          </w:tcPr>
          <w:p w14:paraId="5535A404">
            <w:pPr>
              <w:widowControl/>
              <w:spacing w:line="560" w:lineRule="exact"/>
              <w:jc w:val="center"/>
              <w:rPr>
                <w:rFonts w:ascii="宋体" w:hAnsi="宋体" w:cs="仿宋"/>
                <w:kern w:val="0"/>
                <w:sz w:val="24"/>
                <w:szCs w:val="24"/>
              </w:rPr>
            </w:pPr>
          </w:p>
        </w:tc>
        <w:tc>
          <w:tcPr>
            <w:tcW w:w="1155" w:type="dxa"/>
            <w:vAlign w:val="center"/>
          </w:tcPr>
          <w:p w14:paraId="267EEE97">
            <w:pPr>
              <w:widowControl/>
              <w:spacing w:line="560" w:lineRule="exact"/>
              <w:jc w:val="center"/>
              <w:rPr>
                <w:rFonts w:ascii="宋体" w:hAnsi="宋体" w:cs="仿宋"/>
                <w:kern w:val="0"/>
                <w:sz w:val="24"/>
                <w:szCs w:val="24"/>
              </w:rPr>
            </w:pPr>
          </w:p>
        </w:tc>
      </w:tr>
      <w:tr w14:paraId="5CDF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2DF3C710">
            <w:pPr>
              <w:widowControl/>
              <w:jc w:val="center"/>
              <w:rPr>
                <w:rFonts w:ascii="宋体" w:hAnsi="宋体" w:eastAsia="等线" w:cs="宋体"/>
                <w:kern w:val="0"/>
                <w:sz w:val="24"/>
                <w:szCs w:val="24"/>
                <w:lang w:val="en-AU"/>
              </w:rPr>
            </w:pPr>
            <w:r>
              <w:rPr>
                <w:rFonts w:hint="eastAsia" w:ascii="宋体" w:hAnsi="宋体" w:cs="宋体"/>
                <w:kern w:val="0"/>
                <w:sz w:val="24"/>
                <w:szCs w:val="24"/>
              </w:rPr>
              <w:t>1</w:t>
            </w:r>
            <w:r>
              <w:rPr>
                <w:rFonts w:ascii="宋体" w:hAnsi="宋体" w:cs="宋体"/>
                <w:kern w:val="0"/>
                <w:sz w:val="24"/>
                <w:szCs w:val="24"/>
                <w:lang w:val="en-AU"/>
              </w:rPr>
              <w:t>3</w:t>
            </w:r>
          </w:p>
        </w:tc>
        <w:tc>
          <w:tcPr>
            <w:tcW w:w="3440" w:type="dxa"/>
            <w:vAlign w:val="center"/>
          </w:tcPr>
          <w:p w14:paraId="4322F160">
            <w:pPr>
              <w:widowControl/>
              <w:jc w:val="left"/>
              <w:rPr>
                <w:rFonts w:ascii="宋体" w:hAnsi="宋体" w:cs="仿宋"/>
                <w:kern w:val="0"/>
                <w:sz w:val="24"/>
                <w:szCs w:val="24"/>
              </w:rPr>
            </w:pPr>
            <w:r>
              <w:rPr>
                <w:rFonts w:hint="eastAsia" w:ascii="宋体" w:hAnsi="宋体" w:cs="仿宋"/>
                <w:kern w:val="0"/>
                <w:sz w:val="24"/>
                <w:szCs w:val="24"/>
              </w:rPr>
              <w:t>稀释液泵</w:t>
            </w:r>
          </w:p>
        </w:tc>
        <w:tc>
          <w:tcPr>
            <w:tcW w:w="2100" w:type="dxa"/>
            <w:vAlign w:val="center"/>
          </w:tcPr>
          <w:p w14:paraId="6B1ABA67">
            <w:pPr>
              <w:widowControl/>
              <w:spacing w:line="560" w:lineRule="exact"/>
              <w:jc w:val="center"/>
              <w:rPr>
                <w:rFonts w:ascii="宋体" w:hAnsi="宋体" w:cs="仿宋"/>
                <w:kern w:val="0"/>
                <w:sz w:val="24"/>
                <w:szCs w:val="24"/>
              </w:rPr>
            </w:pPr>
          </w:p>
        </w:tc>
        <w:tc>
          <w:tcPr>
            <w:tcW w:w="1559" w:type="dxa"/>
            <w:vAlign w:val="center"/>
          </w:tcPr>
          <w:p w14:paraId="6E3C6EDA">
            <w:pPr>
              <w:widowControl/>
              <w:spacing w:line="560" w:lineRule="exact"/>
              <w:jc w:val="center"/>
              <w:rPr>
                <w:rFonts w:ascii="宋体" w:hAnsi="宋体" w:cs="仿宋"/>
                <w:kern w:val="0"/>
                <w:sz w:val="24"/>
                <w:szCs w:val="24"/>
              </w:rPr>
            </w:pPr>
          </w:p>
        </w:tc>
        <w:tc>
          <w:tcPr>
            <w:tcW w:w="1155" w:type="dxa"/>
            <w:vAlign w:val="center"/>
          </w:tcPr>
          <w:p w14:paraId="260AAFCA">
            <w:pPr>
              <w:widowControl/>
              <w:spacing w:line="560" w:lineRule="exact"/>
              <w:jc w:val="center"/>
              <w:rPr>
                <w:rFonts w:ascii="宋体" w:hAnsi="宋体" w:cs="仿宋"/>
                <w:kern w:val="0"/>
                <w:sz w:val="24"/>
                <w:szCs w:val="24"/>
              </w:rPr>
            </w:pPr>
          </w:p>
        </w:tc>
      </w:tr>
      <w:tr w14:paraId="307F6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7EEA92FD">
            <w:pPr>
              <w:widowControl/>
              <w:jc w:val="center"/>
              <w:rPr>
                <w:rFonts w:ascii="宋体" w:hAnsi="宋体" w:eastAsia="等线" w:cs="宋体"/>
                <w:kern w:val="0"/>
                <w:sz w:val="24"/>
                <w:szCs w:val="24"/>
                <w:lang w:val="en-AU"/>
              </w:rPr>
            </w:pPr>
            <w:r>
              <w:rPr>
                <w:rFonts w:hint="eastAsia" w:ascii="宋体" w:hAnsi="宋体" w:cs="宋体"/>
                <w:kern w:val="0"/>
                <w:sz w:val="24"/>
                <w:szCs w:val="24"/>
              </w:rPr>
              <w:t>1</w:t>
            </w:r>
            <w:r>
              <w:rPr>
                <w:rFonts w:ascii="宋体" w:hAnsi="宋体" w:cs="宋体"/>
                <w:kern w:val="0"/>
                <w:sz w:val="24"/>
                <w:szCs w:val="24"/>
                <w:lang w:val="en-AU"/>
              </w:rPr>
              <w:t>4</w:t>
            </w:r>
          </w:p>
        </w:tc>
        <w:tc>
          <w:tcPr>
            <w:tcW w:w="3440" w:type="dxa"/>
            <w:vAlign w:val="center"/>
          </w:tcPr>
          <w:p w14:paraId="75E2D904">
            <w:pPr>
              <w:widowControl/>
              <w:jc w:val="left"/>
              <w:rPr>
                <w:rFonts w:ascii="宋体" w:hAnsi="宋体" w:cs="仿宋"/>
                <w:kern w:val="0"/>
                <w:sz w:val="24"/>
                <w:szCs w:val="24"/>
              </w:rPr>
            </w:pPr>
            <w:r>
              <w:rPr>
                <w:rFonts w:hint="eastAsia" w:ascii="宋体" w:hAnsi="宋体" w:cs="仿宋"/>
                <w:kern w:val="0"/>
                <w:sz w:val="24"/>
                <w:szCs w:val="24"/>
              </w:rPr>
              <w:t>洗涤液泵</w:t>
            </w:r>
          </w:p>
        </w:tc>
        <w:tc>
          <w:tcPr>
            <w:tcW w:w="2100" w:type="dxa"/>
            <w:vAlign w:val="center"/>
          </w:tcPr>
          <w:p w14:paraId="7D86F9F4">
            <w:pPr>
              <w:widowControl/>
              <w:spacing w:line="560" w:lineRule="exact"/>
              <w:jc w:val="center"/>
              <w:rPr>
                <w:rFonts w:ascii="宋体" w:hAnsi="宋体" w:cs="仿宋"/>
                <w:kern w:val="0"/>
                <w:sz w:val="24"/>
                <w:szCs w:val="24"/>
              </w:rPr>
            </w:pPr>
          </w:p>
        </w:tc>
        <w:tc>
          <w:tcPr>
            <w:tcW w:w="1559" w:type="dxa"/>
            <w:vAlign w:val="center"/>
          </w:tcPr>
          <w:p w14:paraId="59CB8AC3">
            <w:pPr>
              <w:widowControl/>
              <w:spacing w:line="560" w:lineRule="exact"/>
              <w:jc w:val="center"/>
              <w:rPr>
                <w:rFonts w:ascii="宋体" w:hAnsi="宋体" w:cs="仿宋"/>
                <w:kern w:val="0"/>
                <w:sz w:val="24"/>
                <w:szCs w:val="24"/>
              </w:rPr>
            </w:pPr>
          </w:p>
        </w:tc>
        <w:tc>
          <w:tcPr>
            <w:tcW w:w="1155" w:type="dxa"/>
            <w:vAlign w:val="center"/>
          </w:tcPr>
          <w:p w14:paraId="58C1F4C5">
            <w:pPr>
              <w:widowControl/>
              <w:spacing w:line="560" w:lineRule="exact"/>
              <w:jc w:val="center"/>
              <w:rPr>
                <w:rFonts w:ascii="宋体" w:hAnsi="宋体" w:cs="仿宋"/>
                <w:kern w:val="0"/>
                <w:sz w:val="24"/>
                <w:szCs w:val="24"/>
              </w:rPr>
            </w:pPr>
          </w:p>
        </w:tc>
      </w:tr>
      <w:tr w14:paraId="328A3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vAlign w:val="center"/>
          </w:tcPr>
          <w:p w14:paraId="71D11970">
            <w:pPr>
              <w:widowControl/>
              <w:jc w:val="center"/>
              <w:rPr>
                <w:rFonts w:ascii="宋体" w:hAnsi="宋体" w:cs="宋体"/>
                <w:kern w:val="0"/>
                <w:sz w:val="24"/>
                <w:szCs w:val="24"/>
                <w:lang w:val="en-AU"/>
              </w:rPr>
            </w:pPr>
            <w:r>
              <w:rPr>
                <w:rFonts w:hint="eastAsia" w:ascii="宋体" w:hAnsi="宋体" w:cs="宋体"/>
                <w:kern w:val="0"/>
                <w:sz w:val="24"/>
                <w:szCs w:val="24"/>
              </w:rPr>
              <w:t>15</w:t>
            </w:r>
          </w:p>
        </w:tc>
        <w:tc>
          <w:tcPr>
            <w:tcW w:w="3440" w:type="dxa"/>
            <w:vAlign w:val="center"/>
          </w:tcPr>
          <w:p w14:paraId="4B470C3D">
            <w:pPr>
              <w:widowControl/>
              <w:jc w:val="left"/>
              <w:rPr>
                <w:rFonts w:ascii="宋体" w:hAnsi="宋体" w:cs="仿宋"/>
                <w:kern w:val="0"/>
                <w:sz w:val="24"/>
                <w:szCs w:val="24"/>
              </w:rPr>
            </w:pPr>
            <w:r>
              <w:rPr>
                <w:rFonts w:ascii="宋体" w:hAnsi="宋体" w:cs="仿宋"/>
                <w:kern w:val="0"/>
                <w:sz w:val="24"/>
                <w:szCs w:val="24"/>
              </w:rPr>
              <w:t>……</w:t>
            </w:r>
          </w:p>
        </w:tc>
        <w:tc>
          <w:tcPr>
            <w:tcW w:w="2100" w:type="dxa"/>
            <w:vAlign w:val="center"/>
          </w:tcPr>
          <w:p w14:paraId="2813B782">
            <w:pPr>
              <w:widowControl/>
              <w:spacing w:line="560" w:lineRule="exact"/>
              <w:jc w:val="center"/>
              <w:rPr>
                <w:rFonts w:ascii="宋体" w:hAnsi="宋体" w:cs="仿宋"/>
                <w:kern w:val="0"/>
                <w:sz w:val="24"/>
                <w:szCs w:val="24"/>
              </w:rPr>
            </w:pPr>
          </w:p>
        </w:tc>
        <w:tc>
          <w:tcPr>
            <w:tcW w:w="1559" w:type="dxa"/>
            <w:vAlign w:val="center"/>
          </w:tcPr>
          <w:p w14:paraId="131E4B63">
            <w:pPr>
              <w:widowControl/>
              <w:spacing w:line="560" w:lineRule="exact"/>
              <w:jc w:val="center"/>
              <w:rPr>
                <w:rFonts w:ascii="宋体" w:hAnsi="宋体" w:cs="仿宋"/>
                <w:kern w:val="0"/>
                <w:sz w:val="24"/>
                <w:szCs w:val="24"/>
              </w:rPr>
            </w:pPr>
          </w:p>
        </w:tc>
        <w:tc>
          <w:tcPr>
            <w:tcW w:w="1155" w:type="dxa"/>
            <w:vAlign w:val="center"/>
          </w:tcPr>
          <w:p w14:paraId="2F120D75">
            <w:pPr>
              <w:widowControl/>
              <w:spacing w:line="560" w:lineRule="exact"/>
              <w:jc w:val="center"/>
              <w:rPr>
                <w:rFonts w:ascii="宋体" w:hAnsi="宋体" w:cs="仿宋"/>
                <w:kern w:val="0"/>
                <w:sz w:val="24"/>
                <w:szCs w:val="24"/>
              </w:rPr>
            </w:pPr>
          </w:p>
        </w:tc>
      </w:tr>
    </w:tbl>
    <w:p w14:paraId="1132C906">
      <w:pPr>
        <w:rPr>
          <w:rFonts w:ascii="宋体" w:hAnsi="宋体" w:cs="宋体"/>
          <w:sz w:val="24"/>
          <w:szCs w:val="24"/>
          <w:lang w:val="zh-CN"/>
        </w:rPr>
      </w:pPr>
    </w:p>
    <w:p w14:paraId="65774ADC">
      <w:pPr>
        <w:rPr>
          <w:rFonts w:ascii="宋体" w:hAnsi="宋体" w:cs="宋体"/>
          <w:sz w:val="24"/>
          <w:szCs w:val="24"/>
          <w:lang w:val="zh-CN"/>
        </w:rPr>
      </w:pPr>
      <w:r>
        <w:rPr>
          <w:rFonts w:hint="eastAsia" w:ascii="宋体" w:hAnsi="宋体" w:cs="宋体"/>
          <w:sz w:val="24"/>
          <w:szCs w:val="24"/>
        </w:rPr>
        <w:t>注：</w:t>
      </w:r>
      <w:r>
        <w:rPr>
          <w:rFonts w:hint="eastAsia" w:ascii="宋体" w:hAnsi="宋体" w:cs="宋体"/>
          <w:sz w:val="24"/>
          <w:szCs w:val="24"/>
          <w:lang w:val="zh-CN"/>
        </w:rPr>
        <w:t>设备详细参数由投标方提供。</w:t>
      </w:r>
    </w:p>
    <w:p w14:paraId="28FC9264">
      <w:pPr>
        <w:rPr>
          <w:rFonts w:ascii="宋体" w:hAnsi="宋体"/>
          <w:b/>
          <w:sz w:val="52"/>
          <w:szCs w:val="52"/>
        </w:rPr>
      </w:pPr>
      <w:r>
        <w:rPr>
          <w:rFonts w:hint="eastAsia" w:ascii="宋体" w:hAnsi="宋体"/>
          <w:b/>
          <w:sz w:val="52"/>
          <w:szCs w:val="52"/>
        </w:rPr>
        <w:br w:type="page"/>
      </w:r>
    </w:p>
    <w:p w14:paraId="7E8ED61B">
      <w:pPr>
        <w:jc w:val="center"/>
        <w:rPr>
          <w:rFonts w:ascii="宋体" w:hAnsi="宋体"/>
          <w:b/>
          <w:sz w:val="52"/>
          <w:szCs w:val="52"/>
        </w:rPr>
      </w:pPr>
    </w:p>
    <w:p w14:paraId="40C47C47">
      <w:pPr>
        <w:jc w:val="center"/>
        <w:rPr>
          <w:rFonts w:ascii="宋体" w:hAnsi="宋体"/>
          <w:b/>
          <w:sz w:val="44"/>
          <w:szCs w:val="44"/>
        </w:rPr>
      </w:pPr>
      <w:r>
        <w:rPr>
          <w:rFonts w:hint="eastAsia" w:ascii="宋体" w:hAnsi="宋体"/>
          <w:b/>
          <w:sz w:val="44"/>
          <w:szCs w:val="44"/>
        </w:rPr>
        <w:t>年产50万吨食品包装原纸技改工程变更项目</w:t>
      </w:r>
    </w:p>
    <w:p w14:paraId="5742B99C">
      <w:pPr>
        <w:jc w:val="center"/>
        <w:rPr>
          <w:rFonts w:ascii="宋体" w:hAnsi="宋体"/>
          <w:b/>
          <w:sz w:val="44"/>
          <w:szCs w:val="44"/>
        </w:rPr>
      </w:pPr>
      <w:r>
        <w:rPr>
          <w:rFonts w:hint="eastAsia" w:ascii="宋体" w:hAnsi="宋体"/>
          <w:b/>
          <w:sz w:val="44"/>
          <w:szCs w:val="44"/>
        </w:rPr>
        <w:t>（年产20万吨竹浆技改项目）</w:t>
      </w:r>
    </w:p>
    <w:p w14:paraId="0273C81B">
      <w:pPr>
        <w:jc w:val="center"/>
        <w:rPr>
          <w:rFonts w:ascii="宋体" w:hAnsi="宋体"/>
          <w:b/>
          <w:sz w:val="44"/>
          <w:szCs w:val="44"/>
        </w:rPr>
      </w:pPr>
      <w:r>
        <w:rPr>
          <w:rFonts w:hint="eastAsia" w:ascii="宋体" w:hAnsi="宋体"/>
          <w:b/>
          <w:sz w:val="44"/>
          <w:szCs w:val="44"/>
        </w:rPr>
        <w:t>EPC工程总承包</w:t>
      </w:r>
    </w:p>
    <w:p w14:paraId="033864F8">
      <w:pPr>
        <w:jc w:val="center"/>
        <w:rPr>
          <w:rFonts w:ascii="宋体" w:hAnsi="宋体"/>
          <w:b/>
          <w:sz w:val="44"/>
          <w:szCs w:val="44"/>
          <w:lang w:bidi="he-IL"/>
        </w:rPr>
      </w:pPr>
      <w:r>
        <w:rPr>
          <w:rFonts w:hint="eastAsia" w:ascii="宋体" w:hAnsi="宋体"/>
          <w:b/>
          <w:sz w:val="44"/>
          <w:szCs w:val="44"/>
          <w:lang w:bidi="he-IL"/>
        </w:rPr>
        <w:t>技术协议书</w:t>
      </w:r>
    </w:p>
    <w:p w14:paraId="2AF74EB4">
      <w:pPr>
        <w:jc w:val="center"/>
        <w:rPr>
          <w:rFonts w:ascii="宋体" w:hAnsi="宋体"/>
          <w:b/>
          <w:sz w:val="44"/>
          <w:szCs w:val="44"/>
          <w:lang w:bidi="he-IL"/>
        </w:rPr>
      </w:pPr>
      <w:r>
        <w:rPr>
          <w:rFonts w:hint="eastAsia" w:ascii="宋体" w:hAnsi="宋体"/>
          <w:b/>
          <w:sz w:val="44"/>
          <w:szCs w:val="44"/>
          <w:lang w:bidi="he-IL"/>
        </w:rPr>
        <w:t>第三篇</w:t>
      </w:r>
    </w:p>
    <w:p w14:paraId="4E37EB61">
      <w:pPr>
        <w:spacing w:line="480" w:lineRule="auto"/>
        <w:jc w:val="center"/>
        <w:outlineLvl w:val="0"/>
        <w:rPr>
          <w:rFonts w:ascii="宋体" w:hAnsi="宋体" w:eastAsia="等线"/>
          <w:b/>
          <w:sz w:val="44"/>
          <w:szCs w:val="44"/>
        </w:rPr>
      </w:pPr>
      <w:bookmarkStart w:id="86" w:name="_Toc12484"/>
      <w:bookmarkStart w:id="87" w:name="_Toc21825"/>
      <w:bookmarkStart w:id="88" w:name="_Toc25258"/>
      <w:r>
        <w:rPr>
          <w:rFonts w:hint="eastAsia" w:ascii="宋体" w:hAnsi="宋体"/>
          <w:b/>
          <w:sz w:val="44"/>
          <w:szCs w:val="44"/>
        </w:rPr>
        <w:t>机械</w:t>
      </w:r>
      <w:bookmarkEnd w:id="86"/>
      <w:bookmarkEnd w:id="87"/>
      <w:bookmarkEnd w:id="88"/>
    </w:p>
    <w:p w14:paraId="6DC7B1D3">
      <w:pPr>
        <w:spacing w:line="480" w:lineRule="auto"/>
        <w:jc w:val="center"/>
        <w:rPr>
          <w:rFonts w:ascii="Times New Roman" w:hAnsi="Times New Roman"/>
          <w:b/>
          <w:sz w:val="52"/>
          <w:szCs w:val="52"/>
        </w:rPr>
      </w:pPr>
    </w:p>
    <w:p w14:paraId="332D52D4">
      <w:pPr>
        <w:spacing w:line="480" w:lineRule="auto"/>
        <w:jc w:val="center"/>
        <w:rPr>
          <w:rFonts w:ascii="Times New Roman" w:hAnsi="Times New Roman"/>
          <w:b/>
          <w:sz w:val="52"/>
          <w:szCs w:val="52"/>
        </w:rPr>
      </w:pPr>
    </w:p>
    <w:p w14:paraId="4D2556E0">
      <w:pPr>
        <w:spacing w:line="480" w:lineRule="auto"/>
        <w:jc w:val="center"/>
        <w:rPr>
          <w:rFonts w:ascii="Times New Roman" w:hAnsi="Times New Roman"/>
          <w:b/>
          <w:sz w:val="52"/>
          <w:szCs w:val="52"/>
        </w:rPr>
      </w:pPr>
    </w:p>
    <w:p w14:paraId="59744E63">
      <w:pPr>
        <w:spacing w:line="480" w:lineRule="auto"/>
        <w:rPr>
          <w:rFonts w:ascii="Times New Roman" w:hAnsi="Times New Roman"/>
          <w:b/>
          <w:sz w:val="52"/>
          <w:szCs w:val="52"/>
        </w:rPr>
      </w:pPr>
    </w:p>
    <w:p w14:paraId="33A99C6F">
      <w:pPr>
        <w:spacing w:line="480" w:lineRule="auto"/>
        <w:rPr>
          <w:rFonts w:ascii="Times New Roman" w:hAnsi="Times New Roman"/>
          <w:b/>
          <w:sz w:val="72"/>
          <w:szCs w:val="72"/>
        </w:rPr>
      </w:pPr>
    </w:p>
    <w:p w14:paraId="18459FE5">
      <w:pPr>
        <w:spacing w:line="500" w:lineRule="exact"/>
        <w:rPr>
          <w:rFonts w:ascii="Times New Roman" w:hAnsi="Times New Roman"/>
          <w:szCs w:val="28"/>
        </w:rPr>
      </w:pPr>
    </w:p>
    <w:p w14:paraId="2E290453">
      <w:pPr>
        <w:spacing w:line="500" w:lineRule="exact"/>
        <w:rPr>
          <w:rFonts w:ascii="Times New Roman" w:hAnsi="Times New Roman"/>
          <w:szCs w:val="28"/>
        </w:rPr>
      </w:pPr>
    </w:p>
    <w:p w14:paraId="3FA4BB90">
      <w:pPr>
        <w:spacing w:line="500" w:lineRule="exact"/>
        <w:rPr>
          <w:rFonts w:ascii="Times New Roman" w:hAnsi="Times New Roman"/>
          <w:szCs w:val="28"/>
        </w:rPr>
      </w:pPr>
    </w:p>
    <w:p w14:paraId="33E19B48">
      <w:pPr>
        <w:spacing w:line="500" w:lineRule="exact"/>
        <w:rPr>
          <w:rFonts w:ascii="Times New Roman" w:hAnsi="Times New Roman"/>
          <w:szCs w:val="28"/>
        </w:rPr>
      </w:pPr>
    </w:p>
    <w:p w14:paraId="48B8E562">
      <w:pPr>
        <w:spacing w:line="500" w:lineRule="exact"/>
        <w:rPr>
          <w:rFonts w:ascii="Times New Roman" w:hAnsi="Times New Roman"/>
          <w:szCs w:val="28"/>
        </w:rPr>
      </w:pPr>
    </w:p>
    <w:p w14:paraId="2B3BAB34">
      <w:pPr>
        <w:spacing w:line="500" w:lineRule="exact"/>
        <w:jc w:val="center"/>
        <w:sectPr>
          <w:pgSz w:w="11906" w:h="16838"/>
          <w:pgMar w:top="1440" w:right="1417" w:bottom="1440" w:left="1417" w:header="964" w:footer="992" w:gutter="0"/>
          <w:cols w:space="720" w:num="1"/>
          <w:docGrid w:type="lines" w:linePitch="312" w:charSpace="0"/>
        </w:sect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3月</w:t>
      </w:r>
    </w:p>
    <w:p w14:paraId="6A765B21">
      <w:pPr>
        <w:pStyle w:val="3"/>
        <w:spacing w:before="156" w:after="156"/>
        <w:ind w:firstLine="281"/>
      </w:pPr>
      <w:bookmarkStart w:id="89" w:name="_Toc25082"/>
      <w:bookmarkStart w:id="90" w:name="_Toc32666"/>
      <w:bookmarkStart w:id="91" w:name="_Toc26094"/>
      <w:r>
        <w:rPr>
          <w:rFonts w:hint="eastAsia"/>
        </w:rPr>
        <w:t>一．全套机械设备要求总则</w:t>
      </w:r>
      <w:bookmarkEnd w:id="89"/>
      <w:bookmarkEnd w:id="90"/>
      <w:bookmarkEnd w:id="91"/>
    </w:p>
    <w:p w14:paraId="058C1CA5">
      <w:pPr>
        <w:pStyle w:val="5"/>
        <w:ind w:left="900" w:hanging="420" w:firstLineChars="0"/>
        <w:jc w:val="both"/>
      </w:pPr>
      <w:r>
        <w:rPr>
          <w:rFonts w:hint="eastAsia"/>
        </w:rPr>
        <w:t>1.1流程设备的设计与制造应追求：运行安全、设计先进、结构合理、操作简单、维修方便，其总体技术水准达到当今国内外同类产品的先进水平。行业在普遍使用，零配件通用易采购。所有设备均为正确设计和制造，在所有正常工况下均能安全、持续运行，而不会有过度的应力、振动、温升、磨损、腐蚀、老化等其他问题。</w:t>
      </w:r>
    </w:p>
    <w:p w14:paraId="4D22B4DE">
      <w:pPr>
        <w:pStyle w:val="5"/>
        <w:ind w:left="900" w:hanging="420" w:firstLineChars="0"/>
        <w:jc w:val="both"/>
      </w:pPr>
      <w:r>
        <w:rPr>
          <w:rFonts w:hint="eastAsia"/>
        </w:rPr>
        <w:t>1.2以下技术要求仅对功能、设计、结构、性能、安装和试验等方面，提出了最低和一般性的技术要求；并未对一切技术细节做出规定，未充分引述有关标准和规范的条文。承包人应保证提供的设备(工程或系统)是符合本技术标书和国家最新的有关标准、规范的优质产品。</w:t>
      </w:r>
    </w:p>
    <w:p w14:paraId="7D1A1FDD">
      <w:pPr>
        <w:pStyle w:val="5"/>
        <w:ind w:left="900" w:hanging="420" w:firstLineChars="0"/>
        <w:jc w:val="both"/>
      </w:pPr>
      <w:r>
        <w:rPr>
          <w:rFonts w:hint="eastAsia"/>
        </w:rPr>
        <w:t>1.3本文件中提出的是最低限度的技术要求，并未对一切技术细节做出规定，也未充分引述有关标准和规范的条文，投标方应保证提供符合本技术要求、设备货物图纸文件和有关工业标准的优质产品。</w:t>
      </w:r>
    </w:p>
    <w:p w14:paraId="7F4BF93F">
      <w:pPr>
        <w:pStyle w:val="5"/>
        <w:ind w:left="900" w:hanging="420" w:firstLineChars="0"/>
        <w:jc w:val="both"/>
      </w:pPr>
      <w:r>
        <w:rPr>
          <w:rFonts w:hint="eastAsia"/>
        </w:rPr>
        <w:t>1.4发包方保留对本技术要求提出补充和修改的权利，承包方应予以配合。本技术要求中使用的标准和规范如与中标人所执行的标准发生冲突时，按较高要求执行。</w:t>
      </w:r>
    </w:p>
    <w:p w14:paraId="53A317D0">
      <w:pPr>
        <w:pStyle w:val="5"/>
        <w:ind w:left="900" w:hanging="420" w:firstLineChars="0"/>
        <w:jc w:val="both"/>
      </w:pPr>
      <w:r>
        <w:rPr>
          <w:rFonts w:hint="eastAsia"/>
        </w:rPr>
        <w:t>1.5设备制安、材料的选择、设备和材料的检验及试验等，都需按国家和行业有关现行标准和要求及相应的技术规范执行。而这些标准和技术规范应为合同签字日为止最新公布发行的标准和技术规范。</w:t>
      </w:r>
    </w:p>
    <w:p w14:paraId="444EA4FE">
      <w:pPr>
        <w:pStyle w:val="5"/>
        <w:ind w:left="900" w:hanging="420" w:firstLineChars="0"/>
        <w:jc w:val="both"/>
      </w:pPr>
      <w:r>
        <w:rPr>
          <w:rFonts w:hint="eastAsia"/>
        </w:rPr>
        <w:t>1.6发包方有权对承包方生产施工能力、装备水平及质量保证体系进行检查、考察；有权进入货物制安现场确认检查及试验的有效性。如发现施工工艺及产品质量、施工进度等不符合本招标文件、图纸文件或合同的要求，发包方有权终止生产施工或拒收其货物。</w:t>
      </w:r>
    </w:p>
    <w:p w14:paraId="679CD914">
      <w:pPr>
        <w:pStyle w:val="5"/>
        <w:ind w:left="900" w:hanging="420" w:firstLineChars="0"/>
        <w:jc w:val="both"/>
      </w:pPr>
      <w:r>
        <w:rPr>
          <w:rFonts w:hint="eastAsia"/>
        </w:rPr>
        <w:t>1.7流程设备的设计图纸和技术资料的制图方法、尺寸、公差配合、符号等都应采用公制体系，并符合ISO现行有关标准或中国现行有关国家标准的规定。设备零部件采用先进、可靠的加工制造技术，有良好的表面几何形状及合适的公差配合。</w:t>
      </w:r>
    </w:p>
    <w:p w14:paraId="7249A722">
      <w:pPr>
        <w:pStyle w:val="5"/>
        <w:ind w:left="900" w:hanging="420" w:firstLineChars="0"/>
        <w:jc w:val="both"/>
      </w:pPr>
      <w:r>
        <w:rPr>
          <w:rFonts w:hint="eastAsia"/>
        </w:rPr>
        <w:t>1.8设备设计制造时必须采取减震、消音、隔音措施，保证设备运行的噪声符合国家有关标准对噪声的要求，且确保厂界噪声达标。</w:t>
      </w:r>
    </w:p>
    <w:p w14:paraId="1750CD36">
      <w:pPr>
        <w:pStyle w:val="5"/>
        <w:ind w:left="900" w:hanging="420" w:firstLineChars="0"/>
        <w:jc w:val="both"/>
      </w:pPr>
      <w:r>
        <w:rPr>
          <w:rFonts w:hint="eastAsia"/>
        </w:rPr>
        <w:t>1.9承包人可以根据自身经验以及对本技术规范和招标文件的理解，写明发包人招标设备（或材料）应进行的优于招标文件要求的其他方案或建议意见。建议方案或建议意见以单独篇章予以说明，同时应说明对技术条件、性能、价格、运行、维护、检修、安装等方面的影响。</w:t>
      </w:r>
    </w:p>
    <w:p w14:paraId="3A4AA023">
      <w:pPr>
        <w:pStyle w:val="5"/>
        <w:ind w:left="1020" w:hanging="540" w:firstLineChars="0"/>
        <w:jc w:val="both"/>
      </w:pPr>
      <w:r>
        <w:rPr>
          <w:rFonts w:hint="eastAsia"/>
        </w:rPr>
        <w:t>1.10若发包人提供的数据或资料有重大偏差时，承包人必须给予提醒。若所供设备有差错或不足，承包人有责任免费进行完善。</w:t>
      </w:r>
    </w:p>
    <w:p w14:paraId="7A9F318B">
      <w:pPr>
        <w:pStyle w:val="5"/>
        <w:ind w:firstLine="480"/>
        <w:jc w:val="both"/>
      </w:pPr>
      <w:r>
        <w:rPr>
          <w:rFonts w:hint="eastAsia"/>
        </w:rPr>
        <w:t>1.11设备工作制度为年工作330天，日工作24小时。</w:t>
      </w:r>
    </w:p>
    <w:p w14:paraId="40FA867D">
      <w:pPr>
        <w:pStyle w:val="5"/>
        <w:ind w:left="1020" w:hanging="540" w:firstLineChars="0"/>
        <w:jc w:val="both"/>
      </w:pPr>
      <w:r>
        <w:rPr>
          <w:rFonts w:hint="eastAsia"/>
        </w:rPr>
        <w:t>1.12在保证设备性能的前提下，同类设备或部件的规格型号、技术特征和制造厂家，选型时考虑其通用性和一致性，以利设备的维修，减少备品备件种类和降低采购管理难度。</w:t>
      </w:r>
    </w:p>
    <w:p w14:paraId="7ED3A8F2">
      <w:pPr>
        <w:pStyle w:val="5"/>
        <w:ind w:left="1020" w:hanging="540" w:firstLineChars="0"/>
        <w:jc w:val="both"/>
      </w:pPr>
      <w:r>
        <w:rPr>
          <w:rFonts w:hint="eastAsia"/>
        </w:rPr>
        <w:t>1.13设备需要润滑的部件应有一定的安全余量设计以防止偶然的润滑系统故障，或者维修周期拖延的情况下也应能无损害运行，拖延时间最多为24h；同一种机械设备在各种气候条件下设计时应尽可能使用同一润滑剂，而且尽可能减少润滑剂的种类。</w:t>
      </w:r>
    </w:p>
    <w:p w14:paraId="489B8A7C">
      <w:pPr>
        <w:pStyle w:val="5"/>
        <w:ind w:firstLine="480"/>
      </w:pPr>
      <w:r>
        <w:rPr>
          <w:rFonts w:hint="eastAsia"/>
        </w:rPr>
        <w:t>1.14 涉及钢材材料的说明如下表：</w:t>
      </w:r>
    </w:p>
    <w:tbl>
      <w:tblPr>
        <w:tblStyle w:val="18"/>
        <w:tblW w:w="9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902"/>
        <w:gridCol w:w="1440"/>
        <w:gridCol w:w="2000"/>
        <w:gridCol w:w="2074"/>
        <w:gridCol w:w="1676"/>
        <w:gridCol w:w="1210"/>
      </w:tblGrid>
      <w:tr w14:paraId="468B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39" w:hRule="exact"/>
        </w:trPr>
        <w:tc>
          <w:tcPr>
            <w:tcW w:w="902" w:type="dxa"/>
            <w:shd w:val="clear" w:color="auto" w:fill="FFFFFF"/>
            <w:vAlign w:val="center"/>
          </w:tcPr>
          <w:p w14:paraId="4FB0F41E">
            <w:pPr>
              <w:pStyle w:val="38"/>
              <w:widowControl/>
              <w:spacing w:line="360" w:lineRule="auto"/>
              <w:jc w:val="center"/>
              <w:rPr>
                <w:rFonts w:ascii="宋体" w:hAnsi="宋体" w:eastAsia="宋体"/>
                <w:bCs/>
                <w:sz w:val="24"/>
                <w:szCs w:val="24"/>
              </w:rPr>
            </w:pPr>
            <w:r>
              <w:rPr>
                <w:rFonts w:hint="eastAsia" w:ascii="宋体" w:hAnsi="宋体" w:eastAsia="宋体"/>
                <w:bCs/>
                <w:sz w:val="24"/>
                <w:szCs w:val="24"/>
              </w:rPr>
              <w:t>标准</w:t>
            </w:r>
          </w:p>
        </w:tc>
        <w:tc>
          <w:tcPr>
            <w:tcW w:w="1440" w:type="dxa"/>
            <w:shd w:val="clear" w:color="auto" w:fill="FFFFFF"/>
            <w:vAlign w:val="center"/>
          </w:tcPr>
          <w:p w14:paraId="5462404B">
            <w:pPr>
              <w:pStyle w:val="38"/>
              <w:widowControl/>
              <w:spacing w:line="360" w:lineRule="auto"/>
              <w:jc w:val="center"/>
              <w:rPr>
                <w:rFonts w:ascii="宋体" w:hAnsi="宋体" w:eastAsia="宋体"/>
                <w:sz w:val="24"/>
                <w:szCs w:val="24"/>
              </w:rPr>
            </w:pPr>
            <w:r>
              <w:rPr>
                <w:rFonts w:ascii="宋体" w:hAnsi="宋体" w:eastAsia="宋体"/>
                <w:bCs/>
                <w:sz w:val="24"/>
                <w:szCs w:val="24"/>
              </w:rPr>
              <w:t>EN</w:t>
            </w:r>
          </w:p>
        </w:tc>
        <w:tc>
          <w:tcPr>
            <w:tcW w:w="2000" w:type="dxa"/>
            <w:shd w:val="clear" w:color="auto" w:fill="FFFFFF"/>
            <w:vAlign w:val="center"/>
          </w:tcPr>
          <w:p w14:paraId="7C922E91">
            <w:pPr>
              <w:pStyle w:val="38"/>
              <w:widowControl/>
              <w:spacing w:line="360" w:lineRule="auto"/>
              <w:jc w:val="center"/>
              <w:rPr>
                <w:rFonts w:ascii="宋体" w:hAnsi="宋体" w:eastAsia="宋体"/>
                <w:sz w:val="24"/>
                <w:szCs w:val="24"/>
              </w:rPr>
            </w:pPr>
            <w:r>
              <w:rPr>
                <w:rFonts w:ascii="宋体" w:hAnsi="宋体" w:eastAsia="宋体"/>
                <w:bCs/>
                <w:sz w:val="24"/>
                <w:szCs w:val="24"/>
              </w:rPr>
              <w:t>ASTM</w:t>
            </w:r>
          </w:p>
        </w:tc>
        <w:tc>
          <w:tcPr>
            <w:tcW w:w="2074" w:type="dxa"/>
            <w:shd w:val="clear" w:color="auto" w:fill="FFFFFF"/>
            <w:vAlign w:val="center"/>
          </w:tcPr>
          <w:p w14:paraId="2824C738">
            <w:pPr>
              <w:pStyle w:val="38"/>
              <w:widowControl/>
              <w:spacing w:line="360" w:lineRule="auto"/>
              <w:jc w:val="center"/>
              <w:rPr>
                <w:rFonts w:ascii="宋体" w:hAnsi="宋体" w:eastAsia="宋体"/>
                <w:sz w:val="24"/>
                <w:szCs w:val="24"/>
              </w:rPr>
            </w:pPr>
            <w:r>
              <w:rPr>
                <w:rFonts w:ascii="宋体" w:hAnsi="宋体" w:eastAsia="宋体"/>
                <w:bCs/>
                <w:sz w:val="24"/>
                <w:szCs w:val="24"/>
              </w:rPr>
              <w:t>GB</w:t>
            </w:r>
          </w:p>
        </w:tc>
        <w:tc>
          <w:tcPr>
            <w:tcW w:w="1676" w:type="dxa"/>
            <w:shd w:val="clear" w:color="auto" w:fill="FFFFFF"/>
            <w:vAlign w:val="center"/>
          </w:tcPr>
          <w:p w14:paraId="3F5DDAFC">
            <w:pPr>
              <w:pStyle w:val="38"/>
              <w:widowControl/>
              <w:spacing w:line="360" w:lineRule="auto"/>
              <w:jc w:val="center"/>
              <w:rPr>
                <w:rFonts w:ascii="宋体" w:hAnsi="宋体" w:eastAsia="宋体"/>
                <w:sz w:val="24"/>
                <w:szCs w:val="24"/>
              </w:rPr>
            </w:pPr>
            <w:r>
              <w:rPr>
                <w:rFonts w:ascii="宋体" w:hAnsi="宋体" w:eastAsia="宋体"/>
                <w:bCs/>
                <w:sz w:val="24"/>
                <w:szCs w:val="24"/>
              </w:rPr>
              <w:t>JIS</w:t>
            </w:r>
          </w:p>
        </w:tc>
        <w:tc>
          <w:tcPr>
            <w:tcW w:w="1210" w:type="dxa"/>
            <w:shd w:val="clear" w:color="auto" w:fill="FFFFFF"/>
            <w:vAlign w:val="center"/>
          </w:tcPr>
          <w:p w14:paraId="631110D9">
            <w:pPr>
              <w:pStyle w:val="38"/>
              <w:widowControl/>
              <w:spacing w:line="360" w:lineRule="auto"/>
              <w:jc w:val="center"/>
              <w:rPr>
                <w:rFonts w:ascii="宋体" w:hAnsi="宋体" w:eastAsia="宋体"/>
                <w:sz w:val="24"/>
                <w:szCs w:val="24"/>
              </w:rPr>
            </w:pPr>
            <w:r>
              <w:rPr>
                <w:rFonts w:ascii="宋体" w:hAnsi="宋体" w:eastAsia="宋体"/>
                <w:bCs/>
                <w:sz w:val="24"/>
                <w:szCs w:val="24"/>
              </w:rPr>
              <w:t>SS</w:t>
            </w:r>
          </w:p>
        </w:tc>
      </w:tr>
      <w:tr w14:paraId="2807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restart"/>
            <w:shd w:val="clear" w:color="auto" w:fill="FFFFFF"/>
            <w:vAlign w:val="center"/>
          </w:tcPr>
          <w:p w14:paraId="467B7172">
            <w:pPr>
              <w:pStyle w:val="38"/>
              <w:widowControl/>
              <w:spacing w:line="360" w:lineRule="auto"/>
              <w:jc w:val="center"/>
              <w:rPr>
                <w:rFonts w:ascii="宋体" w:hAnsi="宋体" w:eastAsia="宋体"/>
                <w:bCs/>
                <w:sz w:val="24"/>
                <w:szCs w:val="24"/>
              </w:rPr>
            </w:pPr>
            <w:r>
              <w:rPr>
                <w:rFonts w:hint="eastAsia" w:ascii="宋体" w:hAnsi="宋体" w:eastAsia="宋体"/>
                <w:bCs/>
                <w:sz w:val="24"/>
                <w:szCs w:val="24"/>
              </w:rPr>
              <w:t>牌号</w:t>
            </w:r>
          </w:p>
        </w:tc>
        <w:tc>
          <w:tcPr>
            <w:tcW w:w="1440" w:type="dxa"/>
            <w:shd w:val="clear" w:color="auto" w:fill="FFFFFF"/>
            <w:vAlign w:val="center"/>
          </w:tcPr>
          <w:p w14:paraId="527700F6">
            <w:pPr>
              <w:pStyle w:val="38"/>
              <w:widowControl/>
              <w:spacing w:line="360" w:lineRule="auto"/>
              <w:jc w:val="center"/>
              <w:rPr>
                <w:rFonts w:ascii="宋体" w:hAnsi="宋体" w:eastAsia="宋体"/>
                <w:bCs/>
                <w:sz w:val="24"/>
                <w:szCs w:val="24"/>
              </w:rPr>
            </w:pPr>
            <w:r>
              <w:rPr>
                <w:rFonts w:ascii="宋体" w:hAnsi="宋体" w:eastAsia="宋体"/>
                <w:bCs/>
                <w:sz w:val="24"/>
                <w:szCs w:val="24"/>
              </w:rPr>
              <w:t>1.4301</w:t>
            </w:r>
          </w:p>
        </w:tc>
        <w:tc>
          <w:tcPr>
            <w:tcW w:w="2000" w:type="dxa"/>
            <w:shd w:val="clear" w:color="auto" w:fill="FFFFFF"/>
            <w:vAlign w:val="center"/>
          </w:tcPr>
          <w:p w14:paraId="2EB854C2">
            <w:pPr>
              <w:pStyle w:val="38"/>
              <w:widowControl/>
              <w:spacing w:line="360" w:lineRule="auto"/>
              <w:jc w:val="center"/>
              <w:rPr>
                <w:rFonts w:ascii="宋体" w:hAnsi="宋体" w:eastAsia="宋体"/>
                <w:sz w:val="24"/>
                <w:szCs w:val="24"/>
              </w:rPr>
            </w:pPr>
            <w:r>
              <w:rPr>
                <w:rFonts w:ascii="宋体" w:hAnsi="宋体" w:eastAsia="宋体"/>
                <w:sz w:val="24"/>
                <w:szCs w:val="24"/>
              </w:rPr>
              <w:t>304</w:t>
            </w:r>
          </w:p>
        </w:tc>
        <w:tc>
          <w:tcPr>
            <w:tcW w:w="2074" w:type="dxa"/>
            <w:shd w:val="clear" w:color="auto" w:fill="FFFFFF"/>
            <w:vAlign w:val="center"/>
          </w:tcPr>
          <w:p w14:paraId="27D64DA5">
            <w:pPr>
              <w:pStyle w:val="38"/>
              <w:widowControl/>
              <w:spacing w:line="360" w:lineRule="auto"/>
              <w:jc w:val="center"/>
              <w:rPr>
                <w:rFonts w:ascii="宋体" w:hAnsi="宋体" w:eastAsia="宋体"/>
                <w:sz w:val="24"/>
                <w:szCs w:val="24"/>
              </w:rPr>
            </w:pPr>
            <w:r>
              <w:rPr>
                <w:rFonts w:ascii="宋体" w:hAnsi="宋体" w:eastAsia="宋体"/>
                <w:sz w:val="24"/>
                <w:szCs w:val="24"/>
              </w:rPr>
              <w:t>0Cr18Ni9</w:t>
            </w:r>
          </w:p>
        </w:tc>
        <w:tc>
          <w:tcPr>
            <w:tcW w:w="1676" w:type="dxa"/>
            <w:shd w:val="clear" w:color="auto" w:fill="FFFFFF"/>
            <w:vAlign w:val="center"/>
          </w:tcPr>
          <w:p w14:paraId="4B27861A">
            <w:pPr>
              <w:pStyle w:val="38"/>
              <w:widowControl/>
              <w:spacing w:line="360" w:lineRule="auto"/>
              <w:jc w:val="center"/>
              <w:rPr>
                <w:rFonts w:ascii="宋体" w:hAnsi="宋体" w:eastAsia="宋体"/>
                <w:sz w:val="24"/>
                <w:szCs w:val="24"/>
              </w:rPr>
            </w:pPr>
            <w:r>
              <w:rPr>
                <w:rFonts w:ascii="宋体" w:hAnsi="宋体" w:eastAsia="宋体"/>
                <w:sz w:val="24"/>
                <w:szCs w:val="24"/>
              </w:rPr>
              <w:t>SUS 304</w:t>
            </w:r>
          </w:p>
        </w:tc>
        <w:tc>
          <w:tcPr>
            <w:tcW w:w="1210" w:type="dxa"/>
            <w:shd w:val="clear" w:color="auto" w:fill="FFFFFF"/>
            <w:vAlign w:val="center"/>
          </w:tcPr>
          <w:p w14:paraId="126E9470">
            <w:pPr>
              <w:pStyle w:val="38"/>
              <w:widowControl/>
              <w:spacing w:line="360" w:lineRule="auto"/>
              <w:jc w:val="center"/>
              <w:rPr>
                <w:rFonts w:ascii="宋体" w:hAnsi="宋体" w:eastAsia="宋体"/>
                <w:sz w:val="24"/>
                <w:szCs w:val="24"/>
              </w:rPr>
            </w:pPr>
            <w:r>
              <w:rPr>
                <w:rFonts w:ascii="宋体" w:hAnsi="宋体" w:eastAsia="宋体"/>
                <w:sz w:val="24"/>
                <w:szCs w:val="24"/>
              </w:rPr>
              <w:t>2333</w:t>
            </w:r>
          </w:p>
        </w:tc>
      </w:tr>
      <w:tr w14:paraId="4541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249535A3">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54B3F32B">
            <w:pPr>
              <w:pStyle w:val="38"/>
              <w:widowControl/>
              <w:spacing w:line="360" w:lineRule="auto"/>
              <w:jc w:val="center"/>
              <w:rPr>
                <w:rFonts w:ascii="宋体" w:hAnsi="宋体" w:eastAsia="宋体"/>
                <w:bCs/>
                <w:sz w:val="24"/>
                <w:szCs w:val="24"/>
              </w:rPr>
            </w:pPr>
            <w:r>
              <w:rPr>
                <w:rFonts w:ascii="宋体" w:hAnsi="宋体" w:eastAsia="宋体"/>
                <w:bCs/>
                <w:sz w:val="24"/>
                <w:szCs w:val="24"/>
              </w:rPr>
              <w:t>1.4307</w:t>
            </w:r>
          </w:p>
        </w:tc>
        <w:tc>
          <w:tcPr>
            <w:tcW w:w="2000" w:type="dxa"/>
            <w:shd w:val="clear" w:color="auto" w:fill="FFFFFF"/>
            <w:vAlign w:val="center"/>
          </w:tcPr>
          <w:p w14:paraId="06948733">
            <w:pPr>
              <w:pStyle w:val="38"/>
              <w:widowControl/>
              <w:spacing w:line="360" w:lineRule="auto"/>
              <w:jc w:val="center"/>
              <w:rPr>
                <w:rFonts w:ascii="宋体" w:hAnsi="宋体" w:eastAsia="宋体"/>
                <w:sz w:val="24"/>
                <w:szCs w:val="24"/>
              </w:rPr>
            </w:pPr>
            <w:r>
              <w:rPr>
                <w:rFonts w:ascii="宋体" w:hAnsi="宋体" w:eastAsia="宋体"/>
                <w:sz w:val="24"/>
                <w:szCs w:val="24"/>
              </w:rPr>
              <w:t>304L</w:t>
            </w:r>
          </w:p>
        </w:tc>
        <w:tc>
          <w:tcPr>
            <w:tcW w:w="2074" w:type="dxa"/>
            <w:shd w:val="clear" w:color="auto" w:fill="FFFFFF"/>
            <w:vAlign w:val="center"/>
          </w:tcPr>
          <w:p w14:paraId="5058B780">
            <w:pPr>
              <w:pStyle w:val="38"/>
              <w:widowControl/>
              <w:spacing w:line="360" w:lineRule="auto"/>
              <w:jc w:val="center"/>
              <w:rPr>
                <w:rFonts w:ascii="宋体" w:hAnsi="宋体" w:eastAsia="宋体"/>
                <w:sz w:val="24"/>
                <w:szCs w:val="24"/>
              </w:rPr>
            </w:pPr>
            <w:r>
              <w:rPr>
                <w:rFonts w:ascii="宋体" w:hAnsi="宋体" w:eastAsia="宋体"/>
                <w:sz w:val="24"/>
                <w:szCs w:val="24"/>
              </w:rPr>
              <w:t>00Cr19Ni10</w:t>
            </w:r>
          </w:p>
        </w:tc>
        <w:tc>
          <w:tcPr>
            <w:tcW w:w="1676" w:type="dxa"/>
            <w:shd w:val="clear" w:color="auto" w:fill="FFFFFF"/>
            <w:vAlign w:val="center"/>
          </w:tcPr>
          <w:p w14:paraId="4A9B5E59">
            <w:pPr>
              <w:pStyle w:val="38"/>
              <w:widowControl/>
              <w:spacing w:line="360" w:lineRule="auto"/>
              <w:jc w:val="center"/>
              <w:rPr>
                <w:rFonts w:ascii="宋体" w:hAnsi="宋体" w:eastAsia="宋体"/>
                <w:sz w:val="24"/>
                <w:szCs w:val="24"/>
              </w:rPr>
            </w:pPr>
            <w:r>
              <w:rPr>
                <w:rFonts w:ascii="宋体" w:hAnsi="宋体" w:eastAsia="宋体"/>
                <w:sz w:val="24"/>
                <w:szCs w:val="24"/>
              </w:rPr>
              <w:t>SUS 304L</w:t>
            </w:r>
          </w:p>
        </w:tc>
        <w:tc>
          <w:tcPr>
            <w:tcW w:w="1210" w:type="dxa"/>
            <w:shd w:val="clear" w:color="auto" w:fill="FFFFFF"/>
            <w:vAlign w:val="center"/>
          </w:tcPr>
          <w:p w14:paraId="41C951E9">
            <w:pPr>
              <w:pStyle w:val="38"/>
              <w:widowControl/>
              <w:spacing w:line="360" w:lineRule="auto"/>
              <w:jc w:val="center"/>
              <w:rPr>
                <w:rFonts w:ascii="宋体" w:hAnsi="宋体" w:eastAsia="宋体"/>
                <w:sz w:val="24"/>
                <w:szCs w:val="24"/>
              </w:rPr>
            </w:pPr>
            <w:r>
              <w:rPr>
                <w:rFonts w:ascii="宋体" w:hAnsi="宋体" w:eastAsia="宋体"/>
                <w:sz w:val="24"/>
                <w:szCs w:val="24"/>
              </w:rPr>
              <w:t>2352</w:t>
            </w:r>
          </w:p>
        </w:tc>
      </w:tr>
      <w:tr w14:paraId="5242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27B1DF56">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038177B5">
            <w:pPr>
              <w:pStyle w:val="38"/>
              <w:widowControl/>
              <w:spacing w:line="360" w:lineRule="auto"/>
              <w:jc w:val="center"/>
              <w:rPr>
                <w:rFonts w:ascii="宋体" w:hAnsi="宋体" w:eastAsia="宋体"/>
                <w:bCs/>
                <w:sz w:val="24"/>
                <w:szCs w:val="24"/>
              </w:rPr>
            </w:pPr>
            <w:r>
              <w:rPr>
                <w:rFonts w:ascii="宋体" w:hAnsi="宋体" w:eastAsia="宋体"/>
                <w:bCs/>
                <w:sz w:val="24"/>
                <w:szCs w:val="24"/>
              </w:rPr>
              <w:t>1.4401</w:t>
            </w:r>
          </w:p>
        </w:tc>
        <w:tc>
          <w:tcPr>
            <w:tcW w:w="2000" w:type="dxa"/>
            <w:shd w:val="clear" w:color="auto" w:fill="FFFFFF"/>
            <w:vAlign w:val="center"/>
          </w:tcPr>
          <w:p w14:paraId="6D48D197">
            <w:pPr>
              <w:pStyle w:val="38"/>
              <w:widowControl/>
              <w:spacing w:line="360" w:lineRule="auto"/>
              <w:jc w:val="center"/>
              <w:rPr>
                <w:rFonts w:ascii="宋体" w:hAnsi="宋体" w:eastAsia="宋体"/>
                <w:sz w:val="24"/>
                <w:szCs w:val="24"/>
              </w:rPr>
            </w:pPr>
            <w:r>
              <w:rPr>
                <w:rFonts w:ascii="宋体" w:hAnsi="宋体" w:eastAsia="宋体"/>
                <w:sz w:val="24"/>
                <w:szCs w:val="24"/>
              </w:rPr>
              <w:t>316</w:t>
            </w:r>
          </w:p>
        </w:tc>
        <w:tc>
          <w:tcPr>
            <w:tcW w:w="2074" w:type="dxa"/>
            <w:shd w:val="clear" w:color="auto" w:fill="FFFFFF"/>
            <w:vAlign w:val="center"/>
          </w:tcPr>
          <w:p w14:paraId="1DC57D1C">
            <w:pPr>
              <w:pStyle w:val="38"/>
              <w:widowControl/>
              <w:spacing w:line="360" w:lineRule="auto"/>
              <w:jc w:val="center"/>
              <w:rPr>
                <w:rFonts w:ascii="宋体" w:hAnsi="宋体" w:eastAsia="宋体"/>
                <w:sz w:val="24"/>
                <w:szCs w:val="24"/>
              </w:rPr>
            </w:pPr>
            <w:r>
              <w:rPr>
                <w:rFonts w:ascii="宋体" w:hAnsi="宋体" w:eastAsia="宋体"/>
                <w:sz w:val="24"/>
                <w:szCs w:val="24"/>
              </w:rPr>
              <w:t>0Cr17Ni12Mo2</w:t>
            </w:r>
          </w:p>
        </w:tc>
        <w:tc>
          <w:tcPr>
            <w:tcW w:w="1676" w:type="dxa"/>
            <w:shd w:val="clear" w:color="auto" w:fill="FFFFFF"/>
            <w:vAlign w:val="center"/>
          </w:tcPr>
          <w:p w14:paraId="173638FE">
            <w:pPr>
              <w:pStyle w:val="38"/>
              <w:widowControl/>
              <w:spacing w:line="360" w:lineRule="auto"/>
              <w:jc w:val="center"/>
              <w:rPr>
                <w:rFonts w:ascii="宋体" w:hAnsi="宋体" w:eastAsia="宋体"/>
                <w:sz w:val="24"/>
                <w:szCs w:val="24"/>
              </w:rPr>
            </w:pPr>
            <w:r>
              <w:rPr>
                <w:rFonts w:ascii="宋体" w:hAnsi="宋体" w:eastAsia="宋体"/>
                <w:sz w:val="24"/>
                <w:szCs w:val="24"/>
              </w:rPr>
              <w:t>SUS 316</w:t>
            </w:r>
          </w:p>
        </w:tc>
        <w:tc>
          <w:tcPr>
            <w:tcW w:w="1210" w:type="dxa"/>
            <w:shd w:val="clear" w:color="auto" w:fill="FFFFFF"/>
            <w:vAlign w:val="center"/>
          </w:tcPr>
          <w:p w14:paraId="4AC1D8B3">
            <w:pPr>
              <w:pStyle w:val="38"/>
              <w:widowControl/>
              <w:spacing w:line="360" w:lineRule="auto"/>
              <w:jc w:val="center"/>
              <w:rPr>
                <w:rFonts w:ascii="宋体" w:hAnsi="宋体" w:eastAsia="宋体"/>
                <w:sz w:val="24"/>
                <w:szCs w:val="24"/>
              </w:rPr>
            </w:pPr>
            <w:r>
              <w:rPr>
                <w:rFonts w:ascii="宋体" w:hAnsi="宋体" w:eastAsia="宋体"/>
                <w:sz w:val="24"/>
                <w:szCs w:val="24"/>
              </w:rPr>
              <w:t>2347</w:t>
            </w:r>
          </w:p>
        </w:tc>
      </w:tr>
      <w:tr w14:paraId="36FD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39" w:hRule="exact"/>
        </w:trPr>
        <w:tc>
          <w:tcPr>
            <w:tcW w:w="902" w:type="dxa"/>
            <w:vMerge w:val="continue"/>
            <w:shd w:val="clear" w:color="auto" w:fill="FFFFFF"/>
          </w:tcPr>
          <w:p w14:paraId="1BF850DD">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7282E852">
            <w:pPr>
              <w:pStyle w:val="38"/>
              <w:widowControl/>
              <w:spacing w:line="360" w:lineRule="auto"/>
              <w:jc w:val="center"/>
              <w:rPr>
                <w:rFonts w:ascii="宋体" w:hAnsi="宋体" w:eastAsia="宋体"/>
                <w:bCs/>
                <w:sz w:val="24"/>
                <w:szCs w:val="24"/>
              </w:rPr>
            </w:pPr>
            <w:r>
              <w:rPr>
                <w:rFonts w:ascii="宋体" w:hAnsi="宋体" w:eastAsia="宋体"/>
                <w:bCs/>
                <w:sz w:val="24"/>
                <w:szCs w:val="24"/>
              </w:rPr>
              <w:t>1.4404</w:t>
            </w:r>
          </w:p>
        </w:tc>
        <w:tc>
          <w:tcPr>
            <w:tcW w:w="2000" w:type="dxa"/>
            <w:shd w:val="clear" w:color="auto" w:fill="FFFFFF"/>
            <w:vAlign w:val="center"/>
          </w:tcPr>
          <w:p w14:paraId="0984C786">
            <w:pPr>
              <w:pStyle w:val="38"/>
              <w:widowControl/>
              <w:spacing w:line="360" w:lineRule="auto"/>
              <w:jc w:val="center"/>
              <w:rPr>
                <w:rFonts w:ascii="宋体" w:hAnsi="宋体" w:eastAsia="宋体"/>
                <w:sz w:val="24"/>
                <w:szCs w:val="24"/>
              </w:rPr>
            </w:pPr>
            <w:r>
              <w:rPr>
                <w:rFonts w:ascii="宋体" w:hAnsi="宋体" w:eastAsia="宋体"/>
                <w:sz w:val="24"/>
                <w:szCs w:val="24"/>
              </w:rPr>
              <w:t>316L</w:t>
            </w:r>
          </w:p>
        </w:tc>
        <w:tc>
          <w:tcPr>
            <w:tcW w:w="2074" w:type="dxa"/>
            <w:shd w:val="clear" w:color="auto" w:fill="FFFFFF"/>
            <w:vAlign w:val="center"/>
          </w:tcPr>
          <w:p w14:paraId="5C34E90C">
            <w:pPr>
              <w:pStyle w:val="38"/>
              <w:widowControl/>
              <w:spacing w:line="360" w:lineRule="auto"/>
              <w:jc w:val="center"/>
              <w:rPr>
                <w:rFonts w:ascii="宋体" w:hAnsi="宋体" w:eastAsia="宋体"/>
                <w:sz w:val="24"/>
                <w:szCs w:val="24"/>
              </w:rPr>
            </w:pPr>
            <w:r>
              <w:rPr>
                <w:rFonts w:ascii="宋体" w:hAnsi="宋体" w:eastAsia="宋体"/>
                <w:sz w:val="24"/>
                <w:szCs w:val="24"/>
              </w:rPr>
              <w:t>00Cr17Ni14Mo2</w:t>
            </w:r>
          </w:p>
        </w:tc>
        <w:tc>
          <w:tcPr>
            <w:tcW w:w="1676" w:type="dxa"/>
            <w:shd w:val="clear" w:color="auto" w:fill="FFFFFF"/>
            <w:vAlign w:val="center"/>
          </w:tcPr>
          <w:p w14:paraId="669C89C2">
            <w:pPr>
              <w:pStyle w:val="38"/>
              <w:widowControl/>
              <w:spacing w:line="360" w:lineRule="auto"/>
              <w:jc w:val="center"/>
              <w:rPr>
                <w:rFonts w:ascii="宋体" w:hAnsi="宋体" w:eastAsia="宋体"/>
                <w:sz w:val="24"/>
                <w:szCs w:val="24"/>
              </w:rPr>
            </w:pPr>
            <w:r>
              <w:rPr>
                <w:rFonts w:ascii="宋体" w:hAnsi="宋体" w:eastAsia="宋体"/>
                <w:sz w:val="24"/>
                <w:szCs w:val="24"/>
              </w:rPr>
              <w:t>SUS 316L</w:t>
            </w:r>
          </w:p>
        </w:tc>
        <w:tc>
          <w:tcPr>
            <w:tcW w:w="1210" w:type="dxa"/>
            <w:shd w:val="clear" w:color="auto" w:fill="FFFFFF"/>
            <w:vAlign w:val="center"/>
          </w:tcPr>
          <w:p w14:paraId="54BB6B29">
            <w:pPr>
              <w:pStyle w:val="38"/>
              <w:widowControl/>
              <w:spacing w:line="360" w:lineRule="auto"/>
              <w:jc w:val="center"/>
              <w:rPr>
                <w:rFonts w:ascii="宋体" w:hAnsi="宋体" w:eastAsia="宋体"/>
                <w:sz w:val="24"/>
                <w:szCs w:val="24"/>
              </w:rPr>
            </w:pPr>
            <w:r>
              <w:rPr>
                <w:rFonts w:ascii="宋体" w:hAnsi="宋体" w:eastAsia="宋体"/>
                <w:sz w:val="24"/>
                <w:szCs w:val="24"/>
              </w:rPr>
              <w:t>2348</w:t>
            </w:r>
          </w:p>
        </w:tc>
      </w:tr>
      <w:tr w14:paraId="553B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1857C31A">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0B71ED50">
            <w:pPr>
              <w:pStyle w:val="38"/>
              <w:widowControl/>
              <w:spacing w:line="360" w:lineRule="auto"/>
              <w:jc w:val="center"/>
              <w:rPr>
                <w:rFonts w:ascii="宋体" w:hAnsi="宋体" w:eastAsia="宋体"/>
                <w:bCs/>
                <w:sz w:val="24"/>
                <w:szCs w:val="24"/>
              </w:rPr>
            </w:pPr>
            <w:r>
              <w:rPr>
                <w:rFonts w:ascii="宋体" w:hAnsi="宋体" w:eastAsia="宋体"/>
                <w:bCs/>
                <w:sz w:val="24"/>
                <w:szCs w:val="24"/>
              </w:rPr>
              <w:t>1.4436</w:t>
            </w:r>
          </w:p>
        </w:tc>
        <w:tc>
          <w:tcPr>
            <w:tcW w:w="2000" w:type="dxa"/>
            <w:shd w:val="clear" w:color="auto" w:fill="FFFFFF"/>
            <w:vAlign w:val="center"/>
          </w:tcPr>
          <w:p w14:paraId="2BBA8FAE">
            <w:pPr>
              <w:pStyle w:val="38"/>
              <w:widowControl/>
              <w:spacing w:line="360" w:lineRule="auto"/>
              <w:jc w:val="center"/>
              <w:rPr>
                <w:rFonts w:ascii="宋体" w:hAnsi="宋体" w:eastAsia="宋体"/>
                <w:sz w:val="24"/>
                <w:szCs w:val="24"/>
              </w:rPr>
            </w:pPr>
            <w:r>
              <w:rPr>
                <w:rFonts w:ascii="宋体" w:hAnsi="宋体" w:eastAsia="宋体"/>
                <w:sz w:val="24"/>
                <w:szCs w:val="24"/>
              </w:rPr>
              <w:t>316</w:t>
            </w:r>
          </w:p>
        </w:tc>
        <w:tc>
          <w:tcPr>
            <w:tcW w:w="2074" w:type="dxa"/>
            <w:shd w:val="clear" w:color="auto" w:fill="FFFFFF"/>
            <w:vAlign w:val="center"/>
          </w:tcPr>
          <w:p w14:paraId="45A4400D">
            <w:pPr>
              <w:pStyle w:val="38"/>
              <w:widowControl/>
              <w:spacing w:line="360" w:lineRule="auto"/>
              <w:jc w:val="center"/>
              <w:rPr>
                <w:rFonts w:ascii="宋体" w:hAnsi="宋体" w:eastAsia="宋体"/>
                <w:sz w:val="24"/>
                <w:szCs w:val="24"/>
              </w:rPr>
            </w:pPr>
            <w:r>
              <w:rPr>
                <w:rFonts w:ascii="宋体" w:hAnsi="宋体" w:eastAsia="宋体"/>
                <w:sz w:val="24"/>
                <w:szCs w:val="24"/>
              </w:rPr>
              <w:t>06Cr17Ni12Mo2</w:t>
            </w:r>
          </w:p>
        </w:tc>
        <w:tc>
          <w:tcPr>
            <w:tcW w:w="1676" w:type="dxa"/>
            <w:shd w:val="clear" w:color="auto" w:fill="FFFFFF"/>
            <w:vAlign w:val="center"/>
          </w:tcPr>
          <w:p w14:paraId="17B05709">
            <w:pPr>
              <w:pStyle w:val="38"/>
              <w:widowControl/>
              <w:spacing w:line="360" w:lineRule="auto"/>
              <w:jc w:val="center"/>
              <w:rPr>
                <w:rFonts w:ascii="宋体" w:hAnsi="宋体" w:eastAsia="宋体"/>
                <w:sz w:val="24"/>
                <w:szCs w:val="24"/>
              </w:rPr>
            </w:pPr>
            <w:r>
              <w:rPr>
                <w:rFonts w:ascii="宋体" w:hAnsi="宋体" w:eastAsia="宋体"/>
                <w:sz w:val="24"/>
                <w:szCs w:val="24"/>
              </w:rPr>
              <w:t>SUS 316</w:t>
            </w:r>
          </w:p>
        </w:tc>
        <w:tc>
          <w:tcPr>
            <w:tcW w:w="1210" w:type="dxa"/>
            <w:shd w:val="clear" w:color="auto" w:fill="FFFFFF"/>
            <w:vAlign w:val="center"/>
          </w:tcPr>
          <w:p w14:paraId="6EB7071B">
            <w:pPr>
              <w:pStyle w:val="38"/>
              <w:widowControl/>
              <w:spacing w:line="360" w:lineRule="auto"/>
              <w:jc w:val="center"/>
              <w:rPr>
                <w:rFonts w:ascii="宋体" w:hAnsi="宋体" w:eastAsia="宋体"/>
                <w:sz w:val="24"/>
                <w:szCs w:val="24"/>
              </w:rPr>
            </w:pPr>
            <w:r>
              <w:rPr>
                <w:rFonts w:ascii="宋体" w:hAnsi="宋体" w:eastAsia="宋体"/>
                <w:sz w:val="24"/>
                <w:szCs w:val="24"/>
              </w:rPr>
              <w:t>2343</w:t>
            </w:r>
          </w:p>
        </w:tc>
      </w:tr>
      <w:tr w14:paraId="79C5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39" w:hRule="exact"/>
        </w:trPr>
        <w:tc>
          <w:tcPr>
            <w:tcW w:w="902" w:type="dxa"/>
            <w:vMerge w:val="continue"/>
            <w:shd w:val="clear" w:color="auto" w:fill="FFFFFF"/>
          </w:tcPr>
          <w:p w14:paraId="7FB21707">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4FBB862B">
            <w:pPr>
              <w:pStyle w:val="38"/>
              <w:widowControl/>
              <w:spacing w:line="360" w:lineRule="auto"/>
              <w:jc w:val="center"/>
              <w:rPr>
                <w:rFonts w:ascii="宋体" w:hAnsi="宋体" w:eastAsia="宋体"/>
                <w:bCs/>
                <w:sz w:val="24"/>
                <w:szCs w:val="24"/>
              </w:rPr>
            </w:pPr>
            <w:r>
              <w:rPr>
                <w:rFonts w:ascii="宋体" w:hAnsi="宋体" w:eastAsia="宋体"/>
                <w:bCs/>
                <w:sz w:val="24"/>
                <w:szCs w:val="24"/>
              </w:rPr>
              <w:t>1.4432</w:t>
            </w:r>
          </w:p>
        </w:tc>
        <w:tc>
          <w:tcPr>
            <w:tcW w:w="2000" w:type="dxa"/>
            <w:shd w:val="clear" w:color="auto" w:fill="FFFFFF"/>
            <w:vAlign w:val="center"/>
          </w:tcPr>
          <w:p w14:paraId="00B7F1FA">
            <w:pPr>
              <w:pStyle w:val="38"/>
              <w:widowControl/>
              <w:spacing w:line="360" w:lineRule="auto"/>
              <w:jc w:val="center"/>
              <w:rPr>
                <w:rFonts w:ascii="宋体" w:hAnsi="宋体" w:eastAsia="宋体"/>
                <w:sz w:val="24"/>
                <w:szCs w:val="24"/>
              </w:rPr>
            </w:pPr>
            <w:r>
              <w:rPr>
                <w:rFonts w:ascii="宋体" w:hAnsi="宋体" w:eastAsia="宋体"/>
                <w:sz w:val="24"/>
                <w:szCs w:val="24"/>
              </w:rPr>
              <w:t>316L</w:t>
            </w:r>
          </w:p>
        </w:tc>
        <w:tc>
          <w:tcPr>
            <w:tcW w:w="2074" w:type="dxa"/>
            <w:shd w:val="clear" w:color="auto" w:fill="FFFFFF"/>
            <w:vAlign w:val="center"/>
          </w:tcPr>
          <w:p w14:paraId="11CDE882">
            <w:pPr>
              <w:pStyle w:val="38"/>
              <w:widowControl/>
              <w:spacing w:line="360" w:lineRule="auto"/>
              <w:jc w:val="center"/>
              <w:rPr>
                <w:rFonts w:ascii="宋体" w:hAnsi="宋体" w:eastAsia="宋体"/>
                <w:sz w:val="24"/>
                <w:szCs w:val="24"/>
              </w:rPr>
            </w:pPr>
            <w:r>
              <w:rPr>
                <w:rFonts w:ascii="宋体" w:hAnsi="宋体" w:eastAsia="宋体"/>
                <w:sz w:val="24"/>
                <w:szCs w:val="24"/>
              </w:rPr>
              <w:t>00Cr17Ni14Mo2</w:t>
            </w:r>
          </w:p>
        </w:tc>
        <w:tc>
          <w:tcPr>
            <w:tcW w:w="1676" w:type="dxa"/>
            <w:shd w:val="clear" w:color="auto" w:fill="FFFFFF"/>
            <w:vAlign w:val="center"/>
          </w:tcPr>
          <w:p w14:paraId="3F9BACD1">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6B350EB6">
            <w:pPr>
              <w:pStyle w:val="38"/>
              <w:widowControl/>
              <w:spacing w:line="360" w:lineRule="auto"/>
              <w:jc w:val="center"/>
              <w:rPr>
                <w:rFonts w:ascii="宋体" w:hAnsi="宋体" w:eastAsia="宋体"/>
                <w:sz w:val="24"/>
                <w:szCs w:val="24"/>
              </w:rPr>
            </w:pPr>
            <w:r>
              <w:rPr>
                <w:rFonts w:ascii="宋体" w:hAnsi="宋体" w:eastAsia="宋体"/>
                <w:sz w:val="24"/>
                <w:szCs w:val="24"/>
              </w:rPr>
              <w:t>2353</w:t>
            </w:r>
          </w:p>
        </w:tc>
      </w:tr>
      <w:tr w14:paraId="030F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39" w:hRule="exact"/>
        </w:trPr>
        <w:tc>
          <w:tcPr>
            <w:tcW w:w="902" w:type="dxa"/>
            <w:vMerge w:val="continue"/>
            <w:shd w:val="clear" w:color="auto" w:fill="FFFFFF"/>
          </w:tcPr>
          <w:p w14:paraId="5FDCC383">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48AA1B6F">
            <w:pPr>
              <w:pStyle w:val="38"/>
              <w:widowControl/>
              <w:spacing w:line="360" w:lineRule="auto"/>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.4460</w:t>
            </w:r>
          </w:p>
        </w:tc>
        <w:tc>
          <w:tcPr>
            <w:tcW w:w="2000" w:type="dxa"/>
            <w:shd w:val="clear" w:color="auto" w:fill="FFFFFF"/>
            <w:vAlign w:val="center"/>
          </w:tcPr>
          <w:p w14:paraId="41CD6CDC">
            <w:pPr>
              <w:pStyle w:val="38"/>
              <w:widowControl/>
              <w:spacing w:line="360" w:lineRule="auto"/>
              <w:jc w:val="center"/>
              <w:rPr>
                <w:rFonts w:ascii="宋体" w:hAnsi="宋体" w:eastAsia="宋体"/>
                <w:sz w:val="24"/>
                <w:szCs w:val="24"/>
              </w:rPr>
            </w:pPr>
            <w:r>
              <w:rPr>
                <w:rFonts w:hint="eastAsia" w:ascii="宋体" w:hAnsi="宋体" w:eastAsia="宋体"/>
                <w:sz w:val="24"/>
                <w:szCs w:val="24"/>
              </w:rPr>
              <w:t>S</w:t>
            </w:r>
            <w:r>
              <w:rPr>
                <w:rFonts w:ascii="宋体" w:hAnsi="宋体" w:eastAsia="宋体"/>
                <w:sz w:val="24"/>
                <w:szCs w:val="24"/>
              </w:rPr>
              <w:t>32900</w:t>
            </w:r>
          </w:p>
        </w:tc>
        <w:tc>
          <w:tcPr>
            <w:tcW w:w="2074" w:type="dxa"/>
            <w:shd w:val="clear" w:color="auto" w:fill="FFFFFF"/>
            <w:vAlign w:val="center"/>
          </w:tcPr>
          <w:p w14:paraId="5EEF12C2">
            <w:pPr>
              <w:pStyle w:val="38"/>
              <w:widowControl/>
              <w:spacing w:line="360" w:lineRule="auto"/>
              <w:jc w:val="center"/>
              <w:rPr>
                <w:rFonts w:ascii="宋体" w:hAnsi="宋体" w:eastAsia="宋体"/>
                <w:sz w:val="24"/>
                <w:szCs w:val="24"/>
              </w:rPr>
            </w:pPr>
          </w:p>
        </w:tc>
        <w:tc>
          <w:tcPr>
            <w:tcW w:w="1676" w:type="dxa"/>
            <w:shd w:val="clear" w:color="auto" w:fill="FFFFFF"/>
            <w:vAlign w:val="center"/>
          </w:tcPr>
          <w:p w14:paraId="21850D2D">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0E262BA3">
            <w:pPr>
              <w:pStyle w:val="38"/>
              <w:widowControl/>
              <w:spacing w:line="360" w:lineRule="auto"/>
              <w:jc w:val="center"/>
              <w:rPr>
                <w:rFonts w:ascii="宋体" w:hAnsi="宋体" w:eastAsia="宋体"/>
                <w:sz w:val="24"/>
                <w:szCs w:val="24"/>
              </w:rPr>
            </w:pPr>
          </w:p>
        </w:tc>
      </w:tr>
      <w:tr w14:paraId="603B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49BE59C1">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7D079079">
            <w:pPr>
              <w:pStyle w:val="38"/>
              <w:widowControl/>
              <w:spacing w:line="360" w:lineRule="auto"/>
              <w:jc w:val="center"/>
              <w:rPr>
                <w:rFonts w:ascii="宋体" w:hAnsi="宋体" w:eastAsia="宋体"/>
                <w:bCs/>
                <w:sz w:val="24"/>
                <w:szCs w:val="24"/>
              </w:rPr>
            </w:pPr>
            <w:r>
              <w:rPr>
                <w:rFonts w:ascii="宋体" w:hAnsi="宋体" w:eastAsia="宋体"/>
                <w:bCs/>
                <w:sz w:val="24"/>
                <w:szCs w:val="24"/>
              </w:rPr>
              <w:t>1.4462</w:t>
            </w:r>
          </w:p>
        </w:tc>
        <w:tc>
          <w:tcPr>
            <w:tcW w:w="2000" w:type="dxa"/>
            <w:shd w:val="clear" w:color="auto" w:fill="FFFFFF"/>
            <w:vAlign w:val="center"/>
          </w:tcPr>
          <w:p w14:paraId="41169AEA">
            <w:pPr>
              <w:pStyle w:val="38"/>
              <w:widowControl/>
              <w:spacing w:line="360" w:lineRule="auto"/>
              <w:jc w:val="center"/>
              <w:rPr>
                <w:rFonts w:ascii="宋体" w:hAnsi="宋体" w:eastAsia="宋体"/>
                <w:sz w:val="24"/>
                <w:szCs w:val="24"/>
              </w:rPr>
            </w:pPr>
            <w:r>
              <w:rPr>
                <w:rFonts w:ascii="宋体" w:hAnsi="宋体" w:eastAsia="宋体"/>
                <w:spacing w:val="-1"/>
                <w:sz w:val="24"/>
                <w:szCs w:val="24"/>
              </w:rPr>
              <w:t>S32205 S31803</w:t>
            </w:r>
          </w:p>
        </w:tc>
        <w:tc>
          <w:tcPr>
            <w:tcW w:w="2074" w:type="dxa"/>
            <w:shd w:val="clear" w:color="auto" w:fill="FFFFFF"/>
            <w:vAlign w:val="center"/>
          </w:tcPr>
          <w:p w14:paraId="57FC7139">
            <w:pPr>
              <w:pStyle w:val="38"/>
              <w:widowControl/>
              <w:spacing w:line="360" w:lineRule="auto"/>
              <w:jc w:val="center"/>
              <w:rPr>
                <w:rFonts w:ascii="宋体" w:hAnsi="宋体" w:eastAsia="宋体"/>
                <w:sz w:val="24"/>
                <w:szCs w:val="24"/>
              </w:rPr>
            </w:pPr>
            <w:r>
              <w:rPr>
                <w:rFonts w:ascii="宋体" w:hAnsi="宋体" w:eastAsia="宋体"/>
                <w:sz w:val="24"/>
                <w:szCs w:val="24"/>
              </w:rPr>
              <w:t xml:space="preserve">  00Cr22Ni5Mo3N</w:t>
            </w:r>
          </w:p>
        </w:tc>
        <w:tc>
          <w:tcPr>
            <w:tcW w:w="1676" w:type="dxa"/>
            <w:shd w:val="clear" w:color="auto" w:fill="FFFFFF"/>
            <w:vAlign w:val="center"/>
          </w:tcPr>
          <w:p w14:paraId="33710A08">
            <w:pPr>
              <w:pStyle w:val="38"/>
              <w:widowControl/>
              <w:spacing w:line="360" w:lineRule="auto"/>
              <w:jc w:val="center"/>
              <w:rPr>
                <w:rFonts w:ascii="宋体" w:hAnsi="宋体" w:eastAsia="宋体"/>
                <w:sz w:val="24"/>
                <w:szCs w:val="24"/>
              </w:rPr>
            </w:pPr>
            <w:r>
              <w:rPr>
                <w:rFonts w:ascii="宋体" w:hAnsi="宋体" w:eastAsia="宋体"/>
                <w:sz w:val="24"/>
                <w:szCs w:val="24"/>
              </w:rPr>
              <w:t>SUS 329J3L</w:t>
            </w:r>
          </w:p>
        </w:tc>
        <w:tc>
          <w:tcPr>
            <w:tcW w:w="1210" w:type="dxa"/>
            <w:shd w:val="clear" w:color="auto" w:fill="FFFFFF"/>
            <w:vAlign w:val="center"/>
          </w:tcPr>
          <w:p w14:paraId="75DBB928">
            <w:pPr>
              <w:pStyle w:val="38"/>
              <w:widowControl/>
              <w:spacing w:line="360" w:lineRule="auto"/>
              <w:jc w:val="center"/>
              <w:rPr>
                <w:rFonts w:ascii="宋体" w:hAnsi="宋体" w:eastAsia="宋体"/>
                <w:sz w:val="24"/>
                <w:szCs w:val="24"/>
              </w:rPr>
            </w:pPr>
            <w:r>
              <w:rPr>
                <w:rFonts w:ascii="宋体" w:hAnsi="宋体" w:eastAsia="宋体"/>
                <w:sz w:val="24"/>
                <w:szCs w:val="24"/>
              </w:rPr>
              <w:t>2377</w:t>
            </w:r>
          </w:p>
        </w:tc>
      </w:tr>
      <w:tr w14:paraId="740F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2CA50C75">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7A35A20F">
            <w:pPr>
              <w:pStyle w:val="38"/>
              <w:widowControl/>
              <w:spacing w:line="360" w:lineRule="auto"/>
              <w:jc w:val="center"/>
              <w:rPr>
                <w:rFonts w:ascii="宋体" w:hAnsi="宋体" w:eastAsia="宋体"/>
                <w:bCs/>
                <w:sz w:val="24"/>
                <w:szCs w:val="24"/>
              </w:rPr>
            </w:pPr>
            <w:r>
              <w:rPr>
                <w:rFonts w:ascii="宋体" w:hAnsi="宋体" w:eastAsia="宋体"/>
                <w:bCs/>
                <w:sz w:val="24"/>
                <w:szCs w:val="24"/>
              </w:rPr>
              <w:t>1.4362</w:t>
            </w:r>
          </w:p>
        </w:tc>
        <w:tc>
          <w:tcPr>
            <w:tcW w:w="2000" w:type="dxa"/>
            <w:shd w:val="clear" w:color="auto" w:fill="FFFFFF"/>
            <w:vAlign w:val="center"/>
          </w:tcPr>
          <w:p w14:paraId="19DD60CE">
            <w:pPr>
              <w:pStyle w:val="38"/>
              <w:widowControl/>
              <w:spacing w:line="360" w:lineRule="auto"/>
              <w:jc w:val="center"/>
              <w:rPr>
                <w:rFonts w:ascii="宋体" w:hAnsi="宋体" w:eastAsia="宋体"/>
                <w:sz w:val="24"/>
                <w:szCs w:val="24"/>
              </w:rPr>
            </w:pPr>
            <w:r>
              <w:rPr>
                <w:rFonts w:ascii="宋体" w:hAnsi="宋体" w:eastAsia="宋体"/>
                <w:sz w:val="24"/>
                <w:szCs w:val="24"/>
              </w:rPr>
              <w:t>S32304</w:t>
            </w:r>
          </w:p>
        </w:tc>
        <w:tc>
          <w:tcPr>
            <w:tcW w:w="2074" w:type="dxa"/>
            <w:shd w:val="clear" w:color="auto" w:fill="FFFFFF"/>
            <w:vAlign w:val="center"/>
          </w:tcPr>
          <w:p w14:paraId="0501CB01">
            <w:pPr>
              <w:pStyle w:val="38"/>
              <w:widowControl/>
              <w:spacing w:line="360" w:lineRule="auto"/>
              <w:jc w:val="center"/>
              <w:rPr>
                <w:rFonts w:ascii="宋体" w:hAnsi="宋体" w:eastAsia="宋体"/>
                <w:sz w:val="24"/>
                <w:szCs w:val="24"/>
              </w:rPr>
            </w:pPr>
          </w:p>
        </w:tc>
        <w:tc>
          <w:tcPr>
            <w:tcW w:w="1676" w:type="dxa"/>
            <w:shd w:val="clear" w:color="auto" w:fill="FFFFFF"/>
          </w:tcPr>
          <w:p w14:paraId="4F30D304">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429CE545">
            <w:pPr>
              <w:pStyle w:val="38"/>
              <w:widowControl/>
              <w:spacing w:line="360" w:lineRule="auto"/>
              <w:jc w:val="center"/>
              <w:rPr>
                <w:rFonts w:ascii="宋体" w:hAnsi="宋体" w:eastAsia="宋体"/>
                <w:sz w:val="24"/>
                <w:szCs w:val="24"/>
              </w:rPr>
            </w:pPr>
            <w:r>
              <w:rPr>
                <w:rFonts w:ascii="宋体" w:hAnsi="宋体" w:eastAsia="宋体"/>
                <w:sz w:val="24"/>
                <w:szCs w:val="24"/>
              </w:rPr>
              <w:t>2377</w:t>
            </w:r>
          </w:p>
        </w:tc>
      </w:tr>
      <w:tr w14:paraId="0E4F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12C2478F">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22ADD41B">
            <w:pPr>
              <w:pStyle w:val="38"/>
              <w:widowControl/>
              <w:spacing w:line="360" w:lineRule="auto"/>
              <w:jc w:val="center"/>
              <w:rPr>
                <w:rFonts w:ascii="宋体" w:hAnsi="宋体" w:eastAsia="宋体"/>
                <w:bCs/>
                <w:sz w:val="24"/>
                <w:szCs w:val="24"/>
              </w:rPr>
            </w:pPr>
            <w:r>
              <w:rPr>
                <w:rFonts w:ascii="宋体" w:hAnsi="宋体" w:eastAsia="宋体"/>
                <w:bCs/>
                <w:sz w:val="24"/>
                <w:szCs w:val="24"/>
              </w:rPr>
              <w:t>1.4162</w:t>
            </w:r>
          </w:p>
        </w:tc>
        <w:tc>
          <w:tcPr>
            <w:tcW w:w="2000" w:type="dxa"/>
            <w:shd w:val="clear" w:color="auto" w:fill="FFFFFF"/>
            <w:vAlign w:val="center"/>
          </w:tcPr>
          <w:p w14:paraId="6CBD6336">
            <w:pPr>
              <w:pStyle w:val="38"/>
              <w:widowControl/>
              <w:spacing w:line="360" w:lineRule="auto"/>
              <w:jc w:val="center"/>
              <w:rPr>
                <w:rFonts w:ascii="宋体" w:hAnsi="宋体" w:eastAsia="宋体"/>
                <w:sz w:val="24"/>
                <w:szCs w:val="24"/>
              </w:rPr>
            </w:pPr>
            <w:r>
              <w:rPr>
                <w:rFonts w:ascii="宋体" w:hAnsi="宋体" w:eastAsia="宋体"/>
                <w:sz w:val="24"/>
                <w:szCs w:val="24"/>
              </w:rPr>
              <w:t>S32101</w:t>
            </w:r>
          </w:p>
        </w:tc>
        <w:tc>
          <w:tcPr>
            <w:tcW w:w="2074" w:type="dxa"/>
            <w:shd w:val="clear" w:color="auto" w:fill="FFFFFF"/>
            <w:vAlign w:val="center"/>
          </w:tcPr>
          <w:p w14:paraId="1332E5C6">
            <w:pPr>
              <w:pStyle w:val="38"/>
              <w:widowControl/>
              <w:spacing w:line="360" w:lineRule="auto"/>
              <w:jc w:val="center"/>
              <w:rPr>
                <w:rFonts w:ascii="宋体" w:hAnsi="宋体" w:eastAsia="宋体"/>
                <w:sz w:val="24"/>
                <w:szCs w:val="24"/>
              </w:rPr>
            </w:pPr>
          </w:p>
        </w:tc>
        <w:tc>
          <w:tcPr>
            <w:tcW w:w="1676" w:type="dxa"/>
            <w:shd w:val="clear" w:color="auto" w:fill="FFFFFF"/>
          </w:tcPr>
          <w:p w14:paraId="2300E302">
            <w:pPr>
              <w:pStyle w:val="38"/>
              <w:widowControl/>
              <w:spacing w:line="360" w:lineRule="auto"/>
              <w:jc w:val="center"/>
              <w:rPr>
                <w:rFonts w:ascii="宋体" w:hAnsi="宋体" w:eastAsia="宋体"/>
                <w:sz w:val="24"/>
                <w:szCs w:val="24"/>
              </w:rPr>
            </w:pPr>
          </w:p>
        </w:tc>
        <w:tc>
          <w:tcPr>
            <w:tcW w:w="1210" w:type="dxa"/>
            <w:shd w:val="clear" w:color="auto" w:fill="FFFFFF"/>
          </w:tcPr>
          <w:p w14:paraId="4A27312A">
            <w:pPr>
              <w:pStyle w:val="38"/>
              <w:widowControl/>
              <w:spacing w:line="360" w:lineRule="auto"/>
              <w:jc w:val="center"/>
              <w:rPr>
                <w:rFonts w:ascii="宋体" w:hAnsi="宋体" w:eastAsia="宋体"/>
                <w:sz w:val="24"/>
                <w:szCs w:val="24"/>
              </w:rPr>
            </w:pPr>
          </w:p>
        </w:tc>
      </w:tr>
      <w:tr w14:paraId="45EF7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5A375345">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2D93A66B">
            <w:pPr>
              <w:pStyle w:val="38"/>
              <w:widowControl/>
              <w:spacing w:line="360" w:lineRule="auto"/>
              <w:jc w:val="center"/>
              <w:rPr>
                <w:rFonts w:ascii="宋体" w:hAnsi="宋体" w:eastAsia="宋体"/>
                <w:bCs/>
                <w:sz w:val="24"/>
                <w:szCs w:val="24"/>
              </w:rPr>
            </w:pPr>
            <w:r>
              <w:rPr>
                <w:rFonts w:ascii="宋体" w:hAnsi="宋体" w:eastAsia="宋体"/>
                <w:bCs/>
                <w:sz w:val="24"/>
                <w:szCs w:val="24"/>
              </w:rPr>
              <w:t>1.4482</w:t>
            </w:r>
          </w:p>
        </w:tc>
        <w:tc>
          <w:tcPr>
            <w:tcW w:w="2000" w:type="dxa"/>
            <w:shd w:val="clear" w:color="auto" w:fill="FFFFFF"/>
            <w:vAlign w:val="center"/>
          </w:tcPr>
          <w:p w14:paraId="52E7F4A2">
            <w:pPr>
              <w:pStyle w:val="38"/>
              <w:widowControl/>
              <w:spacing w:line="360" w:lineRule="auto"/>
              <w:jc w:val="center"/>
              <w:rPr>
                <w:rFonts w:ascii="宋体" w:hAnsi="宋体" w:eastAsia="宋体"/>
                <w:sz w:val="24"/>
                <w:szCs w:val="24"/>
              </w:rPr>
            </w:pPr>
            <w:r>
              <w:rPr>
                <w:rFonts w:ascii="宋体" w:hAnsi="宋体" w:eastAsia="宋体"/>
                <w:sz w:val="24"/>
                <w:szCs w:val="24"/>
              </w:rPr>
              <w:t>S32001</w:t>
            </w:r>
          </w:p>
        </w:tc>
        <w:tc>
          <w:tcPr>
            <w:tcW w:w="2074" w:type="dxa"/>
            <w:shd w:val="clear" w:color="auto" w:fill="FFFFFF"/>
            <w:vAlign w:val="center"/>
          </w:tcPr>
          <w:p w14:paraId="09324744">
            <w:pPr>
              <w:pStyle w:val="38"/>
              <w:widowControl/>
              <w:spacing w:line="360" w:lineRule="auto"/>
              <w:jc w:val="center"/>
              <w:rPr>
                <w:rFonts w:ascii="宋体" w:hAnsi="宋体" w:eastAsia="宋体"/>
                <w:sz w:val="24"/>
                <w:szCs w:val="24"/>
              </w:rPr>
            </w:pPr>
          </w:p>
        </w:tc>
        <w:tc>
          <w:tcPr>
            <w:tcW w:w="1676" w:type="dxa"/>
            <w:shd w:val="clear" w:color="auto" w:fill="FFFFFF"/>
          </w:tcPr>
          <w:p w14:paraId="36ECD64A">
            <w:pPr>
              <w:pStyle w:val="38"/>
              <w:widowControl/>
              <w:spacing w:line="360" w:lineRule="auto"/>
              <w:jc w:val="center"/>
              <w:rPr>
                <w:rFonts w:ascii="宋体" w:hAnsi="宋体" w:eastAsia="宋体"/>
                <w:sz w:val="24"/>
                <w:szCs w:val="24"/>
              </w:rPr>
            </w:pPr>
          </w:p>
        </w:tc>
        <w:tc>
          <w:tcPr>
            <w:tcW w:w="1210" w:type="dxa"/>
            <w:shd w:val="clear" w:color="auto" w:fill="FFFFFF"/>
          </w:tcPr>
          <w:p w14:paraId="1C03B72E">
            <w:pPr>
              <w:pStyle w:val="38"/>
              <w:widowControl/>
              <w:spacing w:line="360" w:lineRule="auto"/>
              <w:jc w:val="center"/>
              <w:rPr>
                <w:rFonts w:ascii="宋体" w:hAnsi="宋体" w:eastAsia="宋体"/>
                <w:sz w:val="24"/>
                <w:szCs w:val="24"/>
              </w:rPr>
            </w:pPr>
          </w:p>
        </w:tc>
      </w:tr>
      <w:tr w14:paraId="715AF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1E6C1366">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554630AB">
            <w:pPr>
              <w:pStyle w:val="38"/>
              <w:widowControl/>
              <w:spacing w:line="360" w:lineRule="auto"/>
              <w:jc w:val="center"/>
              <w:rPr>
                <w:rFonts w:ascii="宋体" w:hAnsi="宋体" w:eastAsia="宋体"/>
                <w:bCs/>
                <w:sz w:val="24"/>
                <w:szCs w:val="24"/>
              </w:rPr>
            </w:pPr>
            <w:r>
              <w:rPr>
                <w:rFonts w:ascii="宋体" w:hAnsi="宋体" w:eastAsia="宋体"/>
                <w:bCs/>
                <w:sz w:val="24"/>
                <w:szCs w:val="24"/>
              </w:rPr>
              <w:t>1.4062</w:t>
            </w:r>
          </w:p>
        </w:tc>
        <w:tc>
          <w:tcPr>
            <w:tcW w:w="2000" w:type="dxa"/>
            <w:shd w:val="clear" w:color="auto" w:fill="FFFFFF"/>
            <w:vAlign w:val="center"/>
          </w:tcPr>
          <w:p w14:paraId="5BB47FFF">
            <w:pPr>
              <w:pStyle w:val="38"/>
              <w:widowControl/>
              <w:spacing w:line="360" w:lineRule="auto"/>
              <w:jc w:val="center"/>
              <w:rPr>
                <w:rFonts w:ascii="宋体" w:hAnsi="宋体" w:eastAsia="宋体"/>
                <w:sz w:val="24"/>
                <w:szCs w:val="24"/>
              </w:rPr>
            </w:pPr>
            <w:r>
              <w:rPr>
                <w:rFonts w:ascii="宋体" w:hAnsi="宋体" w:eastAsia="宋体"/>
                <w:sz w:val="24"/>
                <w:szCs w:val="24"/>
              </w:rPr>
              <w:t>S32202</w:t>
            </w:r>
          </w:p>
        </w:tc>
        <w:tc>
          <w:tcPr>
            <w:tcW w:w="2074" w:type="dxa"/>
            <w:shd w:val="clear" w:color="auto" w:fill="FFFFFF"/>
            <w:vAlign w:val="center"/>
          </w:tcPr>
          <w:p w14:paraId="35763CFC">
            <w:pPr>
              <w:pStyle w:val="38"/>
              <w:widowControl/>
              <w:spacing w:line="360" w:lineRule="auto"/>
              <w:jc w:val="center"/>
              <w:rPr>
                <w:rFonts w:ascii="宋体" w:hAnsi="宋体" w:eastAsia="宋体"/>
                <w:sz w:val="24"/>
                <w:szCs w:val="24"/>
              </w:rPr>
            </w:pPr>
          </w:p>
        </w:tc>
        <w:tc>
          <w:tcPr>
            <w:tcW w:w="1676" w:type="dxa"/>
            <w:shd w:val="clear" w:color="auto" w:fill="FFFFFF"/>
          </w:tcPr>
          <w:p w14:paraId="4B3250F6">
            <w:pPr>
              <w:pStyle w:val="38"/>
              <w:widowControl/>
              <w:spacing w:line="360" w:lineRule="auto"/>
              <w:jc w:val="center"/>
              <w:rPr>
                <w:rFonts w:ascii="宋体" w:hAnsi="宋体" w:eastAsia="宋体"/>
                <w:sz w:val="24"/>
                <w:szCs w:val="24"/>
              </w:rPr>
            </w:pPr>
          </w:p>
        </w:tc>
        <w:tc>
          <w:tcPr>
            <w:tcW w:w="1210" w:type="dxa"/>
            <w:shd w:val="clear" w:color="auto" w:fill="FFFFFF"/>
          </w:tcPr>
          <w:p w14:paraId="25CAB070">
            <w:pPr>
              <w:pStyle w:val="38"/>
              <w:widowControl/>
              <w:spacing w:line="360" w:lineRule="auto"/>
              <w:jc w:val="center"/>
              <w:rPr>
                <w:rFonts w:ascii="宋体" w:hAnsi="宋体" w:eastAsia="宋体"/>
                <w:sz w:val="24"/>
                <w:szCs w:val="24"/>
              </w:rPr>
            </w:pPr>
          </w:p>
        </w:tc>
      </w:tr>
      <w:tr w14:paraId="4F56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41A40610">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10BE90C9">
            <w:pPr>
              <w:pStyle w:val="38"/>
              <w:widowControl/>
              <w:spacing w:line="360" w:lineRule="auto"/>
              <w:jc w:val="center"/>
              <w:rPr>
                <w:rFonts w:ascii="宋体" w:hAnsi="宋体" w:eastAsia="宋体"/>
                <w:bCs/>
                <w:sz w:val="24"/>
                <w:szCs w:val="24"/>
              </w:rPr>
            </w:pPr>
            <w:r>
              <w:rPr>
                <w:rFonts w:ascii="宋体" w:hAnsi="宋体" w:eastAsia="宋体"/>
                <w:bCs/>
                <w:sz w:val="24"/>
                <w:szCs w:val="24"/>
              </w:rPr>
              <w:t>1.4539</w:t>
            </w:r>
          </w:p>
        </w:tc>
        <w:tc>
          <w:tcPr>
            <w:tcW w:w="2000" w:type="dxa"/>
            <w:shd w:val="clear" w:color="auto" w:fill="FFFFFF"/>
            <w:vAlign w:val="center"/>
          </w:tcPr>
          <w:p w14:paraId="62747F43">
            <w:pPr>
              <w:pStyle w:val="38"/>
              <w:widowControl/>
              <w:spacing w:line="360" w:lineRule="auto"/>
              <w:jc w:val="center"/>
              <w:rPr>
                <w:rFonts w:ascii="宋体" w:hAnsi="宋体" w:eastAsia="宋体"/>
                <w:sz w:val="24"/>
                <w:szCs w:val="24"/>
              </w:rPr>
            </w:pPr>
            <w:r>
              <w:rPr>
                <w:rFonts w:ascii="宋体" w:hAnsi="宋体" w:eastAsia="宋体"/>
                <w:sz w:val="24"/>
                <w:szCs w:val="24"/>
              </w:rPr>
              <w:t>904L</w:t>
            </w:r>
          </w:p>
        </w:tc>
        <w:tc>
          <w:tcPr>
            <w:tcW w:w="2074" w:type="dxa"/>
            <w:shd w:val="clear" w:color="auto" w:fill="FFFFFF"/>
          </w:tcPr>
          <w:p w14:paraId="080D8F40">
            <w:pPr>
              <w:pStyle w:val="38"/>
              <w:widowControl/>
              <w:spacing w:line="360" w:lineRule="auto"/>
              <w:jc w:val="center"/>
              <w:rPr>
                <w:rFonts w:ascii="宋体" w:hAnsi="宋体" w:eastAsia="宋体"/>
                <w:sz w:val="24"/>
                <w:szCs w:val="24"/>
              </w:rPr>
            </w:pPr>
          </w:p>
        </w:tc>
        <w:tc>
          <w:tcPr>
            <w:tcW w:w="1676" w:type="dxa"/>
            <w:shd w:val="clear" w:color="auto" w:fill="FFFFFF"/>
          </w:tcPr>
          <w:p w14:paraId="23955AD3">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28DEFCDB">
            <w:pPr>
              <w:pStyle w:val="38"/>
              <w:widowControl/>
              <w:spacing w:line="360" w:lineRule="auto"/>
              <w:jc w:val="center"/>
              <w:rPr>
                <w:rFonts w:ascii="宋体" w:hAnsi="宋体" w:eastAsia="宋体"/>
                <w:sz w:val="24"/>
                <w:szCs w:val="24"/>
              </w:rPr>
            </w:pPr>
            <w:r>
              <w:rPr>
                <w:rFonts w:ascii="宋体" w:hAnsi="宋体" w:eastAsia="宋体"/>
                <w:sz w:val="24"/>
                <w:szCs w:val="24"/>
              </w:rPr>
              <w:t>2562</w:t>
            </w:r>
          </w:p>
        </w:tc>
      </w:tr>
      <w:tr w14:paraId="42318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0BCE42FF">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0463F183">
            <w:pPr>
              <w:pStyle w:val="38"/>
              <w:widowControl/>
              <w:spacing w:line="360" w:lineRule="auto"/>
              <w:jc w:val="center"/>
              <w:rPr>
                <w:rFonts w:ascii="宋体" w:hAnsi="宋体" w:eastAsia="宋体"/>
                <w:bCs/>
                <w:sz w:val="24"/>
                <w:szCs w:val="24"/>
              </w:rPr>
            </w:pPr>
            <w:r>
              <w:rPr>
                <w:rFonts w:ascii="宋体" w:hAnsi="宋体" w:eastAsia="宋体"/>
                <w:bCs/>
                <w:sz w:val="24"/>
                <w:szCs w:val="24"/>
              </w:rPr>
              <w:t>1.4410</w:t>
            </w:r>
          </w:p>
        </w:tc>
        <w:tc>
          <w:tcPr>
            <w:tcW w:w="2000" w:type="dxa"/>
            <w:shd w:val="clear" w:color="auto" w:fill="FFFFFF"/>
            <w:vAlign w:val="center"/>
          </w:tcPr>
          <w:p w14:paraId="08196631">
            <w:pPr>
              <w:pStyle w:val="38"/>
              <w:widowControl/>
              <w:spacing w:line="360" w:lineRule="auto"/>
              <w:jc w:val="center"/>
              <w:rPr>
                <w:rFonts w:ascii="宋体" w:hAnsi="宋体" w:eastAsia="宋体"/>
                <w:sz w:val="24"/>
                <w:szCs w:val="24"/>
              </w:rPr>
            </w:pPr>
            <w:r>
              <w:rPr>
                <w:rFonts w:ascii="宋体" w:hAnsi="宋体" w:eastAsia="宋体"/>
                <w:sz w:val="24"/>
                <w:szCs w:val="24"/>
              </w:rPr>
              <w:t>S32750</w:t>
            </w:r>
          </w:p>
        </w:tc>
        <w:tc>
          <w:tcPr>
            <w:tcW w:w="2074" w:type="dxa"/>
            <w:shd w:val="clear" w:color="auto" w:fill="FFFFFF"/>
          </w:tcPr>
          <w:p w14:paraId="32A4372B">
            <w:pPr>
              <w:pStyle w:val="38"/>
              <w:widowControl/>
              <w:spacing w:line="360" w:lineRule="auto"/>
              <w:jc w:val="center"/>
              <w:rPr>
                <w:rFonts w:ascii="宋体" w:hAnsi="宋体" w:eastAsia="宋体"/>
                <w:sz w:val="24"/>
                <w:szCs w:val="24"/>
              </w:rPr>
            </w:pPr>
          </w:p>
        </w:tc>
        <w:tc>
          <w:tcPr>
            <w:tcW w:w="1676" w:type="dxa"/>
            <w:shd w:val="clear" w:color="auto" w:fill="FFFFFF"/>
          </w:tcPr>
          <w:p w14:paraId="59DFD8A4">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6BAA7957">
            <w:pPr>
              <w:pStyle w:val="38"/>
              <w:widowControl/>
              <w:spacing w:line="360" w:lineRule="auto"/>
              <w:jc w:val="center"/>
              <w:rPr>
                <w:rFonts w:ascii="宋体" w:hAnsi="宋体" w:eastAsia="宋体"/>
                <w:sz w:val="24"/>
                <w:szCs w:val="24"/>
              </w:rPr>
            </w:pPr>
            <w:r>
              <w:rPr>
                <w:rFonts w:ascii="宋体" w:hAnsi="宋体" w:eastAsia="宋体"/>
                <w:sz w:val="24"/>
                <w:szCs w:val="24"/>
              </w:rPr>
              <w:t>2328</w:t>
            </w:r>
          </w:p>
        </w:tc>
      </w:tr>
      <w:tr w14:paraId="75D4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10AECD20">
            <w:pPr>
              <w:pStyle w:val="38"/>
              <w:widowControl/>
              <w:spacing w:line="360" w:lineRule="auto"/>
              <w:jc w:val="center"/>
              <w:rPr>
                <w:rFonts w:ascii="宋体" w:hAnsi="宋体" w:eastAsia="宋体"/>
                <w:bCs/>
                <w:sz w:val="24"/>
                <w:szCs w:val="24"/>
              </w:rPr>
            </w:pPr>
          </w:p>
        </w:tc>
        <w:tc>
          <w:tcPr>
            <w:tcW w:w="1440" w:type="dxa"/>
            <w:shd w:val="clear" w:color="auto" w:fill="FFFFFF"/>
            <w:vAlign w:val="center"/>
          </w:tcPr>
          <w:p w14:paraId="77DEA144">
            <w:pPr>
              <w:pStyle w:val="38"/>
              <w:widowControl/>
              <w:spacing w:line="360" w:lineRule="auto"/>
              <w:jc w:val="center"/>
              <w:rPr>
                <w:rFonts w:ascii="宋体" w:hAnsi="宋体" w:eastAsia="宋体"/>
                <w:bCs/>
                <w:sz w:val="24"/>
                <w:szCs w:val="24"/>
              </w:rPr>
            </w:pPr>
            <w:r>
              <w:rPr>
                <w:rFonts w:ascii="宋体" w:hAnsi="宋体" w:eastAsia="宋体"/>
                <w:bCs/>
                <w:sz w:val="24"/>
                <w:szCs w:val="24"/>
              </w:rPr>
              <w:t>1.4362</w:t>
            </w:r>
          </w:p>
        </w:tc>
        <w:tc>
          <w:tcPr>
            <w:tcW w:w="2000" w:type="dxa"/>
            <w:shd w:val="clear" w:color="auto" w:fill="FFFFFF"/>
            <w:vAlign w:val="center"/>
          </w:tcPr>
          <w:p w14:paraId="5FE4715E">
            <w:pPr>
              <w:pStyle w:val="38"/>
              <w:widowControl/>
              <w:spacing w:line="360" w:lineRule="auto"/>
              <w:jc w:val="center"/>
              <w:rPr>
                <w:rFonts w:ascii="宋体" w:hAnsi="宋体" w:eastAsia="宋体"/>
                <w:sz w:val="24"/>
                <w:szCs w:val="24"/>
              </w:rPr>
            </w:pPr>
            <w:r>
              <w:rPr>
                <w:rFonts w:ascii="宋体" w:hAnsi="宋体" w:eastAsia="宋体"/>
                <w:sz w:val="24"/>
                <w:szCs w:val="24"/>
              </w:rPr>
              <w:t>S32304</w:t>
            </w:r>
          </w:p>
        </w:tc>
        <w:tc>
          <w:tcPr>
            <w:tcW w:w="2074" w:type="dxa"/>
            <w:shd w:val="clear" w:color="auto" w:fill="FFFFFF"/>
          </w:tcPr>
          <w:p w14:paraId="49F0A236">
            <w:pPr>
              <w:pStyle w:val="38"/>
              <w:widowControl/>
              <w:spacing w:line="360" w:lineRule="auto"/>
              <w:jc w:val="center"/>
              <w:rPr>
                <w:rFonts w:ascii="宋体" w:hAnsi="宋体" w:eastAsia="宋体"/>
                <w:sz w:val="24"/>
                <w:szCs w:val="24"/>
              </w:rPr>
            </w:pPr>
          </w:p>
        </w:tc>
        <w:tc>
          <w:tcPr>
            <w:tcW w:w="1676" w:type="dxa"/>
            <w:shd w:val="clear" w:color="auto" w:fill="FFFFFF"/>
          </w:tcPr>
          <w:p w14:paraId="77D0E10F">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631C67A5">
            <w:pPr>
              <w:pStyle w:val="38"/>
              <w:widowControl/>
              <w:spacing w:line="360" w:lineRule="auto"/>
              <w:jc w:val="center"/>
              <w:rPr>
                <w:rFonts w:ascii="宋体" w:hAnsi="宋体" w:eastAsia="宋体"/>
                <w:sz w:val="24"/>
                <w:szCs w:val="24"/>
              </w:rPr>
            </w:pPr>
            <w:r>
              <w:rPr>
                <w:rFonts w:ascii="宋体" w:hAnsi="宋体" w:eastAsia="宋体"/>
                <w:sz w:val="24"/>
                <w:szCs w:val="24"/>
              </w:rPr>
              <w:t>2377</w:t>
            </w:r>
          </w:p>
        </w:tc>
      </w:tr>
      <w:tr w14:paraId="39763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6C3F61B3">
            <w:pPr>
              <w:pStyle w:val="38"/>
              <w:widowControl/>
              <w:spacing w:line="360" w:lineRule="auto"/>
              <w:jc w:val="center"/>
              <w:rPr>
                <w:rFonts w:ascii="宋体" w:hAnsi="宋体" w:eastAsia="宋体"/>
                <w:sz w:val="24"/>
                <w:szCs w:val="24"/>
              </w:rPr>
            </w:pPr>
          </w:p>
        </w:tc>
        <w:tc>
          <w:tcPr>
            <w:tcW w:w="1440" w:type="dxa"/>
            <w:shd w:val="clear" w:color="auto" w:fill="FFFFFF"/>
            <w:vAlign w:val="center"/>
          </w:tcPr>
          <w:p w14:paraId="22869136">
            <w:pPr>
              <w:pStyle w:val="38"/>
              <w:widowControl/>
              <w:spacing w:line="360" w:lineRule="auto"/>
              <w:jc w:val="center"/>
              <w:rPr>
                <w:rFonts w:ascii="宋体" w:hAnsi="宋体" w:eastAsia="宋体"/>
                <w:b/>
                <w:bCs/>
                <w:sz w:val="24"/>
                <w:szCs w:val="24"/>
              </w:rPr>
            </w:pPr>
          </w:p>
        </w:tc>
        <w:tc>
          <w:tcPr>
            <w:tcW w:w="2000" w:type="dxa"/>
            <w:shd w:val="clear" w:color="auto" w:fill="FFFFFF"/>
            <w:vAlign w:val="center"/>
          </w:tcPr>
          <w:p w14:paraId="733FBDE8">
            <w:pPr>
              <w:pStyle w:val="38"/>
              <w:widowControl/>
              <w:spacing w:line="360" w:lineRule="auto"/>
              <w:jc w:val="center"/>
              <w:rPr>
                <w:rFonts w:ascii="宋体" w:hAnsi="宋体" w:eastAsia="宋体"/>
                <w:sz w:val="24"/>
                <w:szCs w:val="24"/>
              </w:rPr>
            </w:pPr>
            <w:r>
              <w:rPr>
                <w:rFonts w:ascii="宋体" w:hAnsi="宋体" w:eastAsia="宋体"/>
                <w:sz w:val="24"/>
                <w:szCs w:val="24"/>
              </w:rPr>
              <w:t>CD4MCuN</w:t>
            </w:r>
          </w:p>
        </w:tc>
        <w:tc>
          <w:tcPr>
            <w:tcW w:w="2074" w:type="dxa"/>
            <w:shd w:val="clear" w:color="auto" w:fill="FFFFFF"/>
            <w:vAlign w:val="center"/>
          </w:tcPr>
          <w:p w14:paraId="0C0E59BC">
            <w:pPr>
              <w:pStyle w:val="38"/>
              <w:widowControl/>
              <w:spacing w:line="360" w:lineRule="auto"/>
              <w:jc w:val="center"/>
              <w:rPr>
                <w:rFonts w:ascii="宋体" w:hAnsi="宋体" w:eastAsia="宋体"/>
                <w:sz w:val="24"/>
                <w:szCs w:val="24"/>
              </w:rPr>
            </w:pPr>
          </w:p>
        </w:tc>
        <w:tc>
          <w:tcPr>
            <w:tcW w:w="1676" w:type="dxa"/>
            <w:shd w:val="clear" w:color="auto" w:fill="FFFFFF"/>
            <w:vAlign w:val="center"/>
          </w:tcPr>
          <w:p w14:paraId="5F5425DF">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09295095">
            <w:pPr>
              <w:pStyle w:val="38"/>
              <w:widowControl/>
              <w:spacing w:line="360" w:lineRule="auto"/>
              <w:rPr>
                <w:rFonts w:ascii="宋体" w:hAnsi="宋体" w:eastAsia="宋体"/>
                <w:sz w:val="24"/>
                <w:szCs w:val="24"/>
              </w:rPr>
            </w:pPr>
          </w:p>
        </w:tc>
      </w:tr>
      <w:tr w14:paraId="283D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exact"/>
        </w:trPr>
        <w:tc>
          <w:tcPr>
            <w:tcW w:w="902" w:type="dxa"/>
            <w:vMerge w:val="continue"/>
            <w:shd w:val="clear" w:color="auto" w:fill="FFFFFF"/>
          </w:tcPr>
          <w:p w14:paraId="0C36D694">
            <w:pPr>
              <w:pStyle w:val="38"/>
              <w:widowControl/>
              <w:spacing w:line="360" w:lineRule="auto"/>
              <w:jc w:val="center"/>
              <w:rPr>
                <w:rFonts w:ascii="宋体" w:hAnsi="宋体" w:eastAsia="宋体"/>
                <w:sz w:val="24"/>
                <w:szCs w:val="24"/>
              </w:rPr>
            </w:pPr>
          </w:p>
        </w:tc>
        <w:tc>
          <w:tcPr>
            <w:tcW w:w="1440" w:type="dxa"/>
            <w:shd w:val="clear" w:color="auto" w:fill="FFFFFF"/>
            <w:vAlign w:val="center"/>
          </w:tcPr>
          <w:p w14:paraId="7DD00C71">
            <w:pPr>
              <w:pStyle w:val="38"/>
              <w:widowControl/>
              <w:spacing w:line="360" w:lineRule="auto"/>
              <w:jc w:val="center"/>
              <w:rPr>
                <w:rFonts w:ascii="宋体" w:hAnsi="宋体" w:eastAsia="宋体"/>
                <w:b/>
                <w:bCs/>
                <w:sz w:val="24"/>
                <w:szCs w:val="24"/>
              </w:rPr>
            </w:pPr>
          </w:p>
        </w:tc>
        <w:tc>
          <w:tcPr>
            <w:tcW w:w="2000" w:type="dxa"/>
            <w:shd w:val="clear" w:color="auto" w:fill="FFFFFF"/>
            <w:vAlign w:val="center"/>
          </w:tcPr>
          <w:p w14:paraId="23CEB290">
            <w:pPr>
              <w:pStyle w:val="38"/>
              <w:widowControl/>
              <w:spacing w:line="360" w:lineRule="auto"/>
              <w:jc w:val="center"/>
              <w:rPr>
                <w:rFonts w:ascii="宋体" w:hAnsi="宋体" w:eastAsia="宋体"/>
                <w:sz w:val="24"/>
                <w:szCs w:val="24"/>
              </w:rPr>
            </w:pPr>
            <w:r>
              <w:rPr>
                <w:rFonts w:hint="eastAsia" w:ascii="宋体" w:hAnsi="宋体" w:eastAsia="宋体" w:cs="仿宋"/>
                <w:sz w:val="24"/>
                <w:szCs w:val="24"/>
              </w:rPr>
              <w:t>A-890 3A</w:t>
            </w:r>
          </w:p>
        </w:tc>
        <w:tc>
          <w:tcPr>
            <w:tcW w:w="2074" w:type="dxa"/>
            <w:shd w:val="clear" w:color="auto" w:fill="FFFFFF"/>
            <w:vAlign w:val="center"/>
          </w:tcPr>
          <w:p w14:paraId="128C9529">
            <w:pPr>
              <w:pStyle w:val="38"/>
              <w:widowControl/>
              <w:spacing w:line="360" w:lineRule="auto"/>
              <w:jc w:val="center"/>
              <w:rPr>
                <w:rFonts w:ascii="宋体" w:hAnsi="宋体" w:eastAsia="宋体"/>
                <w:sz w:val="24"/>
                <w:szCs w:val="24"/>
              </w:rPr>
            </w:pPr>
          </w:p>
        </w:tc>
        <w:tc>
          <w:tcPr>
            <w:tcW w:w="1676" w:type="dxa"/>
            <w:shd w:val="clear" w:color="auto" w:fill="FFFFFF"/>
            <w:vAlign w:val="center"/>
          </w:tcPr>
          <w:p w14:paraId="73B1450A">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26BEE670">
            <w:pPr>
              <w:pStyle w:val="38"/>
              <w:widowControl/>
              <w:spacing w:line="360" w:lineRule="auto"/>
              <w:rPr>
                <w:rFonts w:ascii="宋体" w:hAnsi="宋体" w:eastAsia="宋体"/>
                <w:sz w:val="24"/>
                <w:szCs w:val="24"/>
              </w:rPr>
            </w:pPr>
          </w:p>
        </w:tc>
      </w:tr>
      <w:tr w14:paraId="05CB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3EE1C273">
            <w:pPr>
              <w:pStyle w:val="38"/>
              <w:widowControl/>
              <w:spacing w:line="360" w:lineRule="auto"/>
              <w:jc w:val="center"/>
              <w:rPr>
                <w:rFonts w:ascii="宋体" w:hAnsi="宋体" w:eastAsia="宋体"/>
                <w:sz w:val="24"/>
                <w:szCs w:val="24"/>
              </w:rPr>
            </w:pPr>
          </w:p>
        </w:tc>
        <w:tc>
          <w:tcPr>
            <w:tcW w:w="1440" w:type="dxa"/>
            <w:shd w:val="clear" w:color="auto" w:fill="FFFFFF"/>
            <w:vAlign w:val="center"/>
          </w:tcPr>
          <w:p w14:paraId="17FDB174">
            <w:pPr>
              <w:pStyle w:val="38"/>
              <w:widowControl/>
              <w:spacing w:line="360" w:lineRule="auto"/>
              <w:jc w:val="center"/>
              <w:rPr>
                <w:rFonts w:ascii="宋体" w:hAnsi="宋体" w:eastAsia="宋体"/>
                <w:b/>
                <w:bCs/>
                <w:sz w:val="24"/>
                <w:szCs w:val="24"/>
              </w:rPr>
            </w:pPr>
          </w:p>
        </w:tc>
        <w:tc>
          <w:tcPr>
            <w:tcW w:w="2000" w:type="dxa"/>
            <w:shd w:val="clear" w:color="auto" w:fill="FFFFFF"/>
            <w:vAlign w:val="center"/>
          </w:tcPr>
          <w:p w14:paraId="4DE8F9EA">
            <w:pPr>
              <w:pStyle w:val="38"/>
              <w:widowControl/>
              <w:spacing w:line="360" w:lineRule="auto"/>
              <w:jc w:val="center"/>
              <w:rPr>
                <w:rFonts w:ascii="宋体" w:hAnsi="宋体" w:eastAsia="宋体"/>
                <w:sz w:val="24"/>
                <w:szCs w:val="24"/>
              </w:rPr>
            </w:pPr>
            <w:r>
              <w:rPr>
                <w:rFonts w:hint="eastAsia" w:ascii="宋体" w:hAnsi="宋体" w:eastAsia="宋体" w:cs="仿宋"/>
                <w:sz w:val="24"/>
                <w:szCs w:val="24"/>
              </w:rPr>
              <w:t xml:space="preserve">A-890 </w:t>
            </w:r>
            <w:r>
              <w:rPr>
                <w:rFonts w:ascii="宋体" w:hAnsi="宋体" w:eastAsia="宋体" w:cs="仿宋"/>
                <w:sz w:val="24"/>
                <w:szCs w:val="24"/>
              </w:rPr>
              <w:t>5</w:t>
            </w:r>
            <w:r>
              <w:rPr>
                <w:rFonts w:hint="eastAsia" w:ascii="宋体" w:hAnsi="宋体" w:eastAsia="宋体" w:cs="仿宋"/>
                <w:sz w:val="24"/>
                <w:szCs w:val="24"/>
              </w:rPr>
              <w:t>A</w:t>
            </w:r>
          </w:p>
        </w:tc>
        <w:tc>
          <w:tcPr>
            <w:tcW w:w="2074" w:type="dxa"/>
            <w:shd w:val="clear" w:color="auto" w:fill="FFFFFF"/>
            <w:vAlign w:val="center"/>
          </w:tcPr>
          <w:p w14:paraId="3F1D8EBF">
            <w:pPr>
              <w:pStyle w:val="38"/>
              <w:widowControl/>
              <w:spacing w:line="360" w:lineRule="auto"/>
              <w:jc w:val="center"/>
              <w:rPr>
                <w:rFonts w:ascii="宋体" w:hAnsi="宋体" w:eastAsia="宋体"/>
                <w:sz w:val="24"/>
                <w:szCs w:val="24"/>
              </w:rPr>
            </w:pPr>
          </w:p>
        </w:tc>
        <w:tc>
          <w:tcPr>
            <w:tcW w:w="1676" w:type="dxa"/>
            <w:shd w:val="clear" w:color="auto" w:fill="FFFFFF"/>
            <w:vAlign w:val="center"/>
          </w:tcPr>
          <w:p w14:paraId="779BD4A4">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0839B5AC">
            <w:pPr>
              <w:pStyle w:val="38"/>
              <w:widowControl/>
              <w:spacing w:line="360" w:lineRule="auto"/>
              <w:rPr>
                <w:rFonts w:ascii="宋体" w:hAnsi="宋体" w:eastAsia="宋体"/>
                <w:sz w:val="24"/>
                <w:szCs w:val="24"/>
              </w:rPr>
            </w:pPr>
          </w:p>
        </w:tc>
      </w:tr>
      <w:tr w14:paraId="68532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39" w:hRule="exact"/>
        </w:trPr>
        <w:tc>
          <w:tcPr>
            <w:tcW w:w="902" w:type="dxa"/>
            <w:vMerge w:val="continue"/>
            <w:shd w:val="clear" w:color="auto" w:fill="FFFFFF"/>
          </w:tcPr>
          <w:p w14:paraId="59F44568">
            <w:pPr>
              <w:pStyle w:val="38"/>
              <w:widowControl/>
              <w:spacing w:line="360" w:lineRule="auto"/>
              <w:jc w:val="center"/>
              <w:rPr>
                <w:rFonts w:ascii="宋体" w:hAnsi="宋体" w:eastAsia="宋体"/>
                <w:sz w:val="24"/>
                <w:szCs w:val="24"/>
              </w:rPr>
            </w:pPr>
          </w:p>
        </w:tc>
        <w:tc>
          <w:tcPr>
            <w:tcW w:w="1440" w:type="dxa"/>
            <w:shd w:val="clear" w:color="auto" w:fill="FFFFFF"/>
            <w:vAlign w:val="center"/>
          </w:tcPr>
          <w:p w14:paraId="61357DC0">
            <w:pPr>
              <w:pStyle w:val="38"/>
              <w:widowControl/>
              <w:spacing w:line="360" w:lineRule="auto"/>
              <w:jc w:val="center"/>
              <w:rPr>
                <w:rFonts w:ascii="宋体" w:hAnsi="宋体" w:eastAsia="宋体"/>
                <w:b/>
                <w:bCs/>
                <w:sz w:val="24"/>
                <w:szCs w:val="24"/>
              </w:rPr>
            </w:pPr>
          </w:p>
        </w:tc>
        <w:tc>
          <w:tcPr>
            <w:tcW w:w="2000" w:type="dxa"/>
            <w:shd w:val="clear" w:color="auto" w:fill="FFFFFF"/>
            <w:vAlign w:val="center"/>
          </w:tcPr>
          <w:p w14:paraId="18EFE16E">
            <w:pPr>
              <w:pStyle w:val="38"/>
              <w:widowControl/>
              <w:spacing w:line="360" w:lineRule="auto"/>
              <w:jc w:val="center"/>
              <w:rPr>
                <w:rFonts w:ascii="宋体" w:hAnsi="宋体" w:eastAsia="宋体"/>
                <w:sz w:val="24"/>
                <w:szCs w:val="24"/>
              </w:rPr>
            </w:pPr>
            <w:r>
              <w:rPr>
                <w:rFonts w:hint="eastAsia" w:ascii="宋体" w:hAnsi="宋体" w:eastAsia="宋体" w:cs="仿宋"/>
                <w:sz w:val="24"/>
                <w:szCs w:val="24"/>
              </w:rPr>
              <w:t>A</w:t>
            </w:r>
            <w:r>
              <w:rPr>
                <w:rFonts w:ascii="宋体" w:hAnsi="宋体" w:eastAsia="宋体" w:cs="仿宋"/>
                <w:sz w:val="24"/>
                <w:szCs w:val="24"/>
              </w:rPr>
              <w:t>743 CF</w:t>
            </w:r>
            <w:r>
              <w:rPr>
                <w:rFonts w:hint="eastAsia" w:ascii="宋体" w:hAnsi="宋体" w:eastAsia="宋体" w:cs="仿宋"/>
                <w:sz w:val="24"/>
                <w:szCs w:val="24"/>
              </w:rPr>
              <w:t>-</w:t>
            </w:r>
            <w:r>
              <w:rPr>
                <w:rFonts w:ascii="宋体" w:hAnsi="宋体" w:eastAsia="宋体" w:cs="仿宋"/>
                <w:sz w:val="24"/>
                <w:szCs w:val="24"/>
              </w:rPr>
              <w:t>8</w:t>
            </w:r>
          </w:p>
        </w:tc>
        <w:tc>
          <w:tcPr>
            <w:tcW w:w="2074" w:type="dxa"/>
            <w:shd w:val="clear" w:color="auto" w:fill="FFFFFF"/>
            <w:vAlign w:val="center"/>
          </w:tcPr>
          <w:p w14:paraId="74899195">
            <w:pPr>
              <w:pStyle w:val="38"/>
              <w:widowControl/>
              <w:spacing w:line="360" w:lineRule="auto"/>
              <w:jc w:val="center"/>
              <w:rPr>
                <w:rFonts w:ascii="宋体" w:hAnsi="宋体" w:eastAsia="宋体"/>
                <w:sz w:val="24"/>
                <w:szCs w:val="24"/>
              </w:rPr>
            </w:pPr>
          </w:p>
        </w:tc>
        <w:tc>
          <w:tcPr>
            <w:tcW w:w="1676" w:type="dxa"/>
            <w:shd w:val="clear" w:color="auto" w:fill="FFFFFF"/>
            <w:vAlign w:val="center"/>
          </w:tcPr>
          <w:p w14:paraId="4D726C65">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643471C2">
            <w:pPr>
              <w:pStyle w:val="38"/>
              <w:widowControl/>
              <w:spacing w:line="360" w:lineRule="auto"/>
              <w:rPr>
                <w:rFonts w:ascii="宋体" w:hAnsi="宋体" w:eastAsia="宋体"/>
                <w:sz w:val="24"/>
                <w:szCs w:val="24"/>
              </w:rPr>
            </w:pPr>
          </w:p>
        </w:tc>
      </w:tr>
      <w:tr w14:paraId="55C8C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exact"/>
        </w:trPr>
        <w:tc>
          <w:tcPr>
            <w:tcW w:w="902" w:type="dxa"/>
            <w:vMerge w:val="continue"/>
            <w:shd w:val="clear" w:color="auto" w:fill="FFFFFF"/>
          </w:tcPr>
          <w:p w14:paraId="75EDC0FD">
            <w:pPr>
              <w:pStyle w:val="38"/>
              <w:widowControl/>
              <w:spacing w:line="360" w:lineRule="auto"/>
              <w:jc w:val="center"/>
              <w:rPr>
                <w:rFonts w:ascii="宋体" w:hAnsi="宋体" w:eastAsia="宋体"/>
                <w:sz w:val="24"/>
                <w:szCs w:val="24"/>
              </w:rPr>
            </w:pPr>
          </w:p>
        </w:tc>
        <w:tc>
          <w:tcPr>
            <w:tcW w:w="1440" w:type="dxa"/>
            <w:shd w:val="clear" w:color="auto" w:fill="FFFFFF"/>
            <w:vAlign w:val="center"/>
          </w:tcPr>
          <w:p w14:paraId="4E798333">
            <w:pPr>
              <w:pStyle w:val="38"/>
              <w:widowControl/>
              <w:spacing w:line="360" w:lineRule="auto"/>
              <w:jc w:val="center"/>
              <w:rPr>
                <w:rFonts w:ascii="宋体" w:hAnsi="宋体" w:eastAsia="宋体"/>
                <w:b/>
                <w:bCs/>
                <w:sz w:val="24"/>
                <w:szCs w:val="24"/>
              </w:rPr>
            </w:pPr>
          </w:p>
        </w:tc>
        <w:tc>
          <w:tcPr>
            <w:tcW w:w="2000" w:type="dxa"/>
            <w:shd w:val="clear" w:color="auto" w:fill="FFFFFF"/>
            <w:vAlign w:val="center"/>
          </w:tcPr>
          <w:p w14:paraId="02ED16A7">
            <w:pPr>
              <w:pStyle w:val="38"/>
              <w:widowControl/>
              <w:spacing w:line="360" w:lineRule="auto"/>
              <w:jc w:val="center"/>
              <w:rPr>
                <w:rFonts w:ascii="宋体" w:hAnsi="宋体" w:eastAsia="宋体"/>
                <w:sz w:val="24"/>
                <w:szCs w:val="24"/>
              </w:rPr>
            </w:pPr>
            <w:r>
              <w:rPr>
                <w:rFonts w:ascii="宋体" w:hAnsi="宋体" w:eastAsia="宋体" w:cs="仿宋"/>
                <w:sz w:val="24"/>
                <w:szCs w:val="24"/>
              </w:rPr>
              <w:t xml:space="preserve"> A747 CB7 Cu-2</w:t>
            </w:r>
          </w:p>
        </w:tc>
        <w:tc>
          <w:tcPr>
            <w:tcW w:w="2074" w:type="dxa"/>
            <w:shd w:val="clear" w:color="auto" w:fill="FFFFFF"/>
            <w:vAlign w:val="center"/>
          </w:tcPr>
          <w:p w14:paraId="676ACBDA">
            <w:pPr>
              <w:pStyle w:val="38"/>
              <w:widowControl/>
              <w:spacing w:line="360" w:lineRule="auto"/>
              <w:jc w:val="center"/>
              <w:rPr>
                <w:rFonts w:ascii="宋体" w:hAnsi="宋体" w:eastAsia="宋体"/>
                <w:sz w:val="24"/>
                <w:szCs w:val="24"/>
                <w:highlight w:val="yellow"/>
              </w:rPr>
            </w:pPr>
          </w:p>
        </w:tc>
        <w:tc>
          <w:tcPr>
            <w:tcW w:w="1676" w:type="dxa"/>
            <w:shd w:val="clear" w:color="auto" w:fill="FFFFFF"/>
            <w:vAlign w:val="center"/>
          </w:tcPr>
          <w:p w14:paraId="4750071E">
            <w:pPr>
              <w:pStyle w:val="38"/>
              <w:widowControl/>
              <w:spacing w:line="360" w:lineRule="auto"/>
              <w:jc w:val="center"/>
              <w:rPr>
                <w:rFonts w:ascii="宋体" w:hAnsi="宋体" w:eastAsia="宋体"/>
                <w:sz w:val="24"/>
                <w:szCs w:val="24"/>
              </w:rPr>
            </w:pPr>
          </w:p>
        </w:tc>
        <w:tc>
          <w:tcPr>
            <w:tcW w:w="1210" w:type="dxa"/>
            <w:shd w:val="clear" w:color="auto" w:fill="FFFFFF"/>
            <w:vAlign w:val="center"/>
          </w:tcPr>
          <w:p w14:paraId="7825CD7A">
            <w:pPr>
              <w:pStyle w:val="38"/>
              <w:widowControl/>
              <w:spacing w:line="360" w:lineRule="auto"/>
              <w:rPr>
                <w:rFonts w:ascii="宋体" w:hAnsi="宋体" w:eastAsia="宋体"/>
                <w:sz w:val="24"/>
                <w:szCs w:val="24"/>
              </w:rPr>
            </w:pPr>
          </w:p>
        </w:tc>
      </w:tr>
      <w:tr w14:paraId="68F0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8" w:hRule="atLeast"/>
        </w:trPr>
        <w:tc>
          <w:tcPr>
            <w:tcW w:w="902" w:type="dxa"/>
            <w:shd w:val="clear" w:color="auto" w:fill="FFFFFF"/>
            <w:vAlign w:val="center"/>
          </w:tcPr>
          <w:p w14:paraId="4CE10A09">
            <w:pPr>
              <w:pStyle w:val="38"/>
              <w:widowControl/>
              <w:spacing w:line="360" w:lineRule="auto"/>
              <w:jc w:val="center"/>
              <w:rPr>
                <w:rFonts w:ascii="宋体" w:hAnsi="宋体" w:eastAsia="宋体"/>
                <w:sz w:val="24"/>
                <w:szCs w:val="24"/>
              </w:rPr>
            </w:pPr>
            <w:r>
              <w:rPr>
                <w:rFonts w:hint="eastAsia" w:ascii="宋体" w:hAnsi="宋体" w:eastAsia="宋体"/>
                <w:sz w:val="24"/>
                <w:szCs w:val="24"/>
              </w:rPr>
              <w:t>其他</w:t>
            </w:r>
          </w:p>
        </w:tc>
        <w:tc>
          <w:tcPr>
            <w:tcW w:w="8400" w:type="dxa"/>
            <w:gridSpan w:val="5"/>
            <w:shd w:val="clear" w:color="auto" w:fill="FFFFFF"/>
            <w:vAlign w:val="center"/>
          </w:tcPr>
          <w:p w14:paraId="26E638B0">
            <w:pPr>
              <w:pStyle w:val="38"/>
              <w:widowControl/>
              <w:spacing w:line="360" w:lineRule="auto"/>
              <w:jc w:val="center"/>
              <w:rPr>
                <w:rFonts w:ascii="宋体" w:hAnsi="宋体" w:eastAsia="宋体"/>
                <w:sz w:val="24"/>
                <w:szCs w:val="24"/>
              </w:rPr>
            </w:pPr>
            <w:r>
              <w:rPr>
                <w:rFonts w:ascii="宋体" w:hAnsi="宋体" w:eastAsia="宋体"/>
                <w:sz w:val="24"/>
                <w:szCs w:val="24"/>
              </w:rPr>
              <w:t>CS（碳钢）等于：P265GH、HII、ASTM A285、A53或GB:Q235A、Q235B、Q345B</w:t>
            </w:r>
            <w:r>
              <w:rPr>
                <w:rFonts w:hint="eastAsia" w:ascii="宋体" w:hAnsi="宋体" w:eastAsia="宋体"/>
                <w:sz w:val="24"/>
                <w:szCs w:val="24"/>
              </w:rPr>
              <w:t>、Q345R  2</w:t>
            </w:r>
            <w:r>
              <w:rPr>
                <w:rFonts w:ascii="宋体" w:hAnsi="宋体" w:eastAsia="宋体"/>
                <w:sz w:val="24"/>
                <w:szCs w:val="24"/>
              </w:rPr>
              <w:t>0</w:t>
            </w:r>
            <w:r>
              <w:rPr>
                <w:rFonts w:hint="eastAsia" w:ascii="宋体" w:hAnsi="宋体" w:eastAsia="宋体"/>
                <w:sz w:val="24"/>
                <w:szCs w:val="24"/>
              </w:rPr>
              <w:t>#</w:t>
            </w:r>
          </w:p>
        </w:tc>
      </w:tr>
      <w:tr w14:paraId="5BD4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8" w:hRule="atLeast"/>
        </w:trPr>
        <w:tc>
          <w:tcPr>
            <w:tcW w:w="902" w:type="dxa"/>
            <w:shd w:val="clear" w:color="auto" w:fill="FFFFFF"/>
            <w:vAlign w:val="center"/>
          </w:tcPr>
          <w:p w14:paraId="2FDF9501">
            <w:pPr>
              <w:pStyle w:val="38"/>
              <w:widowControl/>
              <w:spacing w:line="360" w:lineRule="auto"/>
              <w:jc w:val="center"/>
              <w:rPr>
                <w:rFonts w:ascii="宋体" w:hAnsi="宋体" w:eastAsia="宋体"/>
                <w:sz w:val="24"/>
                <w:szCs w:val="24"/>
              </w:rPr>
            </w:pPr>
            <w:r>
              <w:rPr>
                <w:rFonts w:hint="eastAsia" w:ascii="宋体" w:hAnsi="宋体" w:eastAsia="宋体"/>
                <w:sz w:val="24"/>
                <w:szCs w:val="24"/>
              </w:rPr>
              <w:t>备注</w:t>
            </w:r>
          </w:p>
        </w:tc>
        <w:tc>
          <w:tcPr>
            <w:tcW w:w="8400" w:type="dxa"/>
            <w:gridSpan w:val="5"/>
            <w:shd w:val="clear" w:color="auto" w:fill="FFFFFF"/>
            <w:vAlign w:val="center"/>
          </w:tcPr>
          <w:p w14:paraId="19F686E6">
            <w:pPr>
              <w:pStyle w:val="38"/>
              <w:widowControl/>
              <w:spacing w:line="360" w:lineRule="auto"/>
              <w:jc w:val="center"/>
              <w:rPr>
                <w:rFonts w:ascii="宋体" w:hAnsi="宋体" w:eastAsia="宋体"/>
                <w:sz w:val="24"/>
                <w:szCs w:val="24"/>
              </w:rPr>
            </w:pPr>
            <w:r>
              <w:rPr>
                <w:rFonts w:ascii="宋体" w:hAnsi="宋体" w:eastAsia="宋体"/>
                <w:color w:val="000000"/>
                <w:sz w:val="24"/>
              </w:rPr>
              <w:t>管材、板材要求：钢板品牌选用宝武钢铁、鞍钢、涟钢或同等</w:t>
            </w:r>
            <w:r>
              <w:rPr>
                <w:rFonts w:hint="eastAsia" w:ascii="宋体" w:hAnsi="宋体" w:eastAsia="宋体"/>
                <w:color w:val="000000"/>
                <w:sz w:val="24"/>
              </w:rPr>
              <w:t>品质一线</w:t>
            </w:r>
            <w:r>
              <w:rPr>
                <w:rFonts w:ascii="宋体" w:hAnsi="宋体" w:eastAsia="宋体"/>
                <w:color w:val="000000"/>
                <w:sz w:val="24"/>
              </w:rPr>
              <w:t>品牌。</w:t>
            </w:r>
          </w:p>
        </w:tc>
      </w:tr>
    </w:tbl>
    <w:p w14:paraId="7A2880D1">
      <w:pPr>
        <w:pStyle w:val="17"/>
        <w:ind w:left="560"/>
      </w:pPr>
    </w:p>
    <w:p w14:paraId="2BCD8818">
      <w:pPr>
        <w:pStyle w:val="2"/>
      </w:pPr>
      <w:bookmarkStart w:id="92" w:name="_Toc12760"/>
      <w:bookmarkStart w:id="93" w:name="_Toc1236"/>
      <w:bookmarkStart w:id="94" w:name="_Toc19314"/>
      <w:r>
        <w:rPr>
          <w:rFonts w:hint="eastAsia"/>
        </w:rPr>
        <w:t>二．非标设备（蒸煮锅、非标槽罐、换热器）技术要求</w:t>
      </w:r>
      <w:bookmarkEnd w:id="92"/>
      <w:bookmarkEnd w:id="93"/>
      <w:bookmarkEnd w:id="94"/>
    </w:p>
    <w:p w14:paraId="1604F8DA">
      <w:pPr>
        <w:pStyle w:val="5"/>
        <w:ind w:firstLine="480"/>
        <w:jc w:val="both"/>
      </w:pPr>
      <w:r>
        <w:rPr>
          <w:rFonts w:hint="eastAsia"/>
        </w:rPr>
        <w:t>承包人须提供工艺过程中所有需求的槽罐、蒸煮锅、换热器类等设备，并对其进行说明，包括槽罐、蒸煮锅、换热器类等设备的各个位置（槽壁、槽顶、槽底、槽体附件及连接管道等）制作材料、制造要求、外形尺寸及完整的外部连接图，并列出工艺过程所有设备的详细配置参数清单。</w:t>
      </w:r>
    </w:p>
    <w:p w14:paraId="2F114E2C">
      <w:pPr>
        <w:pStyle w:val="5"/>
        <w:ind w:firstLine="480"/>
        <w:jc w:val="both"/>
      </w:pPr>
      <w:r>
        <w:rPr>
          <w:rFonts w:hint="eastAsia"/>
        </w:rPr>
        <w:t>2.1 技术要求总则：</w:t>
      </w:r>
    </w:p>
    <w:p w14:paraId="7A26BC28">
      <w:pPr>
        <w:pStyle w:val="23"/>
        <w:ind w:left="1440" w:hanging="720" w:firstLineChars="0"/>
        <w:jc w:val="both"/>
        <w:rPr>
          <w:rFonts w:hint="default"/>
        </w:rPr>
      </w:pPr>
      <w:r>
        <w:rPr>
          <w:lang w:val="en-US"/>
        </w:rPr>
        <w:t>2</w:t>
      </w:r>
      <w:r>
        <w:t>.1.1 制造商具有设计、制造相应类别设备的资质和证书，持有国家制造许可证，并具有良好的设备、施工工艺、完整的质量保证体系及相应的试验检验手段。</w:t>
      </w:r>
    </w:p>
    <w:p w14:paraId="48FDFCD7">
      <w:pPr>
        <w:pStyle w:val="23"/>
        <w:ind w:left="1380" w:hanging="660" w:firstLineChars="0"/>
        <w:jc w:val="both"/>
        <w:rPr>
          <w:rFonts w:hint="default"/>
        </w:rPr>
      </w:pPr>
      <w:r>
        <w:rPr>
          <w:lang w:val="en-US"/>
        </w:rPr>
        <w:t>2</w:t>
      </w:r>
      <w:r>
        <w:t>.1.2对于处于大气压力下的槽罐，按发包人所在国规范执行；压力容器按中国标准或中国官方认可的国际通用的压力容器规范执行。</w:t>
      </w:r>
    </w:p>
    <w:p w14:paraId="1A38ADD5">
      <w:pPr>
        <w:pStyle w:val="23"/>
        <w:ind w:left="1384" w:hanging="664" w:firstLineChars="0"/>
        <w:jc w:val="both"/>
        <w:rPr>
          <w:rFonts w:hint="default"/>
        </w:rPr>
      </w:pPr>
      <w:r>
        <w:rPr>
          <w:lang w:val="en-US"/>
        </w:rPr>
        <w:t>2</w:t>
      </w:r>
      <w:r>
        <w:t>.1.3现场制作所有的槽罐及塔的高度超过2m以上部位的检修或上人位置都要配备梯子、工作平台和护栏。槽罐和容器底部都装设排空管（排空管设计应能完全排空内部介质）和排放阀，且容器需设通风孔、人孔。所有人孔门采用铰接方式。圆形人孔门直径至少</w:t>
      </w:r>
      <w:r>
        <w:rPr>
          <w:lang w:val="en-US"/>
        </w:rPr>
        <w:t>为</w:t>
      </w:r>
      <w:r>
        <w:t>600mm，矩形人孔门最小为450mm×600mm。</w:t>
      </w:r>
    </w:p>
    <w:p w14:paraId="416EA075">
      <w:pPr>
        <w:pStyle w:val="5"/>
        <w:ind w:firstLine="480"/>
        <w:jc w:val="both"/>
      </w:pPr>
      <w:r>
        <w:rPr>
          <w:rFonts w:hint="eastAsia"/>
        </w:rPr>
        <w:t>2.2 其他要求：</w:t>
      </w:r>
    </w:p>
    <w:p w14:paraId="03504282">
      <w:pPr>
        <w:pStyle w:val="23"/>
        <w:ind w:left="1440" w:hanging="720" w:firstLineChars="0"/>
        <w:jc w:val="both"/>
        <w:rPr>
          <w:rFonts w:hint="default"/>
        </w:rPr>
      </w:pPr>
      <w:r>
        <w:rPr>
          <w:lang w:val="en-US"/>
        </w:rPr>
        <w:t>2</w:t>
      </w:r>
      <w:r>
        <w:t>.2.1 蒸煮锅上锅口及卸料口非标准法兰根据装锅阀、放锅阀法兰的尺寸进行设计，需满足装锅阀、放锅阀的安装要求；筛板</w:t>
      </w:r>
      <w:r>
        <w:rPr>
          <w:lang w:val="en-US"/>
        </w:rPr>
        <w:t>设计除必须满足工艺使用性能外，还必须在设计及制造工艺上保证筛板的加工尺寸精度确保拼接准确可靠，且在承受锅内压差及交变负荷的作用下设有足够的强度刚度，筛板焊接应进行焊接工艺评定，且严格</w:t>
      </w:r>
      <w:r>
        <w:rPr>
          <w:rFonts w:ascii="Segoe UI" w:hAnsi="Segoe UI" w:eastAsia="Segoe UI" w:cs="Segoe UI"/>
          <w:shd w:val="clear" w:color="auto" w:fill="FFFFFF"/>
        </w:rPr>
        <w:t>按焊接工艺评定要求进行焊接</w:t>
      </w:r>
      <w:r>
        <w:rPr>
          <w:rFonts w:ascii="Segoe UI" w:hAnsi="Segoe UI" w:cs="Segoe UI"/>
          <w:shd w:val="clear" w:color="auto" w:fill="FFFFFF"/>
        </w:rPr>
        <w:t>，</w:t>
      </w:r>
      <w:r>
        <w:rPr>
          <w:rFonts w:ascii="Segoe UI" w:hAnsi="Segoe UI" w:cs="Segoe UI"/>
          <w:shd w:val="clear" w:color="auto" w:fill="FFFFFF"/>
          <w:lang w:val="en-US"/>
        </w:rPr>
        <w:t>保证焊接质量。</w:t>
      </w:r>
      <w:r>
        <w:rPr>
          <w:lang w:val="en-US"/>
        </w:rPr>
        <w:t>设计牢固可靠，在蒸煮锅全寿命周期内不得出现焊缝和筛板本体开裂，变形，瘪塌等失效形式</w:t>
      </w:r>
      <w:r>
        <w:t>。</w:t>
      </w:r>
    </w:p>
    <w:p w14:paraId="65937C49">
      <w:pPr>
        <w:pStyle w:val="23"/>
        <w:ind w:firstLine="720"/>
        <w:jc w:val="both"/>
        <w:rPr>
          <w:rFonts w:hint="default"/>
        </w:rPr>
      </w:pPr>
      <w:r>
        <w:rPr>
          <w:lang w:val="en-US"/>
        </w:rPr>
        <w:t>2</w:t>
      </w:r>
      <w:r>
        <w:t>.2.2 所有罐内焊缝应打磨光滑，并圆滑过渡，罐外焊缝应平整。</w:t>
      </w:r>
    </w:p>
    <w:p w14:paraId="01207037">
      <w:pPr>
        <w:pStyle w:val="23"/>
        <w:ind w:left="1440" w:hanging="720" w:firstLineChars="0"/>
        <w:jc w:val="both"/>
        <w:rPr>
          <w:rFonts w:hint="default"/>
          <w:highlight w:val="yellow"/>
        </w:rPr>
      </w:pPr>
      <w:r>
        <w:rPr>
          <w:lang w:val="en-US"/>
        </w:rPr>
        <w:t>2</w:t>
      </w:r>
      <w:r>
        <w:t>.2.3 所有焊缝均按</w:t>
      </w:r>
      <w:r>
        <w:rPr>
          <w:lang w:val="en-US"/>
        </w:rPr>
        <w:t>N</w:t>
      </w:r>
      <w:r>
        <w:t>B/T47</w:t>
      </w:r>
      <w:r>
        <w:rPr>
          <w:lang w:val="en-US"/>
        </w:rPr>
        <w:t>01</w:t>
      </w:r>
      <w:r>
        <w:t>3《承压设备无损检测》</w:t>
      </w:r>
      <w:r>
        <w:rPr>
          <w:lang w:val="en-US"/>
        </w:rPr>
        <w:t>,及GB150</w:t>
      </w:r>
      <w:r>
        <w:t>《</w:t>
      </w:r>
      <w:r>
        <w:rPr>
          <w:lang w:val="en-US"/>
        </w:rPr>
        <w:t>压力容器</w:t>
      </w:r>
      <w:r>
        <w:t>》</w:t>
      </w:r>
      <w:r>
        <w:rPr>
          <w:lang w:val="en-US"/>
        </w:rPr>
        <w:t>TSG21</w:t>
      </w:r>
      <w:r>
        <w:t>《</w:t>
      </w:r>
      <w:r>
        <w:rPr>
          <w:lang w:val="en-US"/>
        </w:rPr>
        <w:t>压力容器安全技术监察规程</w:t>
      </w:r>
      <w:r>
        <w:t>》的规定</w:t>
      </w:r>
      <w:r>
        <w:rPr>
          <w:lang w:val="en-US"/>
        </w:rPr>
        <w:t>要求</w:t>
      </w:r>
      <w:r>
        <w:t>进行</w:t>
      </w:r>
      <w:r>
        <w:rPr>
          <w:lang w:val="en-US"/>
        </w:rPr>
        <w:t>无损</w:t>
      </w:r>
      <w:r>
        <w:t>探伤，</w:t>
      </w:r>
      <w:r>
        <w:rPr>
          <w:lang w:val="en-US"/>
        </w:rPr>
        <w:t>和相应的</w:t>
      </w:r>
      <w:r>
        <w:t>合格</w:t>
      </w:r>
      <w:r>
        <w:rPr>
          <w:lang w:val="en-US"/>
        </w:rPr>
        <w:t>评定。</w:t>
      </w:r>
    </w:p>
    <w:p w14:paraId="398C630E">
      <w:pPr>
        <w:pStyle w:val="23"/>
        <w:ind w:left="1440" w:hanging="720" w:firstLineChars="0"/>
        <w:jc w:val="both"/>
        <w:rPr>
          <w:rFonts w:hint="default"/>
        </w:rPr>
      </w:pPr>
      <w:r>
        <w:rPr>
          <w:lang w:val="en-US"/>
        </w:rPr>
        <w:t>2</w:t>
      </w:r>
      <w:r>
        <w:t>.2.4 开孔补强的要求：</w:t>
      </w:r>
      <w:r>
        <w:rPr>
          <w:lang w:val="en-US"/>
        </w:rPr>
        <w:t>按</w:t>
      </w:r>
      <w:r>
        <w:fldChar w:fldCharType="begin"/>
      </w:r>
      <w:r>
        <w:instrText xml:space="preserve"> HYPERLINK "https://www.baidu.com/s?rsv_dl=re_dqa_generate&amp;sa=re_dqa_generate&amp;wd=GB150&amp;rsv_pq=d9636ca700073999&amp;oq=%E5%AE%B9%E5%99%A8%20%E5%BC%80%E5%AD%94%E8%A1%A5%E5%BC%BA%E7%9A%84%E8%A7%84%E8%8C%83%E8%A6%81%E6%B1%82%E6%9C%89%E5%93%AA%E4%BA%9B&amp;rsv_t=2288IoaYFyM4if0IDWbvRiGsNWGVLl+ksbnA2Q9DOrEu8S47nuitdx3kGjFqGTo7JIl7zr8OhtcY&amp;tn=40020637_29_oem_dg&amp;ie=utf-8" \t "https://www.baidu.com/_blank" </w:instrText>
      </w:r>
      <w:r>
        <w:fldChar w:fldCharType="separate"/>
      </w:r>
      <w:r>
        <w:t>GB150</w:t>
      </w:r>
      <w:r>
        <w:fldChar w:fldCharType="end"/>
      </w:r>
      <w:r>
        <w:t>《钢制压力容器》；</w:t>
      </w:r>
      <w:r>
        <w:fldChar w:fldCharType="begin"/>
      </w:r>
      <w:r>
        <w:instrText xml:space="preserve"> HYPERLINK "https://www.baidu.com/s?rsv_dl=re_dqa_generate&amp;sa=re_dqa_generate&amp;wd=GB/T%2012777&amp;rsv_pq=d9636ca700073999&amp;oq=%E5%AE%B9%E5%99%A8%20%E5%BC%80%E5%AD%94%E8%A1%A5%E5%BC%BA%E7%9A%84%E8%A7%84%E8%8C%83%E8%A6%81%E6%B1%82%E6%9C%89%E5%93%AA%E4%BA%9B&amp;rsv_t=2288IoaYFyM4if0IDWbvRiGsNWGVLl+ksbnA2Q9DOrEu8S47nuitdx3kGjFqGTo7JIl7zr8OhtcY&amp;tn=40020637_29_oem_dg&amp;ie=utf-8" \t "https://www.baidu.com/_blank" </w:instrText>
      </w:r>
      <w:r>
        <w:fldChar w:fldCharType="separate"/>
      </w:r>
      <w:r>
        <w:t>GB/T 12777</w:t>
      </w:r>
      <w:r>
        <w:fldChar w:fldCharType="end"/>
      </w:r>
      <w:r>
        <w:t>《压力容器人孔设计规范》；</w:t>
      </w:r>
      <w:r>
        <w:fldChar w:fldCharType="begin"/>
      </w:r>
      <w:r>
        <w:instrText xml:space="preserve"> HYPERLINK "https://www.baidu.com/s?rsv_dl=re_dqa_generate&amp;sa=re_dqa_generate&amp;wd=GB/T%2019624&amp;rsv_pq=d9636ca700073999&amp;oq=%E5%AE%B9%E5%99%A8%20%E5%BC%80%E5%AD%94%E8%A1%A5%E5%BC%BA%E7%9A%84%E8%A7%84%E8%8C%83%E8%A6%81%E6%B1%82%E6%9C%89%E5%93%AA%E4%BA%9B&amp;rsv_t=2288IoaYFyM4if0IDWbvRiGsNWGVLl+ksbnA2Q9DOrEu8S47nuitdx3kGjFqGTo7JIl7zr8OhtcY&amp;tn=40020637_29_oem_dg&amp;ie=utf-8" \t "https://www.baidu.com/_blank" </w:instrText>
      </w:r>
      <w:r>
        <w:fldChar w:fldCharType="separate"/>
      </w:r>
      <w:r>
        <w:t>GB/T 19624</w:t>
      </w:r>
      <w:r>
        <w:fldChar w:fldCharType="end"/>
      </w:r>
      <w:r>
        <w:t>《钢制压力容器强度计算规范》</w:t>
      </w:r>
      <w:r>
        <w:rPr>
          <w:lang w:val="en-US"/>
        </w:rPr>
        <w:t>等现行规范标准执行。</w:t>
      </w:r>
    </w:p>
    <w:p w14:paraId="08ABAE32">
      <w:pPr>
        <w:pStyle w:val="2"/>
      </w:pPr>
      <w:bookmarkStart w:id="95" w:name="_Toc24804"/>
      <w:bookmarkStart w:id="96" w:name="_Toc32170"/>
      <w:bookmarkStart w:id="97" w:name="_Toc11283"/>
      <w:r>
        <w:rPr>
          <w:rFonts w:hint="eastAsia"/>
        </w:rPr>
        <w:t>三．泵类设备技术要求</w:t>
      </w:r>
      <w:bookmarkEnd w:id="95"/>
      <w:bookmarkEnd w:id="96"/>
      <w:bookmarkEnd w:id="97"/>
    </w:p>
    <w:p w14:paraId="0707CEAC">
      <w:pPr>
        <w:pStyle w:val="5"/>
        <w:ind w:left="900" w:hanging="420" w:firstLineChars="0"/>
        <w:jc w:val="both"/>
      </w:pPr>
      <w:r>
        <w:rPr>
          <w:rFonts w:hint="eastAsia"/>
        </w:rPr>
        <w:t>3.1所供设备需按照《ISO 5199 离心泵技术规范II级》《ISO 2858 端吸离心泵(额定压强16 bar) 标记、性能和尺寸》及《SH/T 3162-2011石油化工液环真空泵和压缩机工程技术规范》执行，部分蒸煮区强碱高温泵需按ISO 13709:2009《石油、石化和天然气工业用离心泵》（等同API 610 第11版、GB/T 3215）标准执行。采用的材料，材质须满足工艺、生产安全及耐腐蚀要求，各部件材料由厂家根据工艺介质要求进行选配。投标时提供主要部件材料、材质明细表。基础板采用泵、电机共用底座的形式，基础板采用型钢焊接或铸铁铸造均可，但必须保证运行时的振动在要求范围内。泵的进出口法兰标准采用ISO标准。</w:t>
      </w:r>
    </w:p>
    <w:p w14:paraId="1F9F7B35">
      <w:pPr>
        <w:pStyle w:val="5"/>
        <w:ind w:left="900" w:hanging="420" w:firstLineChars="0"/>
        <w:jc w:val="both"/>
      </w:pPr>
      <w:r>
        <w:rPr>
          <w:rFonts w:hint="eastAsia"/>
        </w:rPr>
        <w:t>3.2黑液泵等碱液类输送泵优先选用单级单吸卧式径向剖分蜗壳泵，轴向吸入，径向排出。叶轮、后耐磨衬板、机械密封、轴密封、轴承架设计成为可整体作为一个“抽拉部件”，以便于维修拆卸和安装。耐磨板间隙设置上应做到外部可调。蒸煮区温度超100度以上的黑白液泵采用泵壳中心支撑结构（OH2）设计。轴承必须配置合理的润滑形式，轴承压盖密封应选用合理，保证工作时无泄漏。轴承箱强度足够，保证减少运行时的振动。泵轴与叶轮连接必须稳定可靠、具备松动自锁及防反转功能。置换蒸煮区与黑白液介质相关的泵，因启停频繁，泵轴与叶轮不可采用单键联结传动，而应采用矩形螺纹或</w:t>
      </w:r>
      <w:r>
        <w:rPr>
          <w:rFonts w:hint="eastAsia" w:ascii="仿宋" w:hAnsi="仿宋" w:eastAsia="仿宋" w:cs="仿宋"/>
          <w:sz w:val="28"/>
          <w:szCs w:val="28"/>
        </w:rPr>
        <w:t>高精度花键</w:t>
      </w:r>
      <w:r>
        <w:rPr>
          <w:rFonts w:hint="eastAsia"/>
        </w:rPr>
        <w:t>等无应力集中和具备自锁功能的联结传动。密封采用机械密封。联轴器采用带中间轴形式的联轴器。所有过流部件采用耐磨耐腐不锈钢。</w:t>
      </w:r>
    </w:p>
    <w:p w14:paraId="38636E86">
      <w:pPr>
        <w:pStyle w:val="5"/>
        <w:ind w:left="900" w:hanging="420" w:firstLineChars="0"/>
        <w:jc w:val="both"/>
      </w:pPr>
      <w:r>
        <w:rPr>
          <w:rFonts w:hint="eastAsia"/>
        </w:rPr>
        <w:t>3.3每台泵资料要带有泵口最大受力及承受力矩数值要求，用于管路设计时进行应力核算。</w:t>
      </w:r>
    </w:p>
    <w:p w14:paraId="60C678DB">
      <w:pPr>
        <w:pStyle w:val="5"/>
        <w:ind w:left="900" w:hanging="420" w:firstLineChars="0"/>
        <w:jc w:val="both"/>
      </w:pPr>
      <w:r>
        <w:rPr>
          <w:rFonts w:hint="eastAsia"/>
        </w:rPr>
        <w:t>3.4泵的数量及参数根据置换蒸煮系统工艺流程而定，投标方负责按照工艺流程进行设计和选型，满足设计要求，适当减少品种和规格，采用具备良好的互换性的零件或组件。轴承品牌选用SKF、FAG、NSK或同档次品牌产品；泵的品牌选用国内外一线品牌，且同类工况应用成熟产品。</w:t>
      </w:r>
    </w:p>
    <w:p w14:paraId="58A6902F">
      <w:pPr>
        <w:pStyle w:val="5"/>
        <w:ind w:firstLine="480"/>
      </w:pPr>
      <w:r>
        <w:rPr>
          <w:rFonts w:hint="eastAsia"/>
        </w:rPr>
        <w:t>3.5下表规定了离心泵类的材质配置要求：</w:t>
      </w:r>
    </w:p>
    <w:tbl>
      <w:tblPr>
        <w:tblStyle w:val="18"/>
        <w:tblpPr w:leftFromText="180" w:rightFromText="180" w:vertAnchor="text" w:horzAnchor="margin" w:tblpXSpec="center" w:tblpY="254"/>
        <w:tblW w:w="9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518"/>
        <w:gridCol w:w="5461"/>
      </w:tblGrid>
      <w:tr w14:paraId="728F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701" w:type="dxa"/>
            <w:vAlign w:val="center"/>
          </w:tcPr>
          <w:p w14:paraId="4E628E4C">
            <w:pPr>
              <w:pStyle w:val="37"/>
              <w:widowControl/>
              <w:topLinePunct/>
              <w:adjustRightInd/>
              <w:spacing w:line="360" w:lineRule="auto"/>
              <w:ind w:firstLine="0" w:firstLineChars="0"/>
              <w:jc w:val="center"/>
              <w:rPr>
                <w:rFonts w:ascii="宋体" w:hAnsi="宋体" w:eastAsia="宋体" w:cs="宋体"/>
                <w:szCs w:val="24"/>
              </w:rPr>
            </w:pPr>
            <w:r>
              <w:rPr>
                <w:rFonts w:hint="eastAsia" w:ascii="宋体" w:hAnsi="宋体" w:eastAsia="宋体" w:cs="宋体"/>
                <w:szCs w:val="24"/>
              </w:rPr>
              <w:t>泵类</w:t>
            </w:r>
          </w:p>
        </w:tc>
        <w:tc>
          <w:tcPr>
            <w:tcW w:w="2518" w:type="dxa"/>
            <w:vAlign w:val="center"/>
          </w:tcPr>
          <w:p w14:paraId="397085CA">
            <w:pPr>
              <w:widowControl/>
              <w:spacing w:line="360" w:lineRule="auto"/>
              <w:jc w:val="center"/>
              <w:rPr>
                <w:rFonts w:ascii="宋体" w:hAnsi="宋体" w:cs="宋体"/>
                <w:sz w:val="24"/>
                <w:szCs w:val="24"/>
              </w:rPr>
            </w:pPr>
            <w:r>
              <w:rPr>
                <w:rFonts w:hint="eastAsia" w:ascii="宋体" w:hAnsi="宋体" w:cs="宋体"/>
                <w:sz w:val="24"/>
                <w:szCs w:val="24"/>
              </w:rPr>
              <w:t>工艺过程泵</w:t>
            </w:r>
          </w:p>
        </w:tc>
        <w:tc>
          <w:tcPr>
            <w:tcW w:w="5461" w:type="dxa"/>
            <w:vAlign w:val="center"/>
          </w:tcPr>
          <w:p w14:paraId="6CE31FA6">
            <w:pPr>
              <w:widowControl/>
              <w:spacing w:line="360" w:lineRule="auto"/>
              <w:jc w:val="center"/>
              <w:rPr>
                <w:rFonts w:ascii="宋体" w:hAnsi="宋体" w:cs="宋体"/>
                <w:sz w:val="24"/>
                <w:szCs w:val="24"/>
              </w:rPr>
            </w:pPr>
            <w:r>
              <w:rPr>
                <w:rFonts w:hint="eastAsia" w:ascii="宋体" w:hAnsi="宋体" w:cs="宋体"/>
                <w:sz w:val="24"/>
                <w:szCs w:val="24"/>
              </w:rPr>
              <w:t>黑液泵类化学介质泵</w:t>
            </w:r>
          </w:p>
        </w:tc>
      </w:tr>
      <w:tr w14:paraId="071E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701" w:type="dxa"/>
            <w:vAlign w:val="center"/>
          </w:tcPr>
          <w:p w14:paraId="2D4025F3">
            <w:pPr>
              <w:widowControl/>
              <w:spacing w:line="360" w:lineRule="auto"/>
              <w:jc w:val="center"/>
              <w:rPr>
                <w:rFonts w:ascii="宋体" w:hAnsi="宋体" w:cs="宋体"/>
                <w:sz w:val="24"/>
                <w:szCs w:val="24"/>
              </w:rPr>
            </w:pPr>
            <w:r>
              <w:rPr>
                <w:rFonts w:hint="eastAsia" w:ascii="宋体" w:hAnsi="宋体" w:cs="宋体"/>
                <w:sz w:val="24"/>
                <w:szCs w:val="24"/>
              </w:rPr>
              <w:t>泵体</w:t>
            </w:r>
          </w:p>
        </w:tc>
        <w:tc>
          <w:tcPr>
            <w:tcW w:w="2518" w:type="dxa"/>
            <w:vAlign w:val="center"/>
          </w:tcPr>
          <w:p w14:paraId="14B8AB5C">
            <w:pPr>
              <w:widowControl/>
              <w:spacing w:line="360" w:lineRule="auto"/>
              <w:jc w:val="center"/>
              <w:rPr>
                <w:rFonts w:ascii="宋体" w:hAnsi="宋体" w:cs="宋体"/>
                <w:sz w:val="24"/>
                <w:szCs w:val="24"/>
              </w:rPr>
            </w:pPr>
            <w:r>
              <w:rPr>
                <w:rFonts w:hint="eastAsia" w:ascii="宋体" w:hAnsi="宋体" w:cs="宋体"/>
                <w:sz w:val="24"/>
                <w:szCs w:val="24"/>
              </w:rPr>
              <w:t>EN1.4301ss304</w:t>
            </w:r>
          </w:p>
        </w:tc>
        <w:tc>
          <w:tcPr>
            <w:tcW w:w="5461" w:type="dxa"/>
            <w:vAlign w:val="center"/>
          </w:tcPr>
          <w:p w14:paraId="78E20768">
            <w:pPr>
              <w:widowControl/>
              <w:spacing w:line="360" w:lineRule="auto"/>
              <w:jc w:val="center"/>
              <w:rPr>
                <w:rFonts w:ascii="宋体" w:hAnsi="宋体" w:cs="宋体"/>
                <w:sz w:val="24"/>
                <w:szCs w:val="24"/>
              </w:rPr>
            </w:pPr>
            <w:r>
              <w:rPr>
                <w:rFonts w:hint="eastAsia" w:ascii="宋体" w:hAnsi="宋体" w:cs="宋体"/>
                <w:sz w:val="24"/>
                <w:szCs w:val="24"/>
              </w:rPr>
              <w:t>EN 1.4460、ASTM A-890 3A、ASTM A-890 5A ASTM A743 CF-8、ASTM A747 CB7 Cu-2 CD4MCuN或等同材质的双相不锈钢</w:t>
            </w:r>
          </w:p>
        </w:tc>
      </w:tr>
      <w:tr w14:paraId="7121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701" w:type="dxa"/>
            <w:vAlign w:val="center"/>
          </w:tcPr>
          <w:p w14:paraId="143D648E">
            <w:pPr>
              <w:widowControl/>
              <w:spacing w:line="360" w:lineRule="auto"/>
              <w:jc w:val="center"/>
              <w:rPr>
                <w:rFonts w:ascii="宋体" w:hAnsi="宋体" w:cs="宋体"/>
                <w:sz w:val="24"/>
                <w:szCs w:val="24"/>
              </w:rPr>
            </w:pPr>
            <w:r>
              <w:rPr>
                <w:rFonts w:hint="eastAsia" w:ascii="宋体" w:hAnsi="宋体" w:cs="宋体"/>
                <w:sz w:val="24"/>
                <w:szCs w:val="24"/>
              </w:rPr>
              <w:t>泵盖</w:t>
            </w:r>
          </w:p>
        </w:tc>
        <w:tc>
          <w:tcPr>
            <w:tcW w:w="2518" w:type="dxa"/>
            <w:vAlign w:val="center"/>
          </w:tcPr>
          <w:p w14:paraId="4559523F">
            <w:pPr>
              <w:widowControl/>
              <w:spacing w:line="360" w:lineRule="auto"/>
              <w:jc w:val="center"/>
              <w:rPr>
                <w:rFonts w:ascii="宋体" w:hAnsi="宋体" w:cs="宋体"/>
                <w:sz w:val="24"/>
                <w:szCs w:val="24"/>
              </w:rPr>
            </w:pPr>
            <w:r>
              <w:rPr>
                <w:rFonts w:hint="eastAsia" w:ascii="宋体" w:hAnsi="宋体" w:cs="宋体"/>
                <w:sz w:val="24"/>
                <w:szCs w:val="24"/>
              </w:rPr>
              <w:t>EN1.4301 ss304</w:t>
            </w:r>
          </w:p>
        </w:tc>
        <w:tc>
          <w:tcPr>
            <w:tcW w:w="5461" w:type="dxa"/>
            <w:vAlign w:val="center"/>
          </w:tcPr>
          <w:p w14:paraId="326CBB83">
            <w:pPr>
              <w:widowControl/>
              <w:spacing w:line="360" w:lineRule="auto"/>
              <w:jc w:val="center"/>
              <w:rPr>
                <w:rFonts w:ascii="宋体" w:hAnsi="宋体" w:cs="宋体"/>
                <w:sz w:val="24"/>
                <w:szCs w:val="24"/>
              </w:rPr>
            </w:pPr>
            <w:r>
              <w:rPr>
                <w:rFonts w:hint="eastAsia" w:ascii="宋体" w:hAnsi="宋体" w:cs="宋体"/>
                <w:sz w:val="24"/>
                <w:szCs w:val="24"/>
              </w:rPr>
              <w:t>EN 1.4460、ASTM A-890 3A、ASTM A-890 5A ASTM A743 CF-8、ASTM A747 CB7 Cu-2 CD4MCuN或等同材质的双相不锈钢</w:t>
            </w:r>
          </w:p>
        </w:tc>
      </w:tr>
      <w:tr w14:paraId="2FD5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701" w:type="dxa"/>
            <w:vAlign w:val="center"/>
          </w:tcPr>
          <w:p w14:paraId="4FFE4B42">
            <w:pPr>
              <w:widowControl/>
              <w:spacing w:line="360" w:lineRule="auto"/>
              <w:jc w:val="center"/>
              <w:rPr>
                <w:rFonts w:ascii="宋体" w:hAnsi="宋体" w:cs="宋体"/>
                <w:sz w:val="24"/>
                <w:szCs w:val="24"/>
              </w:rPr>
            </w:pPr>
            <w:r>
              <w:rPr>
                <w:rFonts w:hint="eastAsia" w:ascii="宋体" w:hAnsi="宋体" w:cs="宋体"/>
                <w:sz w:val="24"/>
                <w:szCs w:val="24"/>
              </w:rPr>
              <w:t>叶轮</w:t>
            </w:r>
          </w:p>
        </w:tc>
        <w:tc>
          <w:tcPr>
            <w:tcW w:w="2518" w:type="dxa"/>
            <w:vAlign w:val="center"/>
          </w:tcPr>
          <w:p w14:paraId="79759A29">
            <w:pPr>
              <w:widowControl/>
              <w:spacing w:line="360" w:lineRule="auto"/>
              <w:jc w:val="center"/>
              <w:rPr>
                <w:rFonts w:ascii="宋体" w:hAnsi="宋体" w:cs="宋体"/>
                <w:sz w:val="24"/>
                <w:szCs w:val="24"/>
              </w:rPr>
            </w:pPr>
            <w:r>
              <w:rPr>
                <w:rFonts w:hint="eastAsia" w:ascii="宋体" w:hAnsi="宋体" w:cs="宋体"/>
                <w:sz w:val="24"/>
                <w:szCs w:val="24"/>
              </w:rPr>
              <w:t>EN1.4460</w:t>
            </w:r>
          </w:p>
        </w:tc>
        <w:tc>
          <w:tcPr>
            <w:tcW w:w="5461" w:type="dxa"/>
            <w:vAlign w:val="center"/>
          </w:tcPr>
          <w:p w14:paraId="26FAD3FB">
            <w:pPr>
              <w:widowControl/>
              <w:spacing w:line="360" w:lineRule="auto"/>
              <w:jc w:val="center"/>
              <w:rPr>
                <w:rFonts w:ascii="宋体" w:hAnsi="宋体" w:cs="宋体"/>
                <w:sz w:val="24"/>
                <w:szCs w:val="24"/>
              </w:rPr>
            </w:pPr>
            <w:r>
              <w:rPr>
                <w:rFonts w:hint="eastAsia" w:ascii="宋体" w:hAnsi="宋体" w:cs="宋体"/>
                <w:sz w:val="24"/>
                <w:szCs w:val="24"/>
              </w:rPr>
              <w:t>EN 1.4460、ASTM A-890 3A、ASTM A-890 5A ASTM A743 CF-8、ASTM A747 CB7 Cu-2 CD4MCuN或等同材质的双相不锈钢</w:t>
            </w:r>
          </w:p>
        </w:tc>
      </w:tr>
      <w:tr w14:paraId="6403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701" w:type="dxa"/>
            <w:vAlign w:val="center"/>
          </w:tcPr>
          <w:p w14:paraId="3CC6C21F">
            <w:pPr>
              <w:widowControl/>
              <w:spacing w:line="360" w:lineRule="auto"/>
              <w:jc w:val="center"/>
              <w:rPr>
                <w:rFonts w:ascii="宋体" w:hAnsi="宋体" w:cs="宋体"/>
                <w:sz w:val="24"/>
                <w:szCs w:val="24"/>
              </w:rPr>
            </w:pPr>
            <w:r>
              <w:rPr>
                <w:rFonts w:hint="eastAsia" w:ascii="宋体" w:hAnsi="宋体" w:cs="宋体"/>
                <w:sz w:val="24"/>
                <w:szCs w:val="24"/>
              </w:rPr>
              <w:t>耐磨衬</w:t>
            </w:r>
          </w:p>
        </w:tc>
        <w:tc>
          <w:tcPr>
            <w:tcW w:w="2518" w:type="dxa"/>
            <w:vAlign w:val="center"/>
          </w:tcPr>
          <w:p w14:paraId="78BF8B2E">
            <w:pPr>
              <w:widowControl/>
              <w:spacing w:line="360" w:lineRule="auto"/>
              <w:jc w:val="center"/>
              <w:rPr>
                <w:rFonts w:ascii="宋体" w:hAnsi="宋体" w:cs="宋体"/>
                <w:sz w:val="24"/>
                <w:szCs w:val="24"/>
              </w:rPr>
            </w:pPr>
            <w:r>
              <w:rPr>
                <w:rFonts w:hint="eastAsia" w:ascii="宋体" w:hAnsi="宋体" w:cs="宋体"/>
                <w:sz w:val="24"/>
                <w:szCs w:val="24"/>
              </w:rPr>
              <w:t>EN1.4460</w:t>
            </w:r>
          </w:p>
        </w:tc>
        <w:tc>
          <w:tcPr>
            <w:tcW w:w="5461" w:type="dxa"/>
            <w:vAlign w:val="center"/>
          </w:tcPr>
          <w:p w14:paraId="539280AE">
            <w:pPr>
              <w:widowControl/>
              <w:spacing w:line="360" w:lineRule="auto"/>
              <w:jc w:val="center"/>
              <w:rPr>
                <w:rFonts w:ascii="宋体" w:hAnsi="宋体" w:cs="宋体"/>
                <w:sz w:val="24"/>
                <w:szCs w:val="24"/>
              </w:rPr>
            </w:pPr>
            <w:r>
              <w:rPr>
                <w:rFonts w:hint="eastAsia" w:ascii="宋体" w:hAnsi="宋体" w:cs="宋体"/>
                <w:sz w:val="24"/>
                <w:szCs w:val="24"/>
              </w:rPr>
              <w:t>EN 1.4460、ASTM A-890 3A、ASTM A-890 5A ASTM A743 CF-8、ASTM A747 CB7 Cu-2 CD4MCuN或等同材质的双相不锈钢</w:t>
            </w:r>
          </w:p>
        </w:tc>
      </w:tr>
      <w:tr w14:paraId="0373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701" w:type="dxa"/>
            <w:vAlign w:val="center"/>
          </w:tcPr>
          <w:p w14:paraId="1BFE7B44">
            <w:pPr>
              <w:widowControl/>
              <w:spacing w:line="360" w:lineRule="auto"/>
              <w:jc w:val="center"/>
              <w:rPr>
                <w:rFonts w:ascii="宋体" w:hAnsi="宋体" w:cs="宋体"/>
                <w:sz w:val="24"/>
                <w:szCs w:val="24"/>
              </w:rPr>
            </w:pPr>
            <w:r>
              <w:rPr>
                <w:rFonts w:hint="eastAsia" w:ascii="宋体" w:hAnsi="宋体" w:cs="宋体"/>
                <w:sz w:val="24"/>
                <w:szCs w:val="24"/>
              </w:rPr>
              <w:t>泵轴</w:t>
            </w:r>
          </w:p>
        </w:tc>
        <w:tc>
          <w:tcPr>
            <w:tcW w:w="2518" w:type="dxa"/>
            <w:vAlign w:val="center"/>
          </w:tcPr>
          <w:p w14:paraId="6B9CC5AC">
            <w:pPr>
              <w:widowControl/>
              <w:spacing w:line="360" w:lineRule="auto"/>
              <w:jc w:val="center"/>
              <w:rPr>
                <w:rFonts w:ascii="宋体" w:hAnsi="宋体" w:cs="宋体"/>
                <w:sz w:val="24"/>
                <w:szCs w:val="24"/>
              </w:rPr>
            </w:pPr>
            <w:r>
              <w:rPr>
                <w:rFonts w:hint="eastAsia" w:ascii="宋体" w:hAnsi="宋体" w:cs="宋体"/>
                <w:sz w:val="24"/>
                <w:szCs w:val="24"/>
              </w:rPr>
              <w:t xml:space="preserve"> EN 1.4021、2cr13或等同材质</w:t>
            </w:r>
          </w:p>
        </w:tc>
        <w:tc>
          <w:tcPr>
            <w:tcW w:w="5461" w:type="dxa"/>
            <w:vAlign w:val="center"/>
          </w:tcPr>
          <w:p w14:paraId="3027B4BA">
            <w:pPr>
              <w:widowControl/>
              <w:spacing w:line="360" w:lineRule="auto"/>
              <w:jc w:val="center"/>
              <w:rPr>
                <w:rFonts w:ascii="宋体" w:hAnsi="宋体" w:cs="宋体"/>
                <w:sz w:val="24"/>
                <w:szCs w:val="24"/>
              </w:rPr>
            </w:pPr>
            <w:r>
              <w:rPr>
                <w:rFonts w:hint="eastAsia" w:ascii="宋体" w:hAnsi="宋体" w:cs="宋体"/>
                <w:sz w:val="24"/>
                <w:szCs w:val="24"/>
              </w:rPr>
              <w:t>EN 1.4462或等同材质</w:t>
            </w:r>
          </w:p>
        </w:tc>
      </w:tr>
      <w:tr w14:paraId="5CDC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701" w:type="dxa"/>
            <w:vAlign w:val="center"/>
          </w:tcPr>
          <w:p w14:paraId="1E4AEF75">
            <w:pPr>
              <w:widowControl/>
              <w:spacing w:line="360" w:lineRule="auto"/>
              <w:jc w:val="center"/>
              <w:rPr>
                <w:rFonts w:ascii="宋体" w:hAnsi="宋体" w:cs="宋体"/>
                <w:sz w:val="24"/>
                <w:szCs w:val="24"/>
              </w:rPr>
            </w:pPr>
            <w:r>
              <w:rPr>
                <w:rFonts w:hint="eastAsia" w:ascii="宋体" w:hAnsi="宋体" w:cs="宋体"/>
                <w:sz w:val="24"/>
                <w:szCs w:val="24"/>
              </w:rPr>
              <w:t>轴承箱</w:t>
            </w:r>
          </w:p>
        </w:tc>
        <w:tc>
          <w:tcPr>
            <w:tcW w:w="2518" w:type="dxa"/>
            <w:vAlign w:val="center"/>
          </w:tcPr>
          <w:p w14:paraId="6480343A">
            <w:pPr>
              <w:widowControl/>
              <w:spacing w:line="360" w:lineRule="auto"/>
              <w:jc w:val="center"/>
              <w:rPr>
                <w:rFonts w:ascii="宋体" w:hAnsi="宋体" w:cs="宋体"/>
                <w:sz w:val="24"/>
                <w:szCs w:val="24"/>
              </w:rPr>
            </w:pPr>
            <w:r>
              <w:rPr>
                <w:rFonts w:hint="eastAsia" w:ascii="宋体" w:hAnsi="宋体" w:cs="宋体"/>
                <w:sz w:val="24"/>
                <w:szCs w:val="24"/>
              </w:rPr>
              <w:t>GG25或等同材质</w:t>
            </w:r>
          </w:p>
        </w:tc>
        <w:tc>
          <w:tcPr>
            <w:tcW w:w="5461" w:type="dxa"/>
            <w:vAlign w:val="center"/>
          </w:tcPr>
          <w:p w14:paraId="17E95DEA">
            <w:pPr>
              <w:widowControl/>
              <w:spacing w:line="360" w:lineRule="auto"/>
              <w:jc w:val="center"/>
              <w:rPr>
                <w:rFonts w:ascii="宋体" w:hAnsi="宋体" w:cs="宋体"/>
                <w:sz w:val="24"/>
                <w:szCs w:val="24"/>
              </w:rPr>
            </w:pPr>
            <w:r>
              <w:rPr>
                <w:rFonts w:hint="eastAsia" w:ascii="宋体" w:hAnsi="宋体" w:cs="宋体"/>
                <w:sz w:val="24"/>
                <w:szCs w:val="24"/>
              </w:rPr>
              <w:t>GG25或等同材质</w:t>
            </w:r>
          </w:p>
        </w:tc>
      </w:tr>
      <w:tr w14:paraId="22BE6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1701" w:type="dxa"/>
            <w:vAlign w:val="center"/>
          </w:tcPr>
          <w:p w14:paraId="77B84545">
            <w:pPr>
              <w:widowControl/>
              <w:spacing w:line="360" w:lineRule="auto"/>
              <w:jc w:val="center"/>
              <w:rPr>
                <w:rFonts w:ascii="宋体" w:hAnsi="宋体" w:cs="宋体"/>
                <w:sz w:val="24"/>
                <w:szCs w:val="24"/>
              </w:rPr>
            </w:pPr>
            <w:r>
              <w:rPr>
                <w:rFonts w:hint="eastAsia" w:ascii="宋体" w:hAnsi="宋体" w:cs="宋体"/>
                <w:sz w:val="24"/>
                <w:szCs w:val="24"/>
              </w:rPr>
              <w:t>机械密封</w:t>
            </w:r>
          </w:p>
        </w:tc>
        <w:tc>
          <w:tcPr>
            <w:tcW w:w="2518" w:type="dxa"/>
            <w:vAlign w:val="center"/>
          </w:tcPr>
          <w:p w14:paraId="2F47DA0E">
            <w:pPr>
              <w:widowControl/>
              <w:spacing w:line="360" w:lineRule="auto"/>
              <w:jc w:val="center"/>
              <w:rPr>
                <w:rFonts w:ascii="宋体" w:hAnsi="宋体" w:cs="宋体"/>
                <w:sz w:val="24"/>
                <w:szCs w:val="24"/>
              </w:rPr>
            </w:pPr>
            <w:r>
              <w:rPr>
                <w:rFonts w:hint="eastAsia" w:ascii="宋体" w:hAnsi="宋体" w:cs="宋体"/>
                <w:sz w:val="24"/>
                <w:szCs w:val="24"/>
              </w:rPr>
              <w:t>单端面机械密封</w:t>
            </w:r>
          </w:p>
        </w:tc>
        <w:tc>
          <w:tcPr>
            <w:tcW w:w="5461" w:type="dxa"/>
            <w:vAlign w:val="center"/>
          </w:tcPr>
          <w:p w14:paraId="614F5B57">
            <w:pPr>
              <w:widowControl/>
              <w:spacing w:line="360" w:lineRule="auto"/>
              <w:jc w:val="center"/>
              <w:rPr>
                <w:rFonts w:ascii="宋体" w:hAnsi="宋体" w:cs="宋体"/>
                <w:sz w:val="24"/>
                <w:szCs w:val="24"/>
              </w:rPr>
            </w:pPr>
            <w:r>
              <w:rPr>
                <w:rFonts w:hint="eastAsia" w:ascii="宋体" w:hAnsi="宋体" w:cs="宋体"/>
                <w:sz w:val="24"/>
                <w:szCs w:val="24"/>
              </w:rPr>
              <w:t xml:space="preserve">集装式双端面机械密封（平衡型）冲洗方案：API682-PLAN 54 </w:t>
            </w:r>
          </w:p>
        </w:tc>
      </w:tr>
    </w:tbl>
    <w:p w14:paraId="2C15E3D0">
      <w:pPr>
        <w:pStyle w:val="2"/>
      </w:pPr>
      <w:bookmarkStart w:id="98" w:name="_Toc1707"/>
      <w:bookmarkStart w:id="99" w:name="_Toc14700"/>
      <w:bookmarkStart w:id="100" w:name="_Toc3909"/>
      <w:r>
        <w:rPr>
          <w:rFonts w:hint="eastAsia"/>
        </w:rPr>
        <w:t>四、管线系统要求</w:t>
      </w:r>
      <w:bookmarkEnd w:id="98"/>
      <w:bookmarkEnd w:id="99"/>
      <w:bookmarkEnd w:id="100"/>
    </w:p>
    <w:p w14:paraId="268305AE">
      <w:pPr>
        <w:pStyle w:val="5"/>
        <w:ind w:left="900" w:hanging="420" w:firstLineChars="0"/>
        <w:jc w:val="both"/>
      </w:pPr>
      <w:r>
        <w:rPr>
          <w:rFonts w:hint="eastAsia"/>
        </w:rPr>
        <w:t>4.1管线所涉及的手动阀门：DN150（含DN150）以下用球阀，DN150以上用闸阀；阀门、管道、管路、管件、螺栓等材质均等同管道母材。</w:t>
      </w:r>
    </w:p>
    <w:p w14:paraId="528BA635">
      <w:pPr>
        <w:pStyle w:val="5"/>
        <w:ind w:left="900" w:hanging="420" w:firstLineChars="0"/>
        <w:jc w:val="both"/>
      </w:pPr>
      <w:r>
        <w:rPr>
          <w:rFonts w:hint="eastAsia"/>
        </w:rPr>
        <w:t>4.2蒸煮区白液过流管线及循环管线材质选用316L；仅过流温黑液稀黑液的管线材质304L；洗选工段管线材质选用304。</w:t>
      </w:r>
    </w:p>
    <w:p w14:paraId="44B322C2">
      <w:pPr>
        <w:pStyle w:val="5"/>
        <w:ind w:left="900" w:hanging="420" w:firstLineChars="0"/>
        <w:jc w:val="both"/>
      </w:pPr>
      <w:r>
        <w:rPr>
          <w:rFonts w:hint="eastAsia"/>
        </w:rPr>
        <w:t>4.3蒸煮区蒸汽管线选用内外包边增强石墨垫片（金属冲刺板及内外包边材质316）其余管线及加热器和人孔垫片均选用316L金属包覆石墨垫片，洗选区选用PTFE垫片。垫片参照以下标准：GB/T 15601-2013|管法兰用金属包覆垫片，HG/T 20630-2009|钢制管法兰用金属包覆垫片；（美洲体系 Class系列）；HG/T 20609-2009|钢制管法兰用金属包覆垫片（欧洲体系 PN系列）； JB/T4706-2000|压力容器法兰金属包覆垫片；JB/T8559-2014|金属包覆垫片且与管路上对应法兰适用，本项目管道无特殊要求的均选用国标B系列的外径系列管材。</w:t>
      </w:r>
    </w:p>
    <w:p w14:paraId="2DAE895C">
      <w:pPr>
        <w:pStyle w:val="5"/>
        <w:ind w:left="900" w:hanging="420" w:firstLineChars="0"/>
        <w:jc w:val="both"/>
      </w:pPr>
      <w:r>
        <w:rPr>
          <w:rFonts w:hint="eastAsia"/>
        </w:rPr>
        <w:t>4.4所有用于本工程的成品管件保证无裂缝、过烧、折叠、龟裂、离层、结疤等现象，内外表面均保持光滑，不存在拉伤等现象；对于流送系统管件等有特殊要求的管件需内抛光处理，光洁度达到320#，用湿水棉花擦拭不挂丝为准。</w:t>
      </w:r>
    </w:p>
    <w:p w14:paraId="567E27D6">
      <w:pPr>
        <w:pStyle w:val="5"/>
        <w:ind w:left="900" w:hanging="420" w:firstLineChars="0"/>
        <w:jc w:val="both"/>
      </w:pPr>
      <w:r>
        <w:rPr>
          <w:rFonts w:hint="eastAsia"/>
        </w:rPr>
        <w:t>4.5三通、大小头、弯头等管件的任何一点最小壁厚不得小于所连接直管的最小壁厚。</w:t>
      </w:r>
    </w:p>
    <w:p w14:paraId="39AC545F">
      <w:pPr>
        <w:pStyle w:val="5"/>
        <w:ind w:left="900" w:hanging="420" w:firstLineChars="0"/>
        <w:jc w:val="both"/>
      </w:pPr>
      <w:r>
        <w:rPr>
          <w:rFonts w:hint="eastAsia"/>
        </w:rPr>
        <w:t>4.6所有用于本工程的成品管件制造必须使用新母材。用于本工程的管子管件上必须标记外径壁厚等主要规格尺寸及材料代号（喷涂或打印）。</w:t>
      </w:r>
    </w:p>
    <w:p w14:paraId="52C5ACFD">
      <w:pPr>
        <w:pStyle w:val="5"/>
        <w:ind w:left="900" w:hanging="420" w:firstLineChars="0"/>
        <w:jc w:val="both"/>
      </w:pPr>
      <w:r>
        <w:rPr>
          <w:rFonts w:hint="eastAsia"/>
        </w:rPr>
        <w:t>4.7所有管件必须满足接管材质、口径、规格等方面的要求。成品管件的壁厚、强度必须满足所要求的设计参数（参照对应管道）。</w:t>
      </w:r>
    </w:p>
    <w:p w14:paraId="0F43A7A1">
      <w:pPr>
        <w:pStyle w:val="5"/>
        <w:ind w:left="900" w:hanging="420" w:firstLineChars="0"/>
        <w:jc w:val="both"/>
      </w:pPr>
      <w:r>
        <w:rPr>
          <w:rFonts w:hint="eastAsia"/>
        </w:rPr>
        <w:t>4.8用于本工程的管子管件必须有生产厂家出具材质检验报告单、产品合格证，质保书随货同行。</w:t>
      </w:r>
    </w:p>
    <w:p w14:paraId="57E4C8DE">
      <w:pPr>
        <w:pStyle w:val="5"/>
        <w:ind w:left="900" w:hanging="420" w:firstLineChars="0"/>
        <w:jc w:val="both"/>
      </w:pPr>
      <w:r>
        <w:rPr>
          <w:rFonts w:hint="eastAsia"/>
        </w:rPr>
        <w:t>4.9用于本工程的管子管件外观检查标准：无擦伤、变形、标志清楚正确；无锈蚀斑、焊缝平整、匀称、光滑。</w:t>
      </w:r>
    </w:p>
    <w:p w14:paraId="0CA41EF4">
      <w:pPr>
        <w:pStyle w:val="5"/>
        <w:ind w:left="1020" w:hanging="540" w:firstLineChars="0"/>
        <w:jc w:val="both"/>
      </w:pPr>
      <w:r>
        <w:rPr>
          <w:rFonts w:hint="eastAsia"/>
        </w:rPr>
        <w:t>4.10管道相关标准：GB50316～2000《工业金属管道设计规范》；GB/T20801&lt;压力管道规范 工业管道。</w:t>
      </w:r>
    </w:p>
    <w:p w14:paraId="12CF83AB">
      <w:pPr>
        <w:pStyle w:val="5"/>
        <w:ind w:left="1020" w:hanging="540" w:firstLineChars="0"/>
        <w:jc w:val="both"/>
        <w:rPr>
          <w:highlight w:val="yellow"/>
        </w:rPr>
      </w:pPr>
      <w:r>
        <w:rPr>
          <w:rFonts w:hint="eastAsia"/>
        </w:rPr>
        <w:t>4.11所有带机械密封的设备需配套轴封水流量计（密封水流量盒），带落地立式支架，标准基板304不锈钢，流量可调（流量范围满足设备机械密封水使用），带开机可以推动按钮清洗功能。双端面机械密封用轴封水流量计还须带压力表及压力调节控制功能，带止逆阀，带流量报警连锁功能。所有机械密封水进水管选用压力等级不低于PN25的金属软管（带钢丝护套），金属软管两端设计成螺纹连接，轴封水流量计出水管嘴和设备端密封水进水管嘴的螺牙和金属软管适配。轴封水流量计选用JOHN CRANE，KYTOLA，THE FLOW，卓然天工等国内外应用成熟的品牌。</w:t>
      </w:r>
    </w:p>
    <w:p w14:paraId="03011A6C">
      <w:pPr>
        <w:pStyle w:val="2"/>
      </w:pPr>
      <w:bookmarkStart w:id="101" w:name="_Toc12255"/>
      <w:bookmarkStart w:id="102" w:name="_Toc482"/>
      <w:bookmarkStart w:id="103" w:name="_Toc24239"/>
      <w:r>
        <w:rPr>
          <w:rFonts w:hint="eastAsia"/>
        </w:rPr>
        <w:t>五、保温</w:t>
      </w:r>
      <w:bookmarkEnd w:id="101"/>
      <w:bookmarkEnd w:id="102"/>
      <w:bookmarkEnd w:id="103"/>
    </w:p>
    <w:p w14:paraId="36F44B35">
      <w:pPr>
        <w:pStyle w:val="5"/>
        <w:ind w:firstLine="480"/>
        <w:jc w:val="both"/>
      </w:pPr>
      <w:r>
        <w:rPr>
          <w:rFonts w:hint="eastAsia"/>
        </w:rPr>
        <w:t>5.1保温材料为岩棉，保温厚度按规范设计；</w:t>
      </w:r>
    </w:p>
    <w:p w14:paraId="0E38D9C6">
      <w:pPr>
        <w:pStyle w:val="5"/>
        <w:ind w:left="900" w:hanging="420" w:firstLineChars="0"/>
        <w:jc w:val="both"/>
      </w:pPr>
      <w:r>
        <w:rPr>
          <w:rFonts w:hint="eastAsia"/>
        </w:rPr>
        <w:t>5.2岩棉：容重100～120kg/m</w:t>
      </w:r>
      <w:r>
        <w:rPr>
          <w:rFonts w:hint="eastAsia"/>
          <w:vertAlign w:val="superscript"/>
        </w:rPr>
        <w:t>3</w:t>
      </w:r>
      <w:r>
        <w:rPr>
          <w:rFonts w:hint="eastAsia"/>
        </w:rPr>
        <w:t>，导热系数0.03～0.044W(m.K)，纤维系数4～7微米，渣球含量12%，颗粒度直径＞0.25mm。</w:t>
      </w:r>
    </w:p>
    <w:p w14:paraId="713509C9">
      <w:pPr>
        <w:pStyle w:val="5"/>
        <w:ind w:left="900" w:hanging="420" w:firstLineChars="0"/>
        <w:jc w:val="both"/>
      </w:pPr>
      <w:r>
        <w:rPr>
          <w:rFonts w:hint="eastAsia"/>
        </w:rPr>
        <w:t>5.3各压力容器及常压槽罐类设备按设计需保温的外护板均采用厚度不低于0.8mm的波纹铝板，管道部分采用0.5mm厚(管径小于300mm)、0.7mm厚(管径大于300mm)的铝板。</w:t>
      </w:r>
    </w:p>
    <w:p w14:paraId="2EF54E28">
      <w:pPr>
        <w:pStyle w:val="5"/>
        <w:ind w:firstLine="480"/>
        <w:jc w:val="both"/>
      </w:pPr>
      <w:r>
        <w:rPr>
          <w:rFonts w:hint="eastAsia"/>
        </w:rPr>
        <w:t>5.4蒸煮锅锅体保温选用压型不锈钢板，材质304，厚度0.4mm。</w:t>
      </w:r>
    </w:p>
    <w:p w14:paraId="453ABED5">
      <w:pPr>
        <w:pStyle w:val="5"/>
        <w:ind w:left="876" w:hanging="396" w:firstLineChars="0"/>
        <w:jc w:val="both"/>
      </w:pPr>
      <w:r>
        <w:rPr>
          <w:rFonts w:hint="eastAsia"/>
        </w:rPr>
        <w:t>5.5放锅管线及紧靠锅体的循环管线，预制抽提弯管的保温选用不锈钢平板，材质304，厚度0.4mm。</w:t>
      </w:r>
    </w:p>
    <w:p w14:paraId="28A7D2E3">
      <w:pPr>
        <w:pStyle w:val="5"/>
        <w:ind w:firstLine="480"/>
        <w:jc w:val="both"/>
      </w:pPr>
      <w:r>
        <w:rPr>
          <w:rFonts w:hint="eastAsia"/>
        </w:rPr>
        <w:t>5.6所有保温板上用的螺丝紧固件均采用不锈钢410自攻螺丝。</w:t>
      </w:r>
    </w:p>
    <w:p w14:paraId="5BD5A2DB">
      <w:pPr>
        <w:pStyle w:val="2"/>
      </w:pPr>
      <w:bookmarkStart w:id="104" w:name="_Toc701"/>
      <w:bookmarkStart w:id="105" w:name="_Toc4896"/>
      <w:bookmarkStart w:id="106" w:name="_Toc19286"/>
      <w:r>
        <w:rPr>
          <w:rFonts w:hint="eastAsia"/>
        </w:rPr>
        <w:t>六、钢结构及平台、油漆</w:t>
      </w:r>
      <w:bookmarkEnd w:id="104"/>
      <w:bookmarkEnd w:id="105"/>
      <w:bookmarkEnd w:id="106"/>
    </w:p>
    <w:p w14:paraId="160107FA">
      <w:pPr>
        <w:pStyle w:val="5"/>
        <w:ind w:firstLine="480"/>
        <w:jc w:val="both"/>
        <w:rPr>
          <w:highlight w:val="yellow"/>
        </w:rPr>
      </w:pPr>
      <w:r>
        <w:rPr>
          <w:rFonts w:hint="eastAsia"/>
        </w:rPr>
        <w:t>所有主体设备及辅机设备（含非标设备、槽罐等）的钢支撑、地脚螺栓、预埋件，以及工艺操作、检修维护平台、栏杆、扶梯等要求：</w:t>
      </w:r>
    </w:p>
    <w:p w14:paraId="4CA138A8">
      <w:pPr>
        <w:pStyle w:val="5"/>
        <w:ind w:firstLine="480"/>
        <w:jc w:val="both"/>
      </w:pPr>
      <w:r>
        <w:rPr>
          <w:rFonts w:hint="eastAsia"/>
        </w:rPr>
        <w:t>6.1设备装置配置必要的扶梯和平台，满足运行、维护、检修的需求。</w:t>
      </w:r>
    </w:p>
    <w:p w14:paraId="3EBEB613">
      <w:pPr>
        <w:pStyle w:val="5"/>
        <w:ind w:firstLine="480"/>
        <w:jc w:val="both"/>
      </w:pPr>
      <w:r>
        <w:rPr>
          <w:rFonts w:hint="eastAsia"/>
        </w:rPr>
        <w:t>6.2设备支腿采用低碳钢制作，采用螺栓联接结构。</w:t>
      </w:r>
    </w:p>
    <w:p w14:paraId="4EA6CE14">
      <w:pPr>
        <w:pStyle w:val="5"/>
        <w:ind w:left="900" w:hanging="420" w:firstLineChars="0"/>
        <w:jc w:val="both"/>
      </w:pPr>
      <w:r>
        <w:rPr>
          <w:rFonts w:hint="eastAsia"/>
        </w:rPr>
        <w:t>6.3对于必须要焊接的外部碳钢构件，包括外加强圈、座圈、吊耳、设备裙座等，可以采用外刷防锈漆和面漆。</w:t>
      </w:r>
    </w:p>
    <w:p w14:paraId="4C6A94ED">
      <w:pPr>
        <w:pStyle w:val="5"/>
        <w:ind w:left="900" w:hanging="420" w:firstLineChars="0"/>
        <w:jc w:val="both"/>
      </w:pPr>
      <w:r>
        <w:rPr>
          <w:rFonts w:hint="eastAsia"/>
        </w:rPr>
        <w:t>6.4主要平台扶梯应按设备合理地布置。要求不低于如下要求：</w:t>
      </w:r>
    </w:p>
    <w:p w14:paraId="14EEFB2E">
      <w:pPr>
        <w:pStyle w:val="5"/>
        <w:ind w:left="958" w:firstLine="480"/>
        <w:jc w:val="both"/>
      </w:pPr>
      <w:r>
        <w:rPr>
          <w:rFonts w:hint="eastAsia"/>
        </w:rPr>
        <w:t>平台钢格栅板宽1000mm，扶梯钢格栅板宽度800mm，倾角≤45°，平台及扶梯均采用刚性良好的防滑格栅平台，扶梯踏板与支撑钢梁采用高强螺栓连接，扶梯踏板为开式格栅，带有抗磨凸缘，栏杆将焊接到现场的支撑钢梁上；平台扶梯具有足够的强度和刚性，平台扶梯的载荷设计应符合国家规范。平台、扶梯的栏杆高度不低于1200mm，踢脚板高度不低于100mm。</w:t>
      </w:r>
    </w:p>
    <w:p w14:paraId="16B847F0">
      <w:pPr>
        <w:pStyle w:val="5"/>
        <w:ind w:left="900" w:hanging="420" w:firstLineChars="0"/>
        <w:jc w:val="both"/>
      </w:pPr>
      <w:r>
        <w:rPr>
          <w:rFonts w:hint="eastAsia"/>
        </w:rPr>
        <w:t>6.5栏杆及踢脚板使用304不锈钢材质，栏杆立柱及扶手采用φ32*2不锈钢管制作，横杆采用30mm*4mm不锈钢扁钢制作，踢脚板使用100mm*2mm不锈钢扁钢制作（室外不锈钢室内碳钢）。防滑型钢格栅规格要求（扁钢厚度≥3.5mm，扁钢中心距为40mm，加强筋直径≥8mm），格栅板用专门的格栅压板紧密地固定在钢支撑杆上，格栅的每个角落各有一块格栅压板。平台及扶梯踏板采用具有良好防腐性能的热浸锌格栅结构。</w:t>
      </w:r>
    </w:p>
    <w:p w14:paraId="014D0FCD">
      <w:pPr>
        <w:pStyle w:val="5"/>
        <w:ind w:left="900" w:hanging="420" w:firstLineChars="0"/>
        <w:jc w:val="both"/>
      </w:pPr>
      <w:r>
        <w:rPr>
          <w:rFonts w:hint="eastAsia"/>
        </w:rPr>
        <w:t>6.6钢直爬梯攀登高度超过2000mm时应设护笼（固定在梯梁上，用于保护攀登者安全的构件），护笼下端距基准面为2000mm，护笼上端低于扶手（在钢直爬梯上端设置的安全把手）100mm；整体设计符合国家相应的规范。钢直爬梯整体采用不锈钢304材质制作（室外不锈钢室内碳钢）。</w:t>
      </w:r>
    </w:p>
    <w:p w14:paraId="767102F9">
      <w:pPr>
        <w:pStyle w:val="5"/>
        <w:ind w:firstLine="480"/>
        <w:jc w:val="both"/>
      </w:pPr>
      <w:r>
        <w:rPr>
          <w:rFonts w:hint="eastAsia"/>
        </w:rPr>
        <w:t>6.7现场制作的支吊架、平台扶梯等钢结构，表面除锈ST3。</w:t>
      </w:r>
    </w:p>
    <w:p w14:paraId="71359462">
      <w:pPr>
        <w:pStyle w:val="5"/>
        <w:ind w:left="900" w:hanging="420" w:firstLineChars="0"/>
        <w:jc w:val="both"/>
      </w:pPr>
      <w:r>
        <w:rPr>
          <w:rFonts w:hint="eastAsia"/>
        </w:rPr>
        <w:t>6.8钢结构材料所有涉及的碳钢部分需进行充分的防腐处理（按大气防腐等级C4），防腐形式不低于如下要求：</w:t>
      </w:r>
    </w:p>
    <w:p w14:paraId="4811A5B1">
      <w:pPr>
        <w:pStyle w:val="5"/>
        <w:ind w:firstLine="720" w:firstLineChars="300"/>
        <w:jc w:val="both"/>
      </w:pPr>
      <w:r>
        <w:rPr>
          <w:rFonts w:hint="eastAsia"/>
        </w:rPr>
        <w:t>（1）表面除锈Sa2.5；</w:t>
      </w:r>
    </w:p>
    <w:p w14:paraId="2EC6CD63">
      <w:pPr>
        <w:pStyle w:val="5"/>
        <w:ind w:left="1308" w:hanging="588" w:firstLineChars="0"/>
        <w:jc w:val="both"/>
      </w:pPr>
      <w:r>
        <w:rPr>
          <w:rFonts w:hint="eastAsia"/>
        </w:rPr>
        <w:t>（2）底漆 80μm（建议使用环氧富锌底漆）；底漆 80μm（建议使用环氧云铁中间漆）；面漆 50μm（建议使用脂肪族聚氨酯面漆，颜色由招标方指定）；</w:t>
      </w:r>
    </w:p>
    <w:p w14:paraId="6A237ABE">
      <w:pPr>
        <w:pStyle w:val="5"/>
        <w:ind w:firstLine="480"/>
        <w:jc w:val="both"/>
      </w:pPr>
      <w:r>
        <w:rPr>
          <w:rFonts w:hint="eastAsia"/>
        </w:rPr>
        <w:t>（3）总油漆干膜厚度不小于210μm；</w:t>
      </w:r>
    </w:p>
    <w:p w14:paraId="21C72CA5">
      <w:pPr>
        <w:pStyle w:val="5"/>
        <w:ind w:firstLine="480"/>
        <w:jc w:val="both"/>
      </w:pPr>
      <w:r>
        <w:rPr>
          <w:rFonts w:hint="eastAsia"/>
        </w:rPr>
        <w:t>（4）整体涂料耐久性不低于15年。</w:t>
      </w:r>
    </w:p>
    <w:p w14:paraId="270EC761">
      <w:pPr>
        <w:pStyle w:val="5"/>
        <w:ind w:left="720" w:firstLine="480"/>
        <w:jc w:val="both"/>
      </w:pPr>
      <w:r>
        <w:rPr>
          <w:rFonts w:hint="eastAsia"/>
        </w:rPr>
        <w:t>要求保温的碳钢表面（设计温度≥120℃）宜涂刷耐高温涂料，只需要底料及底漆；不锈钢外表面不需要油漆。</w:t>
      </w:r>
    </w:p>
    <w:p w14:paraId="390CE00F">
      <w:pPr>
        <w:pStyle w:val="2"/>
      </w:pPr>
      <w:bookmarkStart w:id="107" w:name="_Toc17089"/>
      <w:bookmarkStart w:id="108" w:name="_Toc16299"/>
      <w:bookmarkStart w:id="109" w:name="_Toc11030"/>
      <w:r>
        <w:rPr>
          <w:rFonts w:hint="eastAsia"/>
        </w:rPr>
        <w:t>七、传动装置要求</w:t>
      </w:r>
      <w:bookmarkEnd w:id="107"/>
      <w:bookmarkEnd w:id="108"/>
      <w:bookmarkEnd w:id="109"/>
    </w:p>
    <w:p w14:paraId="18A9564A">
      <w:pPr>
        <w:pStyle w:val="5"/>
        <w:ind w:left="900" w:hanging="420" w:firstLineChars="0"/>
        <w:jc w:val="both"/>
      </w:pPr>
      <w:r>
        <w:rPr>
          <w:rFonts w:hint="eastAsia"/>
        </w:rPr>
        <w:t>7.1齿轮传动装置：在可能的地方，齿轮减速装置应该为斜齿轮型式，根据使用工况选择最高安全系数，硬齿面，全密封，油润滑；齿轮及齿轮轴所采用的材料其晶相组织应分布均匀、化学性能稳定，可有效地保证机加工精度和热处理工艺质量。齿面精度等级达DIN标准6级以上；减速机所有标准件包含螺丝、螺母、挡圈、轴承、油封等均采用优质品牌产品，轴承使用SKF、FAG等同等进口品牌产品；减速器应采用硬齿面、长寿命、低噪音的优质品牌产品；各减速器有良好的密封条件，防止漏油，油封件的材料及其结构应能满足寿命长、发热低和便于维护、更换的要求；大型、重载、高速减速箱应根据工况配置润滑油站。</w:t>
      </w:r>
    </w:p>
    <w:p w14:paraId="6200B24E">
      <w:pPr>
        <w:pStyle w:val="5"/>
        <w:ind w:left="900" w:hanging="420" w:firstLineChars="0"/>
        <w:jc w:val="both"/>
      </w:pPr>
      <w:r>
        <w:rPr>
          <w:rFonts w:hint="eastAsia"/>
        </w:rPr>
        <w:t>7.2皮带传动装置：所有的皮带传动装置应是标准的带锥套欧标窄V型皮带轮，并且带有皮带轮护罩（护罩带传动皮带观察检修快开窗口）及传动方向指示标志，皮带轮采用便于拆卸的锥套嵌入式结构。</w:t>
      </w:r>
    </w:p>
    <w:p w14:paraId="5E93CBFF">
      <w:pPr>
        <w:pStyle w:val="5"/>
        <w:ind w:left="900" w:hanging="420" w:firstLineChars="0"/>
        <w:jc w:val="both"/>
      </w:pPr>
      <w:r>
        <w:rPr>
          <w:rFonts w:hint="eastAsia"/>
        </w:rPr>
        <w:t>7.3链条及链条传动装置：所有的链条传动装置都要有链条保护罩（保护罩带链条观察检修快开窗口）及传动方向指示标志。</w:t>
      </w:r>
    </w:p>
    <w:p w14:paraId="58901007">
      <w:pPr>
        <w:pStyle w:val="17"/>
        <w:ind w:left="560"/>
      </w:pPr>
    </w:p>
    <w:p w14:paraId="1779D610">
      <w:pPr>
        <w:pStyle w:val="2"/>
      </w:pPr>
      <w:bookmarkStart w:id="110" w:name="_Toc11088"/>
      <w:bookmarkStart w:id="111" w:name="_Toc1821"/>
      <w:bookmarkStart w:id="112" w:name="_Toc10929"/>
      <w:r>
        <w:rPr>
          <w:rFonts w:hint="eastAsia"/>
        </w:rPr>
        <w:t>八、阀门</w:t>
      </w:r>
      <w:bookmarkEnd w:id="110"/>
      <w:bookmarkEnd w:id="111"/>
      <w:bookmarkEnd w:id="112"/>
    </w:p>
    <w:p w14:paraId="4EB1AB50">
      <w:pPr>
        <w:pStyle w:val="5"/>
        <w:ind w:left="480" w:firstLine="480"/>
        <w:jc w:val="both"/>
      </w:pPr>
      <w:r>
        <w:rPr>
          <w:rFonts w:hint="eastAsia"/>
        </w:rPr>
        <w:t>本工程所使用的阀门材质与管道材质匹配，如果管道采用不锈钢304 材质，则阀门的材质与浆料接触部分为不锈钢 304 材质，壳体为不锈钢或铸钢。各工艺介质使用的管道材质见下表（阀门材质和形式需发包人认可）：</w:t>
      </w:r>
    </w:p>
    <w:p w14:paraId="08EE96EC">
      <w:pPr>
        <w:pStyle w:val="5"/>
        <w:ind w:left="480" w:firstLine="480"/>
      </w:pPr>
    </w:p>
    <w:tbl>
      <w:tblPr>
        <w:tblStyle w:val="18"/>
        <w:tblW w:w="9093" w:type="dxa"/>
        <w:tblInd w:w="0" w:type="dxa"/>
        <w:tblLayout w:type="fixed"/>
        <w:tblCellMar>
          <w:top w:w="0" w:type="dxa"/>
          <w:left w:w="108" w:type="dxa"/>
          <w:bottom w:w="0" w:type="dxa"/>
          <w:right w:w="108" w:type="dxa"/>
        </w:tblCellMar>
      </w:tblPr>
      <w:tblGrid>
        <w:gridCol w:w="1299"/>
        <w:gridCol w:w="1299"/>
        <w:gridCol w:w="1299"/>
        <w:gridCol w:w="1299"/>
        <w:gridCol w:w="1299"/>
        <w:gridCol w:w="1299"/>
        <w:gridCol w:w="1299"/>
      </w:tblGrid>
      <w:tr w14:paraId="2EC3B416">
        <w:tblPrEx>
          <w:tblCellMar>
            <w:top w:w="0" w:type="dxa"/>
            <w:left w:w="108" w:type="dxa"/>
            <w:bottom w:w="0" w:type="dxa"/>
            <w:right w:w="108" w:type="dxa"/>
          </w:tblCellMar>
        </w:tblPrEx>
        <w:trPr>
          <w:trHeight w:val="330" w:hRule="exact"/>
        </w:trPr>
        <w:tc>
          <w:tcPr>
            <w:tcW w:w="1299"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509A0F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序号</w:t>
            </w:r>
          </w:p>
        </w:tc>
        <w:tc>
          <w:tcPr>
            <w:tcW w:w="1299"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9CB449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介</w:t>
            </w:r>
            <w:r>
              <w:rPr>
                <w:rFonts w:ascii="Times New Roman" w:hAnsi="Times New Roman"/>
                <w:color w:val="000000"/>
                <w:spacing w:val="53"/>
                <w:sz w:val="21"/>
                <w:szCs w:val="21"/>
              </w:rPr>
              <w:t xml:space="preserve"> </w:t>
            </w:r>
            <w:r>
              <w:rPr>
                <w:rFonts w:ascii="Times New Roman" w:hAnsi="Times New Roman"/>
                <w:color w:val="000000"/>
                <w:spacing w:val="-1"/>
                <w:sz w:val="21"/>
                <w:szCs w:val="21"/>
              </w:rPr>
              <w:t>质</w:t>
            </w:r>
          </w:p>
        </w:tc>
        <w:tc>
          <w:tcPr>
            <w:tcW w:w="1299"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041BFB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阀门名称</w:t>
            </w:r>
          </w:p>
        </w:tc>
        <w:tc>
          <w:tcPr>
            <w:tcW w:w="3897" w:type="dxa"/>
            <w:gridSpan w:val="3"/>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6BDD21F">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w:t>
            </w:r>
          </w:p>
        </w:tc>
        <w:tc>
          <w:tcPr>
            <w:tcW w:w="1299" w:type="dxa"/>
            <w:vMerge w:val="restart"/>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6A38CA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压力等级 bar</w:t>
            </w:r>
          </w:p>
        </w:tc>
      </w:tr>
      <w:tr w14:paraId="4DCCF2E0">
        <w:tblPrEx>
          <w:tblCellMar>
            <w:top w:w="0" w:type="dxa"/>
            <w:left w:w="108" w:type="dxa"/>
            <w:bottom w:w="0" w:type="dxa"/>
            <w:right w:w="108" w:type="dxa"/>
          </w:tblCellMar>
        </w:tblPrEx>
        <w:trPr>
          <w:trHeight w:val="430" w:hRule="exact"/>
        </w:trPr>
        <w:tc>
          <w:tcPr>
            <w:tcW w:w="1299"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2D58C08">
            <w:pPr>
              <w:widowControl/>
              <w:jc w:val="center"/>
              <w:rPr>
                <w:rFonts w:ascii="Times New Roman" w:hAnsi="Times New Roman"/>
                <w:sz w:val="21"/>
                <w:szCs w:val="21"/>
              </w:rPr>
            </w:pPr>
          </w:p>
        </w:tc>
        <w:tc>
          <w:tcPr>
            <w:tcW w:w="1299"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DF8809D">
            <w:pPr>
              <w:widowControl/>
              <w:jc w:val="center"/>
              <w:rPr>
                <w:rFonts w:ascii="Times New Roman" w:hAnsi="Times New Roman"/>
                <w:sz w:val="21"/>
                <w:szCs w:val="21"/>
              </w:rPr>
            </w:pPr>
          </w:p>
        </w:tc>
        <w:tc>
          <w:tcPr>
            <w:tcW w:w="1299"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4D0C5E4">
            <w:pPr>
              <w:widowControl/>
              <w:jc w:val="center"/>
              <w:rPr>
                <w:rFonts w:ascii="Times New Roman" w:hAnsi="Times New Roman"/>
                <w:sz w:val="21"/>
                <w:szCs w:val="21"/>
              </w:rPr>
            </w:pP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573BF6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阀体</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0187B4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阀芯</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EC935B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密封件</w:t>
            </w:r>
          </w:p>
        </w:tc>
        <w:tc>
          <w:tcPr>
            <w:tcW w:w="1299" w:type="dxa"/>
            <w:vMerge w:val="continue"/>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02B6429">
            <w:pPr>
              <w:widowControl/>
              <w:jc w:val="center"/>
              <w:rPr>
                <w:rFonts w:ascii="Times New Roman" w:hAnsi="Times New Roman"/>
                <w:sz w:val="21"/>
                <w:szCs w:val="21"/>
              </w:rPr>
            </w:pPr>
          </w:p>
        </w:tc>
      </w:tr>
      <w:tr w14:paraId="28CB4CB5">
        <w:tblPrEx>
          <w:tblCellMar>
            <w:top w:w="0" w:type="dxa"/>
            <w:left w:w="108" w:type="dxa"/>
            <w:bottom w:w="0" w:type="dxa"/>
            <w:right w:w="108" w:type="dxa"/>
          </w:tblCellMar>
        </w:tblPrEx>
        <w:trPr>
          <w:trHeight w:val="615" w:hRule="exact"/>
        </w:trPr>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75EA43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50335F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纸</w:t>
            </w:r>
            <w:r>
              <w:rPr>
                <w:rFonts w:ascii="Times New Roman" w:hAnsi="Times New Roman"/>
                <w:color w:val="000000"/>
                <w:spacing w:val="158"/>
                <w:sz w:val="21"/>
                <w:szCs w:val="21"/>
              </w:rPr>
              <w:t xml:space="preserve"> </w:t>
            </w:r>
            <w:r>
              <w:rPr>
                <w:rFonts w:ascii="Times New Roman" w:hAnsi="Times New Roman"/>
                <w:color w:val="000000"/>
                <w:sz w:val="21"/>
                <w:szCs w:val="21"/>
              </w:rPr>
              <w:t>浆</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EB6DFB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浆闸阀</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CD30E0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D087980">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4EAE88E">
            <w:pPr>
              <w:widowControl/>
              <w:jc w:val="center"/>
              <w:rPr>
                <w:rFonts w:ascii="Times New Roman" w:hAnsi="Times New Roman"/>
                <w:sz w:val="21"/>
                <w:szCs w:val="21"/>
              </w:rPr>
            </w:pP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694CE0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10</w:t>
            </w:r>
          </w:p>
        </w:tc>
      </w:tr>
      <w:tr w14:paraId="03FCFD73">
        <w:tblPrEx>
          <w:tblCellMar>
            <w:top w:w="0" w:type="dxa"/>
            <w:left w:w="108" w:type="dxa"/>
            <w:bottom w:w="0" w:type="dxa"/>
            <w:right w:w="108" w:type="dxa"/>
          </w:tblCellMar>
        </w:tblPrEx>
        <w:trPr>
          <w:trHeight w:val="1980" w:hRule="exact"/>
        </w:trPr>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618352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2</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C02B38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蒸汽、冷凝水</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15B1A1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柱塞阀</w:t>
            </w:r>
          </w:p>
          <w:p w14:paraId="05EB137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闸</w:t>
            </w:r>
            <w:r>
              <w:rPr>
                <w:rFonts w:hint="eastAsia" w:ascii="Times New Roman" w:hAnsi="Times New Roman"/>
                <w:color w:val="000000"/>
                <w:sz w:val="21"/>
                <w:szCs w:val="21"/>
              </w:rPr>
              <w:t xml:space="preserve">  </w:t>
            </w:r>
            <w:r>
              <w:rPr>
                <w:rFonts w:ascii="Times New Roman" w:hAnsi="Times New Roman"/>
                <w:color w:val="000000"/>
                <w:spacing w:val="-1"/>
                <w:sz w:val="21"/>
                <w:szCs w:val="21"/>
              </w:rPr>
              <w:t>阀</w:t>
            </w:r>
          </w:p>
          <w:p w14:paraId="69A45BF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止回阀</w:t>
            </w:r>
          </w:p>
          <w:p w14:paraId="256762C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减压阀</w:t>
            </w:r>
          </w:p>
          <w:p w14:paraId="677D908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安全阀</w:t>
            </w:r>
          </w:p>
          <w:p w14:paraId="362E3C5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疏水阀</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ED9D94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铸钢</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18F605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铸钢</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5D67E86">
            <w:pPr>
              <w:widowControl/>
              <w:jc w:val="center"/>
              <w:rPr>
                <w:rFonts w:ascii="Times New Roman" w:hAnsi="Times New Roman"/>
                <w:sz w:val="21"/>
                <w:szCs w:val="21"/>
              </w:rPr>
            </w:pP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08ADA9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16~25</w:t>
            </w:r>
          </w:p>
        </w:tc>
      </w:tr>
      <w:tr w14:paraId="7A0C7CF4">
        <w:tblPrEx>
          <w:tblCellMar>
            <w:top w:w="0" w:type="dxa"/>
            <w:left w:w="108" w:type="dxa"/>
            <w:bottom w:w="0" w:type="dxa"/>
            <w:right w:w="108" w:type="dxa"/>
          </w:tblCellMar>
        </w:tblPrEx>
        <w:trPr>
          <w:trHeight w:val="1081" w:hRule="exact"/>
        </w:trPr>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172CE13">
            <w:pPr>
              <w:widowControl/>
              <w:wordWrap w:val="0"/>
              <w:autoSpaceDE w:val="0"/>
              <w:autoSpaceDN w:val="0"/>
              <w:jc w:val="center"/>
              <w:rPr>
                <w:rFonts w:ascii="Times New Roman" w:hAnsi="Times New Roman"/>
                <w:sz w:val="21"/>
                <w:szCs w:val="21"/>
              </w:rPr>
            </w:pPr>
            <w:r>
              <w:rPr>
                <w:rFonts w:ascii="Times New Roman" w:hAnsi="Times New Roman"/>
                <w:color w:val="000000"/>
                <w:w w:val="99"/>
                <w:sz w:val="21"/>
                <w:szCs w:val="21"/>
              </w:rPr>
              <w:t>3</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17BD430">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压缩</w:t>
            </w:r>
          </w:p>
          <w:p w14:paraId="1B87376A">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空气</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31CB1F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内螺纹球阀</w:t>
            </w:r>
          </w:p>
          <w:p w14:paraId="348A1D1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法兰球阀</w:t>
            </w:r>
          </w:p>
          <w:p w14:paraId="603DF23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闸</w:t>
            </w:r>
            <w:r>
              <w:rPr>
                <w:rFonts w:ascii="Times New Roman" w:hAnsi="Times New Roman"/>
                <w:color w:val="000000"/>
                <w:spacing w:val="158"/>
                <w:sz w:val="21"/>
                <w:szCs w:val="21"/>
              </w:rPr>
              <w:t xml:space="preserve"> </w:t>
            </w:r>
            <w:r>
              <w:rPr>
                <w:rFonts w:ascii="Times New Roman" w:hAnsi="Times New Roman"/>
                <w:color w:val="000000"/>
                <w:spacing w:val="-1"/>
                <w:sz w:val="21"/>
                <w:szCs w:val="21"/>
              </w:rPr>
              <w:t>阀</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4197AB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3D30E25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429EC62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E17425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090131D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765AEE2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124337B">
            <w:pPr>
              <w:widowControl/>
              <w:jc w:val="center"/>
              <w:rPr>
                <w:rFonts w:ascii="Times New Roman" w:hAnsi="Times New Roman"/>
                <w:sz w:val="21"/>
                <w:szCs w:val="21"/>
              </w:rPr>
            </w:pP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684CFD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10~16</w:t>
            </w:r>
          </w:p>
        </w:tc>
      </w:tr>
      <w:tr w14:paraId="168412E5">
        <w:tblPrEx>
          <w:tblCellMar>
            <w:top w:w="0" w:type="dxa"/>
            <w:left w:w="108" w:type="dxa"/>
            <w:bottom w:w="0" w:type="dxa"/>
            <w:right w:w="108" w:type="dxa"/>
          </w:tblCellMar>
        </w:tblPrEx>
        <w:trPr>
          <w:trHeight w:val="1609" w:hRule="exact"/>
        </w:trPr>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C13FA48">
            <w:pPr>
              <w:widowControl/>
              <w:wordWrap w:val="0"/>
              <w:autoSpaceDE w:val="0"/>
              <w:autoSpaceDN w:val="0"/>
              <w:jc w:val="center"/>
              <w:rPr>
                <w:rFonts w:ascii="Times New Roman" w:hAnsi="Times New Roman"/>
                <w:sz w:val="21"/>
                <w:szCs w:val="21"/>
              </w:rPr>
            </w:pPr>
            <w:r>
              <w:rPr>
                <w:rFonts w:ascii="Times New Roman" w:hAnsi="Times New Roman"/>
                <w:color w:val="000000"/>
                <w:w w:val="99"/>
                <w:sz w:val="21"/>
                <w:szCs w:val="21"/>
              </w:rPr>
              <w:t>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9F6B0D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热水、白水</w:t>
            </w:r>
          </w:p>
          <w:p w14:paraId="3673AA0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清水、密封水</w:t>
            </w:r>
          </w:p>
          <w:p w14:paraId="1E41A655">
            <w:pPr>
              <w:widowControl/>
              <w:wordWrap w:val="0"/>
              <w:autoSpaceDE w:val="0"/>
              <w:autoSpaceDN w:val="0"/>
              <w:jc w:val="center"/>
              <w:rPr>
                <w:rFonts w:ascii="Times New Roman" w:hAnsi="Times New Roman"/>
                <w:sz w:val="21"/>
                <w:szCs w:val="21"/>
              </w:rPr>
            </w:pPr>
            <w:r>
              <w:rPr>
                <w:rFonts w:ascii="Times New Roman" w:hAnsi="Times New Roman"/>
                <w:color w:val="000000"/>
                <w:w w:val="101"/>
                <w:sz w:val="21"/>
                <w:szCs w:val="21"/>
              </w:rPr>
              <w:t>3</w:t>
            </w:r>
            <w:r>
              <w:rPr>
                <w:rFonts w:ascii="Times New Roman" w:hAnsi="Times New Roman"/>
                <w:color w:val="000000"/>
                <w:w w:val="99"/>
                <w:sz w:val="21"/>
                <w:szCs w:val="21"/>
              </w:rPr>
              <w:t>-</w:t>
            </w:r>
            <w:r>
              <w:rPr>
                <w:rFonts w:ascii="Times New Roman" w:hAnsi="Times New Roman"/>
                <w:color w:val="000000"/>
                <w:w w:val="101"/>
                <w:sz w:val="21"/>
                <w:szCs w:val="21"/>
              </w:rPr>
              <w:t>8</w:t>
            </w:r>
            <w:r>
              <w:rPr>
                <w:rFonts w:ascii="Times New Roman" w:hAnsi="Times New Roman"/>
                <w:color w:val="000000"/>
                <w:sz w:val="21"/>
                <w:szCs w:val="21"/>
              </w:rPr>
              <w:t>bar</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D205A1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内螺纹球阀</w:t>
            </w:r>
          </w:p>
          <w:p w14:paraId="5125DCE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法兰球阀</w:t>
            </w:r>
          </w:p>
          <w:p w14:paraId="33F4130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闸</w:t>
            </w:r>
            <w:r>
              <w:rPr>
                <w:rFonts w:hint="eastAsia" w:ascii="Times New Roman" w:hAnsi="Times New Roman"/>
                <w:color w:val="000000"/>
                <w:sz w:val="21"/>
                <w:szCs w:val="21"/>
              </w:rPr>
              <w:t xml:space="preserve">  </w:t>
            </w:r>
            <w:r>
              <w:rPr>
                <w:rFonts w:ascii="Times New Roman" w:hAnsi="Times New Roman"/>
                <w:color w:val="000000"/>
                <w:spacing w:val="-1"/>
                <w:sz w:val="21"/>
                <w:szCs w:val="21"/>
              </w:rPr>
              <w:t>阀</w:t>
            </w:r>
          </w:p>
          <w:p w14:paraId="0B7F09A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止回阀</w:t>
            </w:r>
          </w:p>
          <w:p w14:paraId="719401C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减压阀</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FF7960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62471A68">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p w14:paraId="53298F99">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p w14:paraId="38BBD085">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p w14:paraId="43CD94FE">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5DDBC8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6BFF5B0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67D0BD2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3105578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4F8306E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7A9FCE4">
            <w:pPr>
              <w:widowControl/>
              <w:jc w:val="center"/>
              <w:rPr>
                <w:rFonts w:ascii="Times New Roman" w:hAnsi="Times New Roman"/>
                <w:sz w:val="21"/>
                <w:szCs w:val="21"/>
              </w:rPr>
            </w:pP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10E54B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10~25</w:t>
            </w:r>
          </w:p>
          <w:p w14:paraId="558294D7">
            <w:pPr>
              <w:widowControl/>
              <w:wordWrap w:val="0"/>
              <w:autoSpaceDE w:val="0"/>
              <w:autoSpaceDN w:val="0"/>
              <w:jc w:val="center"/>
              <w:rPr>
                <w:rFonts w:ascii="Times New Roman" w:hAnsi="Times New Roman"/>
                <w:sz w:val="21"/>
                <w:szCs w:val="21"/>
              </w:rPr>
            </w:pPr>
          </w:p>
        </w:tc>
      </w:tr>
      <w:tr w14:paraId="14F3112A">
        <w:tblPrEx>
          <w:tblCellMar>
            <w:top w:w="0" w:type="dxa"/>
            <w:left w:w="108" w:type="dxa"/>
            <w:bottom w:w="0" w:type="dxa"/>
            <w:right w:w="108" w:type="dxa"/>
          </w:tblCellMar>
        </w:tblPrEx>
        <w:trPr>
          <w:trHeight w:val="1610" w:hRule="exact"/>
        </w:trPr>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461703B">
            <w:pPr>
              <w:widowControl/>
              <w:wordWrap w:val="0"/>
              <w:autoSpaceDE w:val="0"/>
              <w:autoSpaceDN w:val="0"/>
              <w:jc w:val="center"/>
              <w:rPr>
                <w:rFonts w:ascii="Times New Roman" w:hAnsi="Times New Roman"/>
                <w:sz w:val="21"/>
                <w:szCs w:val="21"/>
              </w:rPr>
            </w:pPr>
            <w:r>
              <w:rPr>
                <w:rFonts w:ascii="Times New Roman" w:hAnsi="Times New Roman"/>
                <w:color w:val="000000"/>
                <w:w w:val="99"/>
                <w:sz w:val="21"/>
                <w:szCs w:val="21"/>
              </w:rPr>
              <w:t>5</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AAA30E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热水、白水</w:t>
            </w:r>
          </w:p>
          <w:p w14:paraId="269FED5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≤12bar</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E41836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内螺纹球阀</w:t>
            </w:r>
          </w:p>
          <w:p w14:paraId="2B7E2500">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法兰球阀</w:t>
            </w:r>
          </w:p>
          <w:p w14:paraId="2A0C14B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碟</w:t>
            </w:r>
            <w:r>
              <w:rPr>
                <w:rFonts w:hint="eastAsia" w:ascii="Times New Roman" w:hAnsi="Times New Roman"/>
                <w:color w:val="000000"/>
                <w:sz w:val="21"/>
                <w:szCs w:val="21"/>
              </w:rPr>
              <w:t xml:space="preserve">  </w:t>
            </w:r>
            <w:r>
              <w:rPr>
                <w:rFonts w:ascii="Times New Roman" w:hAnsi="Times New Roman"/>
                <w:color w:val="000000"/>
                <w:spacing w:val="-1"/>
                <w:sz w:val="21"/>
                <w:szCs w:val="21"/>
              </w:rPr>
              <w:t>阀</w:t>
            </w:r>
          </w:p>
          <w:p w14:paraId="7EBDB1B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闸</w:t>
            </w:r>
            <w:r>
              <w:rPr>
                <w:rFonts w:hint="eastAsia" w:ascii="Times New Roman" w:hAnsi="Times New Roman"/>
                <w:color w:val="000000"/>
                <w:sz w:val="21"/>
                <w:szCs w:val="21"/>
              </w:rPr>
              <w:t xml:space="preserve">  </w:t>
            </w:r>
            <w:r>
              <w:rPr>
                <w:rFonts w:ascii="Times New Roman" w:hAnsi="Times New Roman"/>
                <w:color w:val="000000"/>
                <w:spacing w:val="-1"/>
                <w:sz w:val="21"/>
                <w:szCs w:val="21"/>
              </w:rPr>
              <w:t>阀</w:t>
            </w:r>
          </w:p>
          <w:p w14:paraId="6E0EA9F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止回阀</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E34C8E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42ADA6D3">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p w14:paraId="6854A50B">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p w14:paraId="64E2A334">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p w14:paraId="55FFCC40">
            <w:pPr>
              <w:widowControl/>
              <w:wordWrap w:val="0"/>
              <w:autoSpaceDE w:val="0"/>
              <w:autoSpaceDN w:val="0"/>
              <w:jc w:val="center"/>
              <w:rPr>
                <w:rFonts w:ascii="Times New Roman" w:hAnsi="Times New Roman"/>
                <w:sz w:val="21"/>
                <w:szCs w:val="21"/>
              </w:rPr>
            </w:pPr>
            <w:r>
              <w:rPr>
                <w:rFonts w:ascii="Times New Roman" w:hAnsi="Times New Roman"/>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E389CF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5E04001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5D0FA15F">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767A1C8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p w14:paraId="2610D6C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304</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2FE71E7">
            <w:pPr>
              <w:widowControl/>
              <w:jc w:val="center"/>
              <w:rPr>
                <w:rFonts w:ascii="Times New Roman" w:hAnsi="Times New Roman"/>
                <w:sz w:val="21"/>
                <w:szCs w:val="21"/>
              </w:rPr>
            </w:pP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3B2C24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10~25</w:t>
            </w:r>
          </w:p>
        </w:tc>
      </w:tr>
      <w:tr w14:paraId="703730D9">
        <w:tblPrEx>
          <w:tblCellMar>
            <w:top w:w="0" w:type="dxa"/>
            <w:left w:w="108" w:type="dxa"/>
            <w:bottom w:w="0" w:type="dxa"/>
            <w:right w:w="108" w:type="dxa"/>
          </w:tblCellMar>
        </w:tblPrEx>
        <w:trPr>
          <w:trHeight w:val="545" w:hRule="exact"/>
        </w:trPr>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B83934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6</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79DF4F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化工品管</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DDC056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内螺纹球阀</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20B7C0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与管道材质</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25A963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与管道材质</w:t>
            </w: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F4A5740">
            <w:pPr>
              <w:widowControl/>
              <w:jc w:val="center"/>
              <w:rPr>
                <w:rFonts w:ascii="Times New Roman" w:hAnsi="Times New Roman"/>
                <w:sz w:val="21"/>
                <w:szCs w:val="21"/>
              </w:rPr>
            </w:pPr>
          </w:p>
        </w:tc>
        <w:tc>
          <w:tcPr>
            <w:tcW w:w="129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DB57CA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10</w:t>
            </w:r>
          </w:p>
        </w:tc>
      </w:tr>
      <w:tr w14:paraId="7C3A43C9">
        <w:tblPrEx>
          <w:tblCellMar>
            <w:top w:w="0" w:type="dxa"/>
            <w:left w:w="108" w:type="dxa"/>
            <w:bottom w:w="0" w:type="dxa"/>
            <w:right w:w="108" w:type="dxa"/>
          </w:tblCellMar>
        </w:tblPrEx>
        <w:trPr>
          <w:trHeight w:val="1345" w:hRule="exact"/>
        </w:trPr>
        <w:tc>
          <w:tcPr>
            <w:tcW w:w="1299"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7F832C9F">
            <w:pPr>
              <w:widowControl/>
              <w:wordWrap w:val="0"/>
              <w:autoSpaceDE w:val="0"/>
              <w:autoSpaceDN w:val="0"/>
              <w:jc w:val="center"/>
              <w:rPr>
                <w:rFonts w:ascii="Times New Roman" w:hAnsi="Times New Roman"/>
                <w:sz w:val="21"/>
                <w:szCs w:val="21"/>
                <w:lang w:eastAsia="en-US"/>
              </w:rPr>
            </w:pPr>
            <w:r>
              <w:rPr>
                <w:rFonts w:ascii="Times New Roman" w:hAnsi="Times New Roman"/>
                <w:color w:val="000000"/>
                <w:w w:val="99"/>
                <w:sz w:val="21"/>
                <w:szCs w:val="21"/>
              </w:rPr>
              <w:t>7</w:t>
            </w:r>
          </w:p>
        </w:tc>
        <w:tc>
          <w:tcPr>
            <w:tcW w:w="1299"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7765DCF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热白液</w:t>
            </w:r>
          </w:p>
        </w:tc>
        <w:tc>
          <w:tcPr>
            <w:tcW w:w="1299"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4E5B6F5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闸</w:t>
            </w:r>
            <w:r>
              <w:rPr>
                <w:rFonts w:hint="eastAsia" w:ascii="Times New Roman" w:hAnsi="Times New Roman"/>
                <w:color w:val="000000"/>
                <w:sz w:val="21"/>
                <w:szCs w:val="21"/>
              </w:rPr>
              <w:t xml:space="preserve">  </w:t>
            </w:r>
            <w:r>
              <w:rPr>
                <w:rFonts w:ascii="Times New Roman" w:hAnsi="Times New Roman"/>
                <w:color w:val="000000"/>
                <w:spacing w:val="-1"/>
                <w:sz w:val="21"/>
                <w:szCs w:val="21"/>
              </w:rPr>
              <w:t>阀</w:t>
            </w:r>
          </w:p>
          <w:p w14:paraId="202AE4A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法兰球阀</w:t>
            </w:r>
          </w:p>
          <w:p w14:paraId="26E6E8F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止回阀</w:t>
            </w:r>
          </w:p>
          <w:p w14:paraId="4F370AE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安全阀</w:t>
            </w:r>
          </w:p>
        </w:tc>
        <w:tc>
          <w:tcPr>
            <w:tcW w:w="1299"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124ADC4C">
            <w:pPr>
              <w:widowControl/>
              <w:wordWrap w:val="0"/>
              <w:autoSpaceDE w:val="0"/>
              <w:autoSpaceDN w:val="0"/>
              <w:jc w:val="center"/>
              <w:rPr>
                <w:rFonts w:ascii="Times New Roman" w:hAnsi="Times New Roman"/>
                <w:sz w:val="21"/>
                <w:szCs w:val="21"/>
              </w:rPr>
            </w:pPr>
            <w:r>
              <w:rPr>
                <w:rFonts w:ascii="Times New Roman" w:hAnsi="Times New Roman"/>
                <w:sz w:val="21"/>
                <w:szCs w:val="21"/>
              </w:rPr>
              <w:t>316L</w:t>
            </w:r>
          </w:p>
          <w:p w14:paraId="1DF0962F">
            <w:pPr>
              <w:widowControl/>
              <w:wordWrap w:val="0"/>
              <w:autoSpaceDE w:val="0"/>
              <w:autoSpaceDN w:val="0"/>
              <w:jc w:val="center"/>
              <w:rPr>
                <w:rFonts w:ascii="Times New Roman" w:hAnsi="Times New Roman"/>
                <w:sz w:val="21"/>
                <w:szCs w:val="21"/>
              </w:rPr>
            </w:pPr>
            <w:r>
              <w:rPr>
                <w:rFonts w:ascii="Times New Roman" w:hAnsi="Times New Roman"/>
                <w:sz w:val="21"/>
                <w:szCs w:val="21"/>
              </w:rPr>
              <w:t>316L</w:t>
            </w:r>
          </w:p>
          <w:p w14:paraId="6E0F2637">
            <w:pPr>
              <w:widowControl/>
              <w:wordWrap w:val="0"/>
              <w:autoSpaceDE w:val="0"/>
              <w:autoSpaceDN w:val="0"/>
              <w:jc w:val="center"/>
              <w:rPr>
                <w:rFonts w:ascii="Times New Roman" w:hAnsi="Times New Roman"/>
                <w:sz w:val="21"/>
                <w:szCs w:val="21"/>
              </w:rPr>
            </w:pPr>
            <w:r>
              <w:rPr>
                <w:rFonts w:ascii="Times New Roman" w:hAnsi="Times New Roman"/>
                <w:sz w:val="21"/>
                <w:szCs w:val="21"/>
              </w:rPr>
              <w:t>316L</w:t>
            </w:r>
          </w:p>
          <w:p w14:paraId="36A72E90">
            <w:pPr>
              <w:widowControl/>
              <w:wordWrap w:val="0"/>
              <w:autoSpaceDE w:val="0"/>
              <w:autoSpaceDN w:val="0"/>
              <w:jc w:val="center"/>
              <w:rPr>
                <w:rFonts w:ascii="Times New Roman" w:hAnsi="Times New Roman"/>
                <w:sz w:val="21"/>
                <w:szCs w:val="21"/>
              </w:rPr>
            </w:pPr>
            <w:r>
              <w:rPr>
                <w:rFonts w:ascii="Times New Roman" w:hAnsi="Times New Roman"/>
                <w:sz w:val="21"/>
                <w:szCs w:val="21"/>
              </w:rPr>
              <w:t>316L</w:t>
            </w:r>
          </w:p>
        </w:tc>
        <w:tc>
          <w:tcPr>
            <w:tcW w:w="1299"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40447B5A">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p w14:paraId="38BA9DE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p w14:paraId="7080C39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p w14:paraId="0F6FE84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tc>
        <w:tc>
          <w:tcPr>
            <w:tcW w:w="1299"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1D9580D3">
            <w:pPr>
              <w:widowControl/>
              <w:jc w:val="center"/>
              <w:rPr>
                <w:rFonts w:ascii="Times New Roman" w:hAnsi="Times New Roman"/>
                <w:sz w:val="21"/>
                <w:szCs w:val="21"/>
                <w:lang w:eastAsia="en-US"/>
              </w:rPr>
            </w:pPr>
          </w:p>
        </w:tc>
        <w:tc>
          <w:tcPr>
            <w:tcW w:w="1299" w:type="dxa"/>
            <w:tcBorders>
              <w:top w:val="single" w:color="000000" w:sz="4" w:space="0"/>
              <w:left w:val="single" w:color="000000" w:sz="4" w:space="0"/>
              <w:bottom w:val="single" w:color="auto" w:sz="4" w:space="0"/>
              <w:right w:val="single" w:color="000000" w:sz="4" w:space="0"/>
            </w:tcBorders>
            <w:tcMar>
              <w:left w:w="0" w:type="dxa"/>
              <w:right w:w="0" w:type="dxa"/>
            </w:tcMar>
            <w:vAlign w:val="center"/>
          </w:tcPr>
          <w:p w14:paraId="3BC6DAA1">
            <w:pPr>
              <w:widowControl/>
              <w:wordWrap w:val="0"/>
              <w:autoSpaceDE w:val="0"/>
              <w:autoSpaceDN w:val="0"/>
              <w:jc w:val="center"/>
              <w:rPr>
                <w:rFonts w:ascii="Times New Roman" w:hAnsi="Times New Roman"/>
                <w:sz w:val="21"/>
                <w:szCs w:val="21"/>
              </w:rPr>
            </w:pPr>
          </w:p>
          <w:p w14:paraId="3210BED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25~40</w:t>
            </w:r>
          </w:p>
        </w:tc>
      </w:tr>
      <w:tr w14:paraId="45BCB650">
        <w:tblPrEx>
          <w:tblCellMar>
            <w:top w:w="0" w:type="dxa"/>
            <w:left w:w="108" w:type="dxa"/>
            <w:bottom w:w="0" w:type="dxa"/>
            <w:right w:w="108" w:type="dxa"/>
          </w:tblCellMar>
        </w:tblPrEx>
        <w:trPr>
          <w:trHeight w:val="1305" w:hRule="exact"/>
        </w:trPr>
        <w:tc>
          <w:tcPr>
            <w:tcW w:w="1299" w:type="dxa"/>
            <w:tcBorders>
              <w:top w:val="single" w:color="auto" w:sz="4" w:space="0"/>
              <w:left w:val="single" w:color="auto" w:sz="4" w:space="0"/>
              <w:bottom w:val="single" w:color="auto" w:sz="4" w:space="0"/>
              <w:right w:val="single" w:color="auto" w:sz="4" w:space="0"/>
            </w:tcBorders>
            <w:vAlign w:val="center"/>
          </w:tcPr>
          <w:p w14:paraId="7F82CAE2">
            <w:pPr>
              <w:widowControl/>
              <w:wordWrap w:val="0"/>
              <w:autoSpaceDE w:val="0"/>
              <w:autoSpaceDN w:val="0"/>
              <w:jc w:val="center"/>
              <w:rPr>
                <w:rFonts w:ascii="Times New Roman" w:hAnsi="Times New Roman"/>
                <w:sz w:val="21"/>
                <w:szCs w:val="21"/>
                <w:lang w:eastAsia="en-US"/>
              </w:rPr>
            </w:pPr>
            <w:r>
              <w:rPr>
                <w:rFonts w:ascii="Times New Roman" w:hAnsi="Times New Roman"/>
                <w:color w:val="000000"/>
                <w:w w:val="99"/>
                <w:sz w:val="21"/>
                <w:szCs w:val="21"/>
              </w:rPr>
              <w:t>8</w:t>
            </w:r>
          </w:p>
        </w:tc>
        <w:tc>
          <w:tcPr>
            <w:tcW w:w="1299" w:type="dxa"/>
            <w:tcBorders>
              <w:top w:val="single" w:color="auto" w:sz="4" w:space="0"/>
              <w:left w:val="single" w:color="auto" w:sz="4" w:space="0"/>
              <w:bottom w:val="single" w:color="auto" w:sz="4" w:space="0"/>
              <w:right w:val="single" w:color="auto" w:sz="4" w:space="0"/>
            </w:tcBorders>
            <w:vAlign w:val="center"/>
          </w:tcPr>
          <w:p w14:paraId="69BBE391">
            <w:pPr>
              <w:widowControl/>
              <w:wordWrap w:val="0"/>
              <w:autoSpaceDE w:val="0"/>
              <w:autoSpaceDN w:val="0"/>
              <w:jc w:val="center"/>
              <w:rPr>
                <w:rFonts w:ascii="Times New Roman" w:hAnsi="Times New Roman"/>
                <w:color w:val="000000"/>
                <w:sz w:val="21"/>
                <w:szCs w:val="21"/>
              </w:rPr>
            </w:pPr>
            <w:r>
              <w:rPr>
                <w:rFonts w:ascii="Times New Roman" w:hAnsi="Times New Roman"/>
                <w:color w:val="000000"/>
                <w:sz w:val="21"/>
                <w:szCs w:val="21"/>
              </w:rPr>
              <w:t>温黑液</w:t>
            </w:r>
          </w:p>
          <w:p w14:paraId="20D24CA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热黑液</w:t>
            </w:r>
          </w:p>
        </w:tc>
        <w:tc>
          <w:tcPr>
            <w:tcW w:w="1299" w:type="dxa"/>
            <w:tcBorders>
              <w:top w:val="single" w:color="auto" w:sz="4" w:space="0"/>
              <w:left w:val="single" w:color="auto" w:sz="4" w:space="0"/>
              <w:bottom w:val="single" w:color="auto" w:sz="4" w:space="0"/>
              <w:right w:val="single" w:color="auto" w:sz="4" w:space="0"/>
            </w:tcBorders>
            <w:vAlign w:val="center"/>
          </w:tcPr>
          <w:p w14:paraId="295E783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闸</w:t>
            </w:r>
            <w:r>
              <w:rPr>
                <w:rFonts w:hint="eastAsia" w:ascii="Times New Roman" w:hAnsi="Times New Roman"/>
                <w:color w:val="000000"/>
                <w:sz w:val="21"/>
                <w:szCs w:val="21"/>
              </w:rPr>
              <w:t xml:space="preserve">  </w:t>
            </w:r>
            <w:r>
              <w:rPr>
                <w:rFonts w:ascii="Times New Roman" w:hAnsi="Times New Roman"/>
                <w:color w:val="000000"/>
                <w:spacing w:val="-1"/>
                <w:sz w:val="21"/>
                <w:szCs w:val="21"/>
              </w:rPr>
              <w:t>阀</w:t>
            </w:r>
          </w:p>
          <w:p w14:paraId="7DAF85E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法兰球阀</w:t>
            </w:r>
          </w:p>
          <w:p w14:paraId="105A075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止回阀</w:t>
            </w:r>
          </w:p>
          <w:p w14:paraId="02FA82F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安全阀</w:t>
            </w:r>
          </w:p>
        </w:tc>
        <w:tc>
          <w:tcPr>
            <w:tcW w:w="1299" w:type="dxa"/>
            <w:tcBorders>
              <w:top w:val="single" w:color="auto" w:sz="4" w:space="0"/>
              <w:left w:val="single" w:color="auto" w:sz="4" w:space="0"/>
              <w:bottom w:val="single" w:color="auto" w:sz="4" w:space="0"/>
              <w:right w:val="single" w:color="auto" w:sz="4" w:space="0"/>
            </w:tcBorders>
            <w:vAlign w:val="center"/>
          </w:tcPr>
          <w:p w14:paraId="3974887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p w14:paraId="296FAD0D">
            <w:pPr>
              <w:widowControl/>
              <w:wordWrap w:val="0"/>
              <w:autoSpaceDE w:val="0"/>
              <w:autoSpaceDN w:val="0"/>
              <w:jc w:val="center"/>
              <w:rPr>
                <w:rFonts w:ascii="Times New Roman" w:hAnsi="Times New Roman"/>
                <w:sz w:val="21"/>
                <w:szCs w:val="21"/>
              </w:rPr>
            </w:pPr>
            <w:r>
              <w:rPr>
                <w:rFonts w:ascii="Times New Roman" w:hAnsi="Times New Roman"/>
                <w:sz w:val="21"/>
                <w:szCs w:val="21"/>
              </w:rPr>
              <w:t>316L</w:t>
            </w:r>
          </w:p>
          <w:p w14:paraId="1A32A0B1">
            <w:pPr>
              <w:widowControl/>
              <w:wordWrap w:val="0"/>
              <w:autoSpaceDE w:val="0"/>
              <w:autoSpaceDN w:val="0"/>
              <w:jc w:val="center"/>
              <w:rPr>
                <w:rFonts w:ascii="Times New Roman" w:hAnsi="Times New Roman"/>
                <w:sz w:val="21"/>
                <w:szCs w:val="21"/>
              </w:rPr>
            </w:pPr>
            <w:r>
              <w:rPr>
                <w:rFonts w:ascii="Times New Roman" w:hAnsi="Times New Roman"/>
                <w:sz w:val="21"/>
                <w:szCs w:val="21"/>
              </w:rPr>
              <w:t>316L</w:t>
            </w:r>
          </w:p>
          <w:p w14:paraId="75DC77E0">
            <w:pPr>
              <w:widowControl/>
              <w:wordWrap w:val="0"/>
              <w:autoSpaceDE w:val="0"/>
              <w:autoSpaceDN w:val="0"/>
              <w:jc w:val="center"/>
              <w:rPr>
                <w:rFonts w:ascii="Times New Roman" w:hAnsi="Times New Roman"/>
                <w:sz w:val="21"/>
                <w:szCs w:val="21"/>
              </w:rPr>
            </w:pPr>
            <w:r>
              <w:rPr>
                <w:rFonts w:ascii="Times New Roman" w:hAnsi="Times New Roman"/>
                <w:sz w:val="21"/>
                <w:szCs w:val="21"/>
              </w:rPr>
              <w:t>316L</w:t>
            </w:r>
          </w:p>
        </w:tc>
        <w:tc>
          <w:tcPr>
            <w:tcW w:w="1299" w:type="dxa"/>
            <w:tcBorders>
              <w:top w:val="single" w:color="auto" w:sz="4" w:space="0"/>
              <w:left w:val="single" w:color="auto" w:sz="4" w:space="0"/>
              <w:bottom w:val="single" w:color="auto" w:sz="4" w:space="0"/>
              <w:right w:val="single" w:color="auto" w:sz="4" w:space="0"/>
            </w:tcBorders>
            <w:vAlign w:val="center"/>
          </w:tcPr>
          <w:p w14:paraId="53457DA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p w14:paraId="3CEA47C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p w14:paraId="7A7D986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p w14:paraId="1D62B7A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316L</w:t>
            </w:r>
          </w:p>
        </w:tc>
        <w:tc>
          <w:tcPr>
            <w:tcW w:w="1299" w:type="dxa"/>
            <w:tcBorders>
              <w:top w:val="single" w:color="auto" w:sz="4" w:space="0"/>
              <w:left w:val="single" w:color="auto" w:sz="4" w:space="0"/>
              <w:bottom w:val="single" w:color="auto" w:sz="4" w:space="0"/>
              <w:right w:val="single" w:color="auto" w:sz="4" w:space="0"/>
            </w:tcBorders>
            <w:vAlign w:val="center"/>
          </w:tcPr>
          <w:p w14:paraId="0C57FB54">
            <w:pPr>
              <w:widowControl/>
              <w:jc w:val="center"/>
              <w:rPr>
                <w:rFonts w:ascii="Times New Roman" w:hAnsi="Times New Roman"/>
                <w:sz w:val="21"/>
                <w:szCs w:val="21"/>
                <w:lang w:eastAsia="en-US"/>
              </w:rPr>
            </w:pPr>
          </w:p>
        </w:tc>
        <w:tc>
          <w:tcPr>
            <w:tcW w:w="1299" w:type="dxa"/>
            <w:tcBorders>
              <w:top w:val="single" w:color="auto" w:sz="4" w:space="0"/>
              <w:left w:val="single" w:color="auto" w:sz="4" w:space="0"/>
              <w:bottom w:val="single" w:color="auto" w:sz="4" w:space="0"/>
              <w:right w:val="single" w:color="auto" w:sz="4" w:space="0"/>
            </w:tcBorders>
            <w:vAlign w:val="center"/>
          </w:tcPr>
          <w:p w14:paraId="5B251B0A">
            <w:pPr>
              <w:widowControl/>
              <w:wordWrap w:val="0"/>
              <w:autoSpaceDE w:val="0"/>
              <w:autoSpaceDN w:val="0"/>
              <w:jc w:val="center"/>
              <w:rPr>
                <w:rFonts w:ascii="Times New Roman" w:hAnsi="Times New Roman"/>
                <w:sz w:val="21"/>
                <w:szCs w:val="21"/>
                <w:lang w:eastAsia="en-US"/>
              </w:rPr>
            </w:pPr>
            <w:r>
              <w:rPr>
                <w:rFonts w:ascii="Times New Roman" w:hAnsi="Times New Roman"/>
                <w:color w:val="000000"/>
                <w:sz w:val="21"/>
                <w:szCs w:val="21"/>
              </w:rPr>
              <w:t>16~40</w:t>
            </w:r>
          </w:p>
        </w:tc>
      </w:tr>
      <w:tr w14:paraId="11A477B4">
        <w:tblPrEx>
          <w:tblCellMar>
            <w:top w:w="0" w:type="dxa"/>
            <w:left w:w="108" w:type="dxa"/>
            <w:bottom w:w="0" w:type="dxa"/>
            <w:right w:w="108" w:type="dxa"/>
          </w:tblCellMar>
        </w:tblPrEx>
        <w:trPr>
          <w:trHeight w:val="1385" w:hRule="exact"/>
        </w:trPr>
        <w:tc>
          <w:tcPr>
            <w:tcW w:w="1299" w:type="dxa"/>
            <w:tcBorders>
              <w:top w:val="single" w:color="auto" w:sz="4" w:space="0"/>
              <w:left w:val="single" w:color="auto" w:sz="4" w:space="0"/>
              <w:bottom w:val="single" w:color="auto" w:sz="4" w:space="0"/>
              <w:right w:val="single" w:color="auto" w:sz="4" w:space="0"/>
            </w:tcBorders>
            <w:vAlign w:val="center"/>
          </w:tcPr>
          <w:p w14:paraId="23556EEA">
            <w:pPr>
              <w:widowControl/>
              <w:wordWrap w:val="0"/>
              <w:autoSpaceDE w:val="0"/>
              <w:autoSpaceDN w:val="0"/>
              <w:jc w:val="center"/>
              <w:rPr>
                <w:rFonts w:ascii="Times New Roman" w:hAnsi="Times New Roman"/>
                <w:sz w:val="21"/>
                <w:szCs w:val="21"/>
                <w:lang w:eastAsia="en-US"/>
              </w:rPr>
            </w:pPr>
            <w:r>
              <w:rPr>
                <w:rFonts w:ascii="Times New Roman" w:hAnsi="Times New Roman"/>
                <w:color w:val="000000"/>
                <w:w w:val="99"/>
                <w:sz w:val="21"/>
                <w:szCs w:val="21"/>
              </w:rPr>
              <w:t>9</w:t>
            </w:r>
          </w:p>
        </w:tc>
        <w:tc>
          <w:tcPr>
            <w:tcW w:w="1299" w:type="dxa"/>
            <w:tcBorders>
              <w:top w:val="single" w:color="auto" w:sz="4" w:space="0"/>
              <w:left w:val="single" w:color="auto" w:sz="4" w:space="0"/>
              <w:bottom w:val="single" w:color="auto" w:sz="4" w:space="0"/>
              <w:right w:val="single" w:color="auto" w:sz="4" w:space="0"/>
            </w:tcBorders>
            <w:vAlign w:val="center"/>
          </w:tcPr>
          <w:p w14:paraId="18949B63">
            <w:pPr>
              <w:widowControl/>
              <w:wordWrap w:val="0"/>
              <w:autoSpaceDE w:val="0"/>
              <w:autoSpaceDN w:val="0"/>
              <w:jc w:val="center"/>
              <w:rPr>
                <w:rFonts w:ascii="Times New Roman" w:hAnsi="Times New Roman"/>
                <w:color w:val="000000"/>
                <w:sz w:val="21"/>
                <w:szCs w:val="21"/>
              </w:rPr>
            </w:pPr>
            <w:r>
              <w:rPr>
                <w:rFonts w:ascii="Times New Roman" w:hAnsi="Times New Roman"/>
                <w:color w:val="000000"/>
                <w:sz w:val="21"/>
                <w:szCs w:val="21"/>
              </w:rPr>
              <w:t>冷黑液</w:t>
            </w:r>
          </w:p>
        </w:tc>
        <w:tc>
          <w:tcPr>
            <w:tcW w:w="1299" w:type="dxa"/>
            <w:tcBorders>
              <w:top w:val="single" w:color="auto" w:sz="4" w:space="0"/>
              <w:left w:val="single" w:color="auto" w:sz="4" w:space="0"/>
              <w:bottom w:val="single" w:color="auto" w:sz="4" w:space="0"/>
              <w:right w:val="single" w:color="auto" w:sz="4" w:space="0"/>
            </w:tcBorders>
            <w:vAlign w:val="center"/>
          </w:tcPr>
          <w:p w14:paraId="724DC50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闸</w:t>
            </w:r>
            <w:r>
              <w:rPr>
                <w:rFonts w:hint="eastAsia" w:ascii="Times New Roman" w:hAnsi="Times New Roman"/>
                <w:color w:val="000000"/>
                <w:sz w:val="21"/>
                <w:szCs w:val="21"/>
              </w:rPr>
              <w:t xml:space="preserve">  </w:t>
            </w:r>
            <w:r>
              <w:rPr>
                <w:rFonts w:ascii="Times New Roman" w:hAnsi="Times New Roman"/>
                <w:color w:val="000000"/>
                <w:spacing w:val="-1"/>
                <w:sz w:val="21"/>
                <w:szCs w:val="21"/>
              </w:rPr>
              <w:t>阀</w:t>
            </w:r>
          </w:p>
          <w:p w14:paraId="2C6606B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法兰球阀</w:t>
            </w:r>
          </w:p>
          <w:p w14:paraId="6277A800">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止回阀</w:t>
            </w:r>
          </w:p>
          <w:p w14:paraId="26FA1B8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安全阀</w:t>
            </w:r>
          </w:p>
        </w:tc>
        <w:tc>
          <w:tcPr>
            <w:tcW w:w="1299" w:type="dxa"/>
            <w:tcBorders>
              <w:top w:val="single" w:color="auto" w:sz="4" w:space="0"/>
              <w:left w:val="single" w:color="auto" w:sz="4" w:space="0"/>
              <w:bottom w:val="single" w:color="auto" w:sz="4" w:space="0"/>
              <w:right w:val="single" w:color="auto" w:sz="4" w:space="0"/>
            </w:tcBorders>
            <w:vAlign w:val="center"/>
          </w:tcPr>
          <w:p w14:paraId="5D9F275C">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p w14:paraId="01496ECC">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p w14:paraId="2BF6E188">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p w14:paraId="09C049EE">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tc>
        <w:tc>
          <w:tcPr>
            <w:tcW w:w="1299" w:type="dxa"/>
            <w:tcBorders>
              <w:top w:val="single" w:color="auto" w:sz="4" w:space="0"/>
              <w:left w:val="single" w:color="auto" w:sz="4" w:space="0"/>
              <w:bottom w:val="single" w:color="auto" w:sz="4" w:space="0"/>
              <w:right w:val="single" w:color="auto" w:sz="4" w:space="0"/>
            </w:tcBorders>
            <w:vAlign w:val="center"/>
          </w:tcPr>
          <w:p w14:paraId="10351D41">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p w14:paraId="3CE772CC">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p w14:paraId="3B0A468E">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p w14:paraId="2A11F4DA">
            <w:pPr>
              <w:widowControl/>
              <w:wordWrap w:val="0"/>
              <w:autoSpaceDE w:val="0"/>
              <w:autoSpaceDN w:val="0"/>
              <w:jc w:val="center"/>
              <w:rPr>
                <w:rFonts w:ascii="Times New Roman" w:hAnsi="Times New Roman"/>
                <w:sz w:val="21"/>
                <w:szCs w:val="21"/>
              </w:rPr>
            </w:pPr>
            <w:r>
              <w:rPr>
                <w:rFonts w:ascii="Times New Roman" w:hAnsi="Times New Roman"/>
                <w:sz w:val="21"/>
                <w:szCs w:val="21"/>
              </w:rPr>
              <w:t>304L</w:t>
            </w:r>
          </w:p>
        </w:tc>
        <w:tc>
          <w:tcPr>
            <w:tcW w:w="1299" w:type="dxa"/>
            <w:tcBorders>
              <w:top w:val="single" w:color="auto" w:sz="4" w:space="0"/>
              <w:left w:val="single" w:color="auto" w:sz="4" w:space="0"/>
              <w:bottom w:val="single" w:color="auto" w:sz="4" w:space="0"/>
              <w:right w:val="single" w:color="auto" w:sz="4" w:space="0"/>
            </w:tcBorders>
            <w:vAlign w:val="center"/>
          </w:tcPr>
          <w:p w14:paraId="6A7DC727">
            <w:pPr>
              <w:widowControl/>
              <w:jc w:val="center"/>
              <w:rPr>
                <w:rFonts w:ascii="Times New Roman" w:hAnsi="Times New Roman"/>
                <w:sz w:val="21"/>
                <w:szCs w:val="21"/>
                <w:lang w:eastAsia="en-US"/>
              </w:rPr>
            </w:pPr>
          </w:p>
        </w:tc>
        <w:tc>
          <w:tcPr>
            <w:tcW w:w="1299" w:type="dxa"/>
            <w:tcBorders>
              <w:top w:val="single" w:color="auto" w:sz="4" w:space="0"/>
              <w:left w:val="single" w:color="auto" w:sz="4" w:space="0"/>
              <w:bottom w:val="single" w:color="auto" w:sz="4" w:space="0"/>
              <w:right w:val="single" w:color="auto" w:sz="4" w:space="0"/>
            </w:tcBorders>
            <w:vAlign w:val="center"/>
          </w:tcPr>
          <w:p w14:paraId="4E37088F">
            <w:pPr>
              <w:widowControl/>
              <w:wordWrap w:val="0"/>
              <w:autoSpaceDE w:val="0"/>
              <w:autoSpaceDN w:val="0"/>
              <w:jc w:val="center"/>
              <w:rPr>
                <w:rFonts w:ascii="Times New Roman" w:hAnsi="Times New Roman"/>
                <w:color w:val="000000"/>
                <w:sz w:val="21"/>
                <w:szCs w:val="21"/>
              </w:rPr>
            </w:pPr>
          </w:p>
          <w:p w14:paraId="210D82FE">
            <w:pPr>
              <w:widowControl/>
              <w:wordWrap w:val="0"/>
              <w:autoSpaceDE w:val="0"/>
              <w:autoSpaceDN w:val="0"/>
              <w:jc w:val="center"/>
              <w:rPr>
                <w:rFonts w:ascii="Times New Roman" w:hAnsi="Times New Roman"/>
                <w:sz w:val="21"/>
                <w:szCs w:val="21"/>
                <w:lang w:eastAsia="en-US"/>
              </w:rPr>
            </w:pPr>
            <w:r>
              <w:rPr>
                <w:rFonts w:ascii="Times New Roman" w:hAnsi="Times New Roman"/>
                <w:color w:val="000000"/>
                <w:sz w:val="21"/>
                <w:szCs w:val="21"/>
              </w:rPr>
              <w:t>10~25</w:t>
            </w:r>
          </w:p>
        </w:tc>
      </w:tr>
    </w:tbl>
    <w:p w14:paraId="3276CD96">
      <w:pPr>
        <w:pStyle w:val="17"/>
        <w:ind w:left="560"/>
      </w:pPr>
    </w:p>
    <w:p w14:paraId="729BF965">
      <w:pPr>
        <w:pStyle w:val="2"/>
      </w:pPr>
      <w:bookmarkStart w:id="113" w:name="_Toc32002"/>
      <w:bookmarkStart w:id="114" w:name="_Toc20995"/>
      <w:bookmarkStart w:id="115" w:name="_Toc4284"/>
      <w:r>
        <w:rPr>
          <w:rFonts w:hint="eastAsia"/>
        </w:rPr>
        <w:t>九．各工段区主要设备配置和相关技术要求</w:t>
      </w:r>
      <w:bookmarkEnd w:id="113"/>
      <w:bookmarkEnd w:id="114"/>
      <w:bookmarkEnd w:id="115"/>
    </w:p>
    <w:p w14:paraId="309EB48A">
      <w:pPr>
        <w:pStyle w:val="5"/>
        <w:ind w:firstLine="480"/>
        <w:jc w:val="both"/>
      </w:pPr>
      <w:r>
        <w:rPr>
          <w:rFonts w:hint="eastAsia"/>
        </w:rPr>
        <w:t>9.1蒸煮区主体设备主要配置技术要求如下：</w:t>
      </w:r>
    </w:p>
    <w:tbl>
      <w:tblPr>
        <w:tblStyle w:val="18"/>
        <w:tblW w:w="9097" w:type="dxa"/>
        <w:tblInd w:w="148" w:type="dxa"/>
        <w:tblLayout w:type="fixed"/>
        <w:tblCellMar>
          <w:top w:w="0" w:type="dxa"/>
          <w:left w:w="108" w:type="dxa"/>
          <w:bottom w:w="0" w:type="dxa"/>
          <w:right w:w="108" w:type="dxa"/>
        </w:tblCellMar>
      </w:tblPr>
      <w:tblGrid>
        <w:gridCol w:w="1689"/>
        <w:gridCol w:w="2140"/>
        <w:gridCol w:w="3800"/>
        <w:gridCol w:w="1468"/>
      </w:tblGrid>
      <w:tr w14:paraId="4D32D513">
        <w:tblPrEx>
          <w:tblCellMar>
            <w:top w:w="0" w:type="dxa"/>
            <w:left w:w="108" w:type="dxa"/>
            <w:bottom w:w="0" w:type="dxa"/>
            <w:right w:w="108" w:type="dxa"/>
          </w:tblCellMar>
        </w:tblPrEx>
        <w:trPr>
          <w:trHeight w:val="764" w:hRule="atLeast"/>
        </w:trPr>
        <w:tc>
          <w:tcPr>
            <w:tcW w:w="1689" w:type="dxa"/>
            <w:tcBorders>
              <w:top w:val="single" w:color="000000" w:sz="8" w:space="0"/>
              <w:left w:val="single" w:color="000000" w:sz="4" w:space="0"/>
              <w:bottom w:val="single" w:color="000000" w:sz="4" w:space="0"/>
              <w:right w:val="single" w:color="000000" w:sz="4" w:space="0"/>
            </w:tcBorders>
            <w:tcMar>
              <w:left w:w="0" w:type="dxa"/>
              <w:right w:w="0" w:type="dxa"/>
            </w:tcMar>
            <w:vAlign w:val="center"/>
          </w:tcPr>
          <w:p w14:paraId="653770CE">
            <w:pPr>
              <w:widowControl/>
              <w:wordWrap w:val="0"/>
              <w:autoSpaceDE w:val="0"/>
              <w:autoSpaceDN w:val="0"/>
              <w:jc w:val="center"/>
              <w:rPr>
                <w:sz w:val="21"/>
                <w:szCs w:val="21"/>
              </w:rPr>
            </w:pPr>
            <w:r>
              <w:rPr>
                <w:rFonts w:ascii="宋体" w:hAnsi="宋体"/>
                <w:color w:val="000000"/>
                <w:sz w:val="21"/>
                <w:szCs w:val="21"/>
              </w:rPr>
              <w:t>序号</w:t>
            </w:r>
          </w:p>
        </w:tc>
        <w:tc>
          <w:tcPr>
            <w:tcW w:w="2140" w:type="dxa"/>
            <w:tcBorders>
              <w:top w:val="single" w:color="000000" w:sz="8" w:space="0"/>
              <w:left w:val="single" w:color="000000" w:sz="4" w:space="0"/>
              <w:bottom w:val="single" w:color="000000" w:sz="4" w:space="0"/>
              <w:right w:val="single" w:color="000000" w:sz="4" w:space="0"/>
            </w:tcBorders>
            <w:tcMar>
              <w:left w:w="0" w:type="dxa"/>
              <w:right w:w="0" w:type="dxa"/>
            </w:tcMar>
            <w:vAlign w:val="center"/>
          </w:tcPr>
          <w:p w14:paraId="0BF6C3FD">
            <w:pPr>
              <w:widowControl/>
              <w:wordWrap w:val="0"/>
              <w:autoSpaceDE w:val="0"/>
              <w:autoSpaceDN w:val="0"/>
              <w:jc w:val="center"/>
              <w:rPr>
                <w:sz w:val="21"/>
                <w:szCs w:val="21"/>
              </w:rPr>
            </w:pPr>
            <w:r>
              <w:rPr>
                <w:rFonts w:ascii="宋体" w:hAnsi="宋体"/>
                <w:color w:val="000000"/>
                <w:sz w:val="21"/>
                <w:szCs w:val="21"/>
              </w:rPr>
              <w:t>名</w:t>
            </w:r>
            <w:r>
              <w:rPr>
                <w:rFonts w:ascii="Times New Roman" w:hAnsi="Times New Roman" w:eastAsia="Times New Roman"/>
                <w:color w:val="000000"/>
                <w:spacing w:val="150"/>
                <w:sz w:val="21"/>
                <w:szCs w:val="21"/>
              </w:rPr>
              <w:t xml:space="preserve"> </w:t>
            </w:r>
            <w:r>
              <w:rPr>
                <w:rFonts w:ascii="宋体" w:hAnsi="宋体"/>
                <w:color w:val="000000"/>
                <w:sz w:val="21"/>
                <w:szCs w:val="21"/>
              </w:rPr>
              <w:t>称</w:t>
            </w: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F38A5A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规格及技术数据</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34BCACC">
            <w:pPr>
              <w:widowControl/>
              <w:wordWrap w:val="0"/>
              <w:autoSpaceDE w:val="0"/>
              <w:autoSpaceDN w:val="0"/>
              <w:jc w:val="center"/>
              <w:rPr>
                <w:sz w:val="21"/>
                <w:szCs w:val="21"/>
              </w:rPr>
            </w:pPr>
            <w:r>
              <w:rPr>
                <w:rFonts w:ascii="宋体" w:hAnsi="宋体"/>
                <w:color w:val="000000"/>
                <w:sz w:val="21"/>
                <w:szCs w:val="21"/>
              </w:rPr>
              <w:t>数量</w:t>
            </w:r>
          </w:p>
        </w:tc>
      </w:tr>
      <w:tr w14:paraId="172DE1BE">
        <w:tblPrEx>
          <w:tblCellMar>
            <w:top w:w="0" w:type="dxa"/>
            <w:left w:w="108" w:type="dxa"/>
            <w:bottom w:w="0" w:type="dxa"/>
            <w:right w:w="108" w:type="dxa"/>
          </w:tblCellMar>
        </w:tblPrEx>
        <w:trPr>
          <w:trHeight w:val="90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35C62AA">
            <w:pPr>
              <w:widowControl/>
              <w:wordWrap w:val="0"/>
              <w:autoSpaceDE w:val="0"/>
              <w:autoSpaceDN w:val="0"/>
              <w:jc w:val="center"/>
              <w:rPr>
                <w:sz w:val="21"/>
                <w:szCs w:val="21"/>
              </w:rPr>
            </w:pPr>
            <w:r>
              <w:rPr>
                <w:rFonts w:ascii="宋体" w:hAnsi="宋体"/>
                <w:b/>
                <w:color w:val="000000"/>
                <w:spacing w:val="2"/>
                <w:sz w:val="21"/>
                <w:szCs w:val="21"/>
              </w:rPr>
              <w:t>一</w:t>
            </w:r>
            <w:r>
              <w:rPr>
                <w:rFonts w:ascii="宋体" w:hAnsi="宋体"/>
                <w:b/>
                <w:color w:val="000000"/>
                <w:sz w:val="21"/>
                <w:szCs w:val="21"/>
              </w:rPr>
              <w:t>、主体设备</w:t>
            </w: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0FA69BA">
            <w:pPr>
              <w:widowControl/>
              <w:jc w:val="center"/>
              <w:rPr>
                <w:sz w:val="21"/>
                <w:szCs w:val="21"/>
              </w:rPr>
            </w:pP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D218103">
            <w:pPr>
              <w:widowControl/>
              <w:jc w:val="center"/>
              <w:rPr>
                <w:rFonts w:ascii="Times New Roman" w:hAnsi="Times New Roman"/>
                <w:sz w:val="21"/>
                <w:szCs w:val="21"/>
              </w:rPr>
            </w:pP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02A8AFF">
            <w:pPr>
              <w:widowControl/>
              <w:jc w:val="center"/>
              <w:rPr>
                <w:sz w:val="21"/>
                <w:szCs w:val="21"/>
              </w:rPr>
            </w:pPr>
          </w:p>
        </w:tc>
      </w:tr>
      <w:tr w14:paraId="270F348C">
        <w:tblPrEx>
          <w:tblCellMar>
            <w:top w:w="0" w:type="dxa"/>
            <w:left w:w="108" w:type="dxa"/>
            <w:bottom w:w="0" w:type="dxa"/>
            <w:right w:w="108" w:type="dxa"/>
          </w:tblCellMar>
        </w:tblPrEx>
        <w:trPr>
          <w:trHeight w:val="87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8615703">
            <w:pPr>
              <w:widowControl/>
              <w:wordWrap w:val="0"/>
              <w:autoSpaceDE w:val="0"/>
              <w:autoSpaceDN w:val="0"/>
              <w:jc w:val="center"/>
              <w:rPr>
                <w:sz w:val="21"/>
                <w:szCs w:val="21"/>
              </w:rPr>
            </w:pPr>
            <w:r>
              <w:rPr>
                <w:rFonts w:ascii="宋体" w:hAnsi="宋体"/>
                <w:color w:val="000000"/>
                <w:sz w:val="21"/>
                <w:szCs w:val="21"/>
              </w:rPr>
              <w:t>1</w:t>
            </w: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02C48D2">
            <w:pPr>
              <w:widowControl/>
              <w:wordWrap w:val="0"/>
              <w:autoSpaceDE w:val="0"/>
              <w:autoSpaceDN w:val="0"/>
              <w:jc w:val="center"/>
              <w:rPr>
                <w:sz w:val="21"/>
                <w:szCs w:val="21"/>
              </w:rPr>
            </w:pPr>
            <w:r>
              <w:rPr>
                <w:rFonts w:ascii="宋体" w:hAnsi="宋体"/>
                <w:color w:val="000000"/>
                <w:sz w:val="21"/>
                <w:szCs w:val="21"/>
              </w:rPr>
              <w:t>蒸煮锅</w:t>
            </w: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2F2EC0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容积：275m</w:t>
            </w:r>
            <w:r>
              <w:rPr>
                <w:rFonts w:ascii="Times New Roman" w:hAnsi="Times New Roman"/>
                <w:color w:val="000000"/>
                <w:w w:val="98"/>
                <w:sz w:val="21"/>
                <w:szCs w:val="21"/>
                <w:vertAlign w:val="superscript"/>
              </w:rPr>
              <w:t>3</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E785A40">
            <w:pPr>
              <w:widowControl/>
              <w:wordWrap w:val="0"/>
              <w:autoSpaceDE w:val="0"/>
              <w:autoSpaceDN w:val="0"/>
              <w:jc w:val="center"/>
              <w:rPr>
                <w:sz w:val="21"/>
                <w:szCs w:val="21"/>
              </w:rPr>
            </w:pPr>
            <w:r>
              <w:rPr>
                <w:rFonts w:hint="eastAsia"/>
                <w:sz w:val="21"/>
                <w:szCs w:val="21"/>
              </w:rPr>
              <w:t>6</w:t>
            </w:r>
          </w:p>
        </w:tc>
      </w:tr>
      <w:tr w14:paraId="3859BAAB">
        <w:tblPrEx>
          <w:tblCellMar>
            <w:top w:w="0" w:type="dxa"/>
            <w:left w:w="108" w:type="dxa"/>
            <w:bottom w:w="0" w:type="dxa"/>
            <w:right w:w="108" w:type="dxa"/>
          </w:tblCellMar>
        </w:tblPrEx>
        <w:trPr>
          <w:trHeight w:val="829"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4E4492B">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92700E8">
            <w:pPr>
              <w:widowControl/>
              <w:jc w:val="center"/>
              <w:rPr>
                <w:sz w:val="21"/>
                <w:szCs w:val="21"/>
              </w:rPr>
            </w:pP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A18795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主体材质：Q345R，下锥部</w:t>
            </w:r>
            <w:r>
              <w:rPr>
                <w:rFonts w:hint="eastAsia" w:ascii="Times New Roman" w:hAnsi="Times New Roman"/>
                <w:color w:val="000000"/>
                <w:sz w:val="21"/>
                <w:szCs w:val="21"/>
              </w:rPr>
              <w:t>内衬</w:t>
            </w:r>
            <w:r>
              <w:rPr>
                <w:rFonts w:ascii="Times New Roman" w:hAnsi="Times New Roman"/>
                <w:color w:val="000000"/>
                <w:sz w:val="21"/>
                <w:szCs w:val="21"/>
              </w:rPr>
              <w:t>SS304L</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2C159E3">
            <w:pPr>
              <w:widowControl/>
              <w:jc w:val="center"/>
              <w:rPr>
                <w:sz w:val="21"/>
                <w:szCs w:val="21"/>
              </w:rPr>
            </w:pPr>
          </w:p>
        </w:tc>
      </w:tr>
      <w:tr w14:paraId="73903C01">
        <w:tblPrEx>
          <w:tblCellMar>
            <w:top w:w="0" w:type="dxa"/>
            <w:left w:w="108" w:type="dxa"/>
            <w:bottom w:w="0" w:type="dxa"/>
            <w:right w:w="108" w:type="dxa"/>
          </w:tblCellMar>
        </w:tblPrEx>
        <w:trPr>
          <w:trHeight w:val="76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AA8D4C5">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AF87BA0">
            <w:pPr>
              <w:widowControl/>
              <w:jc w:val="center"/>
              <w:rPr>
                <w:sz w:val="21"/>
                <w:szCs w:val="21"/>
              </w:rPr>
            </w:pP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C6DDE4F">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设计压力：-0.1~1.2MPa，设计温度：240℃</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9E3852F">
            <w:pPr>
              <w:widowControl/>
              <w:jc w:val="center"/>
              <w:rPr>
                <w:sz w:val="21"/>
                <w:szCs w:val="21"/>
              </w:rPr>
            </w:pPr>
          </w:p>
        </w:tc>
      </w:tr>
      <w:tr w14:paraId="161E2AAC">
        <w:tblPrEx>
          <w:tblCellMar>
            <w:top w:w="0" w:type="dxa"/>
            <w:left w:w="108" w:type="dxa"/>
            <w:bottom w:w="0" w:type="dxa"/>
            <w:right w:w="108" w:type="dxa"/>
          </w:tblCellMar>
        </w:tblPrEx>
        <w:trPr>
          <w:trHeight w:val="829"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003E832">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C7C6584">
            <w:pPr>
              <w:widowControl/>
              <w:jc w:val="center"/>
              <w:rPr>
                <w:sz w:val="21"/>
                <w:szCs w:val="21"/>
              </w:rPr>
            </w:pP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245EEE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腐蚀裕度：</w:t>
            </w:r>
            <w:r>
              <w:rPr>
                <w:rFonts w:hint="eastAsia" w:ascii="Times New Roman" w:hAnsi="Times New Roman"/>
                <w:color w:val="000000"/>
                <w:sz w:val="21"/>
                <w:szCs w:val="21"/>
              </w:rPr>
              <w:t>6</w:t>
            </w:r>
            <w:r>
              <w:rPr>
                <w:rFonts w:ascii="Times New Roman" w:hAnsi="Times New Roman"/>
                <w:color w:val="000000"/>
                <w:sz w:val="21"/>
                <w:szCs w:val="21"/>
              </w:rPr>
              <w:t>mm</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D794C7A">
            <w:pPr>
              <w:widowControl/>
              <w:jc w:val="center"/>
              <w:rPr>
                <w:sz w:val="21"/>
                <w:szCs w:val="21"/>
              </w:rPr>
            </w:pPr>
          </w:p>
        </w:tc>
      </w:tr>
      <w:tr w14:paraId="7D2AF1E0">
        <w:tblPrEx>
          <w:tblCellMar>
            <w:top w:w="0" w:type="dxa"/>
            <w:left w:w="108" w:type="dxa"/>
            <w:bottom w:w="0" w:type="dxa"/>
            <w:right w:w="108" w:type="dxa"/>
          </w:tblCellMar>
        </w:tblPrEx>
        <w:trPr>
          <w:trHeight w:val="90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65E9CE7C">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BDEAEB5">
            <w:pPr>
              <w:widowControl/>
              <w:wordWrap w:val="0"/>
              <w:autoSpaceDE w:val="0"/>
              <w:autoSpaceDN w:val="0"/>
              <w:jc w:val="center"/>
              <w:rPr>
                <w:sz w:val="21"/>
                <w:szCs w:val="21"/>
              </w:rPr>
            </w:pPr>
            <w:r>
              <w:rPr>
                <w:rFonts w:ascii="宋体" w:hAnsi="宋体"/>
                <w:color w:val="000000"/>
                <w:sz w:val="21"/>
                <w:szCs w:val="21"/>
              </w:rPr>
              <w:t>中部筛板</w:t>
            </w: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D65EF1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材质：SS3</w:t>
            </w:r>
            <w:r>
              <w:rPr>
                <w:rFonts w:hint="eastAsia" w:ascii="Times New Roman" w:hAnsi="Times New Roman"/>
                <w:color w:val="000000"/>
                <w:sz w:val="21"/>
                <w:szCs w:val="21"/>
              </w:rPr>
              <w:t>04</w:t>
            </w:r>
            <w:r>
              <w:rPr>
                <w:rFonts w:ascii="Times New Roman" w:hAnsi="Times New Roman"/>
                <w:color w:val="000000"/>
                <w:sz w:val="21"/>
                <w:szCs w:val="21"/>
              </w:rPr>
              <w:t>L</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8DB8875">
            <w:pPr>
              <w:widowControl/>
              <w:wordWrap w:val="0"/>
              <w:autoSpaceDE w:val="0"/>
              <w:autoSpaceDN w:val="0"/>
              <w:jc w:val="center"/>
              <w:rPr>
                <w:sz w:val="21"/>
                <w:szCs w:val="21"/>
              </w:rPr>
            </w:pPr>
            <w:r>
              <w:rPr>
                <w:rFonts w:hint="eastAsia" w:ascii="宋体" w:hAnsi="宋体"/>
                <w:color w:val="000000"/>
                <w:sz w:val="21"/>
                <w:szCs w:val="21"/>
              </w:rPr>
              <w:t>各</w:t>
            </w:r>
            <w:r>
              <w:rPr>
                <w:rFonts w:ascii="宋体" w:hAnsi="宋体"/>
                <w:color w:val="000000"/>
                <w:sz w:val="21"/>
                <w:szCs w:val="21"/>
              </w:rPr>
              <w:t>1</w:t>
            </w:r>
          </w:p>
        </w:tc>
      </w:tr>
      <w:tr w14:paraId="29901BF2">
        <w:tblPrEx>
          <w:tblCellMar>
            <w:top w:w="0" w:type="dxa"/>
            <w:left w:w="108" w:type="dxa"/>
            <w:bottom w:w="0" w:type="dxa"/>
            <w:right w:w="108" w:type="dxa"/>
          </w:tblCellMar>
        </w:tblPrEx>
        <w:trPr>
          <w:trHeight w:val="84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2E87B13">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C5F771A">
            <w:pPr>
              <w:widowControl/>
              <w:wordWrap w:val="0"/>
              <w:autoSpaceDE w:val="0"/>
              <w:autoSpaceDN w:val="0"/>
              <w:jc w:val="center"/>
              <w:rPr>
                <w:sz w:val="21"/>
                <w:szCs w:val="21"/>
              </w:rPr>
            </w:pPr>
            <w:r>
              <w:rPr>
                <w:rFonts w:ascii="宋体" w:hAnsi="宋体"/>
                <w:color w:val="000000"/>
                <w:sz w:val="21"/>
                <w:szCs w:val="21"/>
              </w:rPr>
              <w:t>顶部筛板</w:t>
            </w: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357C46C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材质：SS3</w:t>
            </w:r>
            <w:r>
              <w:rPr>
                <w:rFonts w:hint="eastAsia" w:ascii="Times New Roman" w:hAnsi="Times New Roman"/>
                <w:color w:val="000000"/>
                <w:sz w:val="21"/>
                <w:szCs w:val="21"/>
              </w:rPr>
              <w:t>04</w:t>
            </w:r>
            <w:r>
              <w:rPr>
                <w:rFonts w:ascii="Times New Roman" w:hAnsi="Times New Roman"/>
                <w:color w:val="000000"/>
                <w:sz w:val="21"/>
                <w:szCs w:val="21"/>
              </w:rPr>
              <w:t>L</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98EF306">
            <w:pPr>
              <w:widowControl/>
              <w:wordWrap w:val="0"/>
              <w:autoSpaceDE w:val="0"/>
              <w:autoSpaceDN w:val="0"/>
              <w:jc w:val="center"/>
              <w:rPr>
                <w:sz w:val="21"/>
                <w:szCs w:val="21"/>
              </w:rPr>
            </w:pPr>
            <w:r>
              <w:rPr>
                <w:rFonts w:hint="eastAsia" w:ascii="宋体" w:hAnsi="宋体"/>
                <w:color w:val="000000"/>
                <w:sz w:val="21"/>
                <w:szCs w:val="21"/>
              </w:rPr>
              <w:t>各</w:t>
            </w:r>
            <w:r>
              <w:rPr>
                <w:rFonts w:ascii="宋体" w:hAnsi="宋体"/>
                <w:color w:val="000000"/>
                <w:sz w:val="21"/>
                <w:szCs w:val="21"/>
              </w:rPr>
              <w:t>1</w:t>
            </w:r>
          </w:p>
        </w:tc>
      </w:tr>
      <w:tr w14:paraId="090E5053">
        <w:tblPrEx>
          <w:tblCellMar>
            <w:top w:w="0" w:type="dxa"/>
            <w:left w:w="108" w:type="dxa"/>
            <w:bottom w:w="0" w:type="dxa"/>
            <w:right w:w="108" w:type="dxa"/>
          </w:tblCellMar>
        </w:tblPrEx>
        <w:trPr>
          <w:trHeight w:val="76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37DD4D6">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39426C8">
            <w:pPr>
              <w:widowControl/>
              <w:wordWrap w:val="0"/>
              <w:autoSpaceDE w:val="0"/>
              <w:autoSpaceDN w:val="0"/>
              <w:jc w:val="center"/>
              <w:rPr>
                <w:sz w:val="21"/>
                <w:szCs w:val="21"/>
              </w:rPr>
            </w:pPr>
            <w:r>
              <w:rPr>
                <w:rFonts w:ascii="宋体" w:hAnsi="宋体"/>
                <w:color w:val="000000"/>
                <w:sz w:val="21"/>
                <w:szCs w:val="21"/>
              </w:rPr>
              <w:t>上稀释喷嘴</w:t>
            </w: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7177057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接口尺寸：Φ</w:t>
            </w:r>
            <w:r>
              <w:rPr>
                <w:rFonts w:hint="eastAsia" w:ascii="Times New Roman" w:hAnsi="Times New Roman"/>
                <w:color w:val="000000"/>
                <w:sz w:val="21"/>
                <w:szCs w:val="21"/>
              </w:rPr>
              <w:t>200</w:t>
            </w:r>
            <w:r>
              <w:rPr>
                <w:rFonts w:ascii="Times New Roman" w:hAnsi="Times New Roman"/>
                <w:color w:val="000000"/>
                <w:sz w:val="21"/>
                <w:szCs w:val="21"/>
              </w:rPr>
              <w:t>mm</w:t>
            </w:r>
            <w:r>
              <w:rPr>
                <w:rFonts w:hint="eastAsia" w:ascii="Times New Roman" w:hAnsi="Times New Roman"/>
                <w:color w:val="000000"/>
                <w:sz w:val="21"/>
                <w:szCs w:val="21"/>
              </w:rPr>
              <w:t>，</w:t>
            </w:r>
            <w:r>
              <w:rPr>
                <w:rFonts w:ascii="Times New Roman" w:hAnsi="Times New Roman"/>
                <w:color w:val="000000"/>
                <w:sz w:val="21"/>
                <w:szCs w:val="21"/>
              </w:rPr>
              <w:t>材质：SS3</w:t>
            </w:r>
            <w:r>
              <w:rPr>
                <w:rFonts w:hint="eastAsia" w:ascii="Times New Roman" w:hAnsi="Times New Roman"/>
                <w:color w:val="000000"/>
                <w:sz w:val="21"/>
                <w:szCs w:val="21"/>
              </w:rPr>
              <w:t>04</w:t>
            </w:r>
            <w:r>
              <w:rPr>
                <w:rFonts w:ascii="Times New Roman" w:hAnsi="Times New Roman"/>
                <w:color w:val="000000"/>
                <w:sz w:val="21"/>
                <w:szCs w:val="21"/>
              </w:rPr>
              <w:t>L</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9FF34E2">
            <w:pPr>
              <w:widowControl/>
              <w:wordWrap w:val="0"/>
              <w:autoSpaceDE w:val="0"/>
              <w:autoSpaceDN w:val="0"/>
              <w:jc w:val="center"/>
              <w:rPr>
                <w:sz w:val="21"/>
                <w:szCs w:val="21"/>
              </w:rPr>
            </w:pPr>
            <w:r>
              <w:rPr>
                <w:rFonts w:hint="eastAsia" w:ascii="宋体" w:hAnsi="宋体"/>
                <w:color w:val="000000"/>
                <w:sz w:val="21"/>
                <w:szCs w:val="21"/>
              </w:rPr>
              <w:t>各</w:t>
            </w:r>
            <w:r>
              <w:rPr>
                <w:rFonts w:ascii="宋体" w:hAnsi="宋体"/>
                <w:color w:val="000000"/>
                <w:sz w:val="21"/>
                <w:szCs w:val="21"/>
              </w:rPr>
              <w:t>6</w:t>
            </w:r>
          </w:p>
        </w:tc>
      </w:tr>
      <w:tr w14:paraId="723E680E">
        <w:tblPrEx>
          <w:tblCellMar>
            <w:top w:w="0" w:type="dxa"/>
            <w:left w:w="108" w:type="dxa"/>
            <w:bottom w:w="0" w:type="dxa"/>
            <w:right w:w="108" w:type="dxa"/>
          </w:tblCellMar>
        </w:tblPrEx>
        <w:trPr>
          <w:trHeight w:val="76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C67139A">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7B93EC5">
            <w:pPr>
              <w:widowControl/>
              <w:wordWrap w:val="0"/>
              <w:autoSpaceDE w:val="0"/>
              <w:autoSpaceDN w:val="0"/>
              <w:jc w:val="center"/>
              <w:rPr>
                <w:sz w:val="21"/>
                <w:szCs w:val="21"/>
              </w:rPr>
            </w:pPr>
            <w:r>
              <w:rPr>
                <w:rFonts w:ascii="宋体" w:hAnsi="宋体"/>
                <w:color w:val="000000"/>
                <w:sz w:val="21"/>
                <w:szCs w:val="21"/>
              </w:rPr>
              <w:t>下稀释喷嘴</w:t>
            </w: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0886F2F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接口尺寸：Φ</w:t>
            </w:r>
            <w:r>
              <w:rPr>
                <w:rFonts w:hint="eastAsia" w:ascii="Times New Roman" w:hAnsi="Times New Roman"/>
                <w:color w:val="000000"/>
                <w:sz w:val="21"/>
                <w:szCs w:val="21"/>
              </w:rPr>
              <w:t>200</w:t>
            </w:r>
            <w:r>
              <w:rPr>
                <w:rFonts w:ascii="Times New Roman" w:hAnsi="Times New Roman"/>
                <w:color w:val="000000"/>
                <w:sz w:val="21"/>
                <w:szCs w:val="21"/>
              </w:rPr>
              <w:t>mm</w:t>
            </w:r>
            <w:r>
              <w:rPr>
                <w:rFonts w:hint="eastAsia" w:ascii="Times New Roman" w:hAnsi="Times New Roman"/>
                <w:color w:val="000000"/>
                <w:sz w:val="21"/>
                <w:szCs w:val="21"/>
              </w:rPr>
              <w:t>，</w:t>
            </w:r>
            <w:r>
              <w:rPr>
                <w:rFonts w:ascii="Times New Roman" w:hAnsi="Times New Roman"/>
                <w:color w:val="000000"/>
                <w:sz w:val="21"/>
                <w:szCs w:val="21"/>
              </w:rPr>
              <w:t>材质：SS3</w:t>
            </w:r>
            <w:r>
              <w:rPr>
                <w:rFonts w:hint="eastAsia" w:ascii="Times New Roman" w:hAnsi="Times New Roman"/>
                <w:color w:val="000000"/>
                <w:sz w:val="21"/>
                <w:szCs w:val="21"/>
              </w:rPr>
              <w:t>04</w:t>
            </w:r>
            <w:r>
              <w:rPr>
                <w:rFonts w:ascii="Times New Roman" w:hAnsi="Times New Roman"/>
                <w:color w:val="000000"/>
                <w:sz w:val="21"/>
                <w:szCs w:val="21"/>
              </w:rPr>
              <w:t>L</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8403CC3">
            <w:pPr>
              <w:widowControl/>
              <w:wordWrap w:val="0"/>
              <w:autoSpaceDE w:val="0"/>
              <w:autoSpaceDN w:val="0"/>
              <w:jc w:val="center"/>
              <w:rPr>
                <w:sz w:val="21"/>
                <w:szCs w:val="21"/>
              </w:rPr>
            </w:pPr>
            <w:r>
              <w:rPr>
                <w:rFonts w:hint="eastAsia" w:ascii="宋体" w:hAnsi="宋体"/>
                <w:color w:val="000000"/>
                <w:sz w:val="21"/>
                <w:szCs w:val="21"/>
              </w:rPr>
              <w:t>各</w:t>
            </w:r>
            <w:r>
              <w:rPr>
                <w:rFonts w:ascii="宋体" w:hAnsi="宋体"/>
                <w:color w:val="000000"/>
                <w:sz w:val="21"/>
                <w:szCs w:val="21"/>
              </w:rPr>
              <w:t>3</w:t>
            </w:r>
          </w:p>
        </w:tc>
      </w:tr>
      <w:tr w14:paraId="00408E83">
        <w:tblPrEx>
          <w:tblCellMar>
            <w:top w:w="0" w:type="dxa"/>
            <w:left w:w="108" w:type="dxa"/>
            <w:bottom w:w="0" w:type="dxa"/>
            <w:right w:w="108" w:type="dxa"/>
          </w:tblCellMar>
        </w:tblPrEx>
        <w:trPr>
          <w:trHeight w:val="764" w:hRule="atLeast"/>
        </w:trPr>
        <w:tc>
          <w:tcPr>
            <w:tcW w:w="1689"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4678A507">
            <w:pPr>
              <w:widowControl/>
              <w:jc w:val="center"/>
              <w:rPr>
                <w:sz w:val="21"/>
                <w:szCs w:val="21"/>
              </w:rPr>
            </w:pPr>
          </w:p>
        </w:tc>
        <w:tc>
          <w:tcPr>
            <w:tcW w:w="214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16D24B33">
            <w:pPr>
              <w:widowControl/>
              <w:wordWrap w:val="0"/>
              <w:autoSpaceDE w:val="0"/>
              <w:autoSpaceDN w:val="0"/>
              <w:jc w:val="center"/>
              <w:rPr>
                <w:sz w:val="21"/>
                <w:szCs w:val="21"/>
              </w:rPr>
            </w:pPr>
            <w:r>
              <w:rPr>
                <w:rFonts w:ascii="宋体" w:hAnsi="宋体"/>
                <w:color w:val="000000"/>
                <w:sz w:val="21"/>
                <w:szCs w:val="21"/>
              </w:rPr>
              <w:t>卸料弯头</w:t>
            </w:r>
          </w:p>
        </w:tc>
        <w:tc>
          <w:tcPr>
            <w:tcW w:w="3800"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508847E3">
            <w:pPr>
              <w:widowControl/>
              <w:wordWrap w:val="0"/>
              <w:autoSpaceDE w:val="0"/>
              <w:autoSpaceDN w:val="0"/>
              <w:jc w:val="center"/>
            </w:pPr>
            <w:r>
              <w:rPr>
                <w:rFonts w:ascii="Times New Roman" w:hAnsi="Times New Roman"/>
                <w:color w:val="000000"/>
                <w:sz w:val="21"/>
                <w:szCs w:val="21"/>
              </w:rPr>
              <w:t>DN900</w:t>
            </w:r>
            <w:r>
              <w:rPr>
                <w:rFonts w:hint="eastAsia" w:ascii="Times New Roman" w:hAnsi="Times New Roman"/>
                <w:color w:val="000000"/>
                <w:sz w:val="21"/>
                <w:szCs w:val="21"/>
              </w:rPr>
              <w:t>（按设计）</w:t>
            </w:r>
          </w:p>
        </w:tc>
        <w:tc>
          <w:tcPr>
            <w:tcW w:w="1468" w:type="dxa"/>
            <w:tcBorders>
              <w:top w:val="single" w:color="000000" w:sz="4" w:space="0"/>
              <w:left w:val="single" w:color="000000" w:sz="4" w:space="0"/>
              <w:bottom w:val="single" w:color="000000" w:sz="4" w:space="0"/>
              <w:right w:val="single" w:color="000000" w:sz="4" w:space="0"/>
            </w:tcBorders>
            <w:tcMar>
              <w:left w:w="0" w:type="dxa"/>
              <w:right w:w="0" w:type="dxa"/>
            </w:tcMar>
            <w:vAlign w:val="center"/>
          </w:tcPr>
          <w:p w14:paraId="205B3288">
            <w:pPr>
              <w:widowControl/>
              <w:wordWrap w:val="0"/>
              <w:autoSpaceDE w:val="0"/>
              <w:autoSpaceDN w:val="0"/>
              <w:jc w:val="center"/>
              <w:rPr>
                <w:sz w:val="21"/>
                <w:szCs w:val="21"/>
              </w:rPr>
            </w:pPr>
            <w:r>
              <w:rPr>
                <w:rFonts w:hint="eastAsia" w:ascii="宋体" w:hAnsi="宋体"/>
                <w:color w:val="000000"/>
                <w:sz w:val="21"/>
                <w:szCs w:val="21"/>
              </w:rPr>
              <w:t>各</w:t>
            </w:r>
            <w:r>
              <w:rPr>
                <w:rFonts w:ascii="宋体" w:hAnsi="宋体"/>
                <w:color w:val="000000"/>
                <w:sz w:val="21"/>
                <w:szCs w:val="21"/>
              </w:rPr>
              <w:t>1</w:t>
            </w:r>
          </w:p>
        </w:tc>
      </w:tr>
      <w:tr w14:paraId="6B9DFB90">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75C954F">
            <w:pPr>
              <w:widowControl/>
              <w:wordWrap w:val="0"/>
              <w:autoSpaceDE w:val="0"/>
              <w:autoSpaceDN w:val="0"/>
              <w:jc w:val="center"/>
              <w:rPr>
                <w:rFonts w:ascii="Calibri" w:hAnsi="Calibri"/>
                <w:sz w:val="21"/>
                <w:szCs w:val="21"/>
                <w:lang w:eastAsia="en-US"/>
              </w:rPr>
            </w:pPr>
            <w:r>
              <w:rPr>
                <w:rFonts w:ascii="宋体" w:hAnsi="宋体"/>
                <w:b/>
                <w:color w:val="000000"/>
                <w:spacing w:val="2"/>
                <w:sz w:val="21"/>
                <w:szCs w:val="21"/>
              </w:rPr>
              <w:t>二</w:t>
            </w:r>
            <w:r>
              <w:rPr>
                <w:rFonts w:ascii="宋体" w:hAnsi="宋体"/>
                <w:b/>
                <w:color w:val="000000"/>
                <w:sz w:val="21"/>
                <w:szCs w:val="21"/>
              </w:rPr>
              <w:t>、压力槽罐</w:t>
            </w:r>
          </w:p>
        </w:tc>
        <w:tc>
          <w:tcPr>
            <w:tcW w:w="2140" w:type="dxa"/>
            <w:tcBorders>
              <w:top w:val="single" w:color="auto" w:sz="4" w:space="0"/>
              <w:left w:val="single" w:color="auto" w:sz="4" w:space="0"/>
              <w:bottom w:val="single" w:color="auto" w:sz="4" w:space="0"/>
              <w:right w:val="single" w:color="auto" w:sz="4" w:space="0"/>
            </w:tcBorders>
            <w:vAlign w:val="center"/>
          </w:tcPr>
          <w:p w14:paraId="1E91C710">
            <w:pPr>
              <w:widowControl/>
              <w:jc w:val="center"/>
              <w:rPr>
                <w:rFonts w:ascii="Calibri" w:hAnsi="Calibri"/>
                <w:sz w:val="21"/>
                <w:szCs w:val="21"/>
                <w:lang w:eastAsia="en-US"/>
              </w:rPr>
            </w:pPr>
          </w:p>
        </w:tc>
        <w:tc>
          <w:tcPr>
            <w:tcW w:w="3800" w:type="dxa"/>
            <w:tcBorders>
              <w:top w:val="single" w:color="auto" w:sz="4" w:space="0"/>
              <w:left w:val="single" w:color="auto" w:sz="4" w:space="0"/>
              <w:bottom w:val="single" w:color="auto" w:sz="4" w:space="0"/>
              <w:right w:val="single" w:color="auto" w:sz="4" w:space="0"/>
            </w:tcBorders>
            <w:vAlign w:val="center"/>
          </w:tcPr>
          <w:p w14:paraId="77F5FE5D">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256AD59F">
            <w:pPr>
              <w:widowControl/>
              <w:jc w:val="center"/>
              <w:rPr>
                <w:rFonts w:ascii="Calibri" w:hAnsi="Calibri"/>
                <w:sz w:val="21"/>
                <w:szCs w:val="21"/>
                <w:lang w:eastAsia="en-US"/>
              </w:rPr>
            </w:pPr>
          </w:p>
        </w:tc>
      </w:tr>
      <w:tr w14:paraId="7C8A630E">
        <w:tblPrEx>
          <w:tblCellMar>
            <w:top w:w="0" w:type="dxa"/>
            <w:left w:w="108" w:type="dxa"/>
            <w:bottom w:w="0" w:type="dxa"/>
            <w:right w:w="108" w:type="dxa"/>
          </w:tblCellMar>
        </w:tblPrEx>
        <w:trPr>
          <w:trHeight w:val="799" w:hRule="atLeast"/>
        </w:trPr>
        <w:tc>
          <w:tcPr>
            <w:tcW w:w="1689" w:type="dxa"/>
            <w:tcBorders>
              <w:top w:val="single" w:color="auto" w:sz="4" w:space="0"/>
              <w:left w:val="single" w:color="auto" w:sz="4" w:space="0"/>
              <w:bottom w:val="single" w:color="auto" w:sz="4" w:space="0"/>
              <w:right w:val="single" w:color="auto" w:sz="4" w:space="0"/>
            </w:tcBorders>
            <w:vAlign w:val="center"/>
          </w:tcPr>
          <w:p w14:paraId="18154B18">
            <w:pPr>
              <w:widowControl/>
              <w:wordWrap w:val="0"/>
              <w:autoSpaceDE w:val="0"/>
              <w:autoSpaceDN w:val="0"/>
              <w:jc w:val="center"/>
              <w:rPr>
                <w:rFonts w:ascii="Calibri" w:hAnsi="Calibri"/>
                <w:sz w:val="21"/>
                <w:szCs w:val="21"/>
                <w:lang w:eastAsia="en-US"/>
              </w:rPr>
            </w:pPr>
            <w:r>
              <w:rPr>
                <w:rFonts w:ascii="宋体" w:hAnsi="宋体"/>
                <w:color w:val="000000"/>
                <w:sz w:val="21"/>
                <w:szCs w:val="21"/>
              </w:rPr>
              <w:t>2</w:t>
            </w:r>
          </w:p>
        </w:tc>
        <w:tc>
          <w:tcPr>
            <w:tcW w:w="2140" w:type="dxa"/>
            <w:tcBorders>
              <w:top w:val="single" w:color="auto" w:sz="4" w:space="0"/>
              <w:left w:val="single" w:color="auto" w:sz="4" w:space="0"/>
              <w:bottom w:val="single" w:color="auto" w:sz="4" w:space="0"/>
              <w:right w:val="single" w:color="auto" w:sz="4" w:space="0"/>
            </w:tcBorders>
            <w:vAlign w:val="center"/>
          </w:tcPr>
          <w:p w14:paraId="1892ACB0">
            <w:pPr>
              <w:widowControl/>
              <w:wordWrap w:val="0"/>
              <w:autoSpaceDE w:val="0"/>
              <w:autoSpaceDN w:val="0"/>
              <w:jc w:val="center"/>
              <w:rPr>
                <w:rFonts w:ascii="Calibri" w:hAnsi="Calibri"/>
                <w:sz w:val="21"/>
                <w:szCs w:val="21"/>
                <w:lang w:eastAsia="en-US"/>
              </w:rPr>
            </w:pPr>
            <w:r>
              <w:rPr>
                <w:rFonts w:ascii="宋体" w:hAnsi="宋体"/>
                <w:color w:val="000000"/>
                <w:sz w:val="21"/>
                <w:szCs w:val="21"/>
              </w:rPr>
              <w:t>温黑液槽</w:t>
            </w:r>
          </w:p>
        </w:tc>
        <w:tc>
          <w:tcPr>
            <w:tcW w:w="3800" w:type="dxa"/>
            <w:tcBorders>
              <w:top w:val="single" w:color="auto" w:sz="4" w:space="0"/>
              <w:left w:val="single" w:color="auto" w:sz="4" w:space="0"/>
              <w:bottom w:val="single" w:color="auto" w:sz="4" w:space="0"/>
              <w:right w:val="single" w:color="auto" w:sz="4" w:space="0"/>
            </w:tcBorders>
            <w:vAlign w:val="center"/>
          </w:tcPr>
          <w:p w14:paraId="53374A73">
            <w:pPr>
              <w:widowControl/>
              <w:wordWrap w:val="0"/>
              <w:autoSpaceDE w:val="0"/>
              <w:autoSpaceDN w:val="0"/>
              <w:jc w:val="center"/>
              <w:rPr>
                <w:rFonts w:ascii="Times New Roman" w:hAnsi="Times New Roman"/>
                <w:sz w:val="21"/>
                <w:szCs w:val="21"/>
              </w:rPr>
            </w:pPr>
            <w:r>
              <w:rPr>
                <w:rFonts w:hint="eastAsia" w:ascii="Times New Roman" w:hAnsi="Times New Roman"/>
                <w:color w:val="000000"/>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57ED9D3F">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158E1EB2">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2E96997D">
            <w:pPr>
              <w:widowControl/>
              <w:wordWrap w:val="0"/>
              <w:autoSpaceDE w:val="0"/>
              <w:autoSpaceDN w:val="0"/>
              <w:jc w:val="center"/>
              <w:rPr>
                <w:rFonts w:ascii="Calibri" w:hAnsi="Calibri"/>
                <w:sz w:val="21"/>
                <w:szCs w:val="21"/>
                <w:lang w:eastAsia="en-US"/>
              </w:rPr>
            </w:pPr>
            <w:r>
              <w:rPr>
                <w:rFonts w:ascii="宋体" w:hAnsi="宋体"/>
                <w:color w:val="000000"/>
                <w:sz w:val="21"/>
                <w:szCs w:val="21"/>
              </w:rPr>
              <w:t>3</w:t>
            </w:r>
          </w:p>
        </w:tc>
        <w:tc>
          <w:tcPr>
            <w:tcW w:w="2140" w:type="dxa"/>
            <w:tcBorders>
              <w:top w:val="single" w:color="auto" w:sz="4" w:space="0"/>
              <w:left w:val="single" w:color="auto" w:sz="4" w:space="0"/>
              <w:bottom w:val="single" w:color="auto" w:sz="4" w:space="0"/>
              <w:right w:val="single" w:color="auto" w:sz="4" w:space="0"/>
            </w:tcBorders>
            <w:vAlign w:val="center"/>
          </w:tcPr>
          <w:p w14:paraId="6287D290">
            <w:pPr>
              <w:widowControl/>
              <w:wordWrap w:val="0"/>
              <w:autoSpaceDE w:val="0"/>
              <w:autoSpaceDN w:val="0"/>
              <w:jc w:val="center"/>
              <w:rPr>
                <w:rFonts w:ascii="Calibri" w:hAnsi="Calibri"/>
                <w:sz w:val="21"/>
                <w:szCs w:val="21"/>
                <w:lang w:eastAsia="en-US"/>
              </w:rPr>
            </w:pPr>
            <w:r>
              <w:rPr>
                <w:rFonts w:ascii="宋体" w:hAnsi="宋体"/>
                <w:color w:val="000000"/>
                <w:sz w:val="21"/>
                <w:szCs w:val="21"/>
              </w:rPr>
              <w:t>热黑液槽</w:t>
            </w:r>
          </w:p>
        </w:tc>
        <w:tc>
          <w:tcPr>
            <w:tcW w:w="3800" w:type="dxa"/>
            <w:tcBorders>
              <w:top w:val="single" w:color="auto" w:sz="4" w:space="0"/>
              <w:left w:val="single" w:color="auto" w:sz="4" w:space="0"/>
              <w:bottom w:val="single" w:color="auto" w:sz="4" w:space="0"/>
              <w:right w:val="single" w:color="auto" w:sz="4" w:space="0"/>
            </w:tcBorders>
            <w:vAlign w:val="center"/>
          </w:tcPr>
          <w:p w14:paraId="0ACD2C9C">
            <w:pPr>
              <w:widowControl/>
              <w:wordWrap w:val="0"/>
              <w:autoSpaceDE w:val="0"/>
              <w:autoSpaceDN w:val="0"/>
              <w:jc w:val="center"/>
              <w:rPr>
                <w:rFonts w:ascii="Times New Roman" w:hAnsi="Times New Roman"/>
                <w:sz w:val="21"/>
                <w:szCs w:val="21"/>
              </w:rPr>
            </w:pPr>
            <w:r>
              <w:rPr>
                <w:rFonts w:hint="eastAsia" w:ascii="Times New Roman" w:hAnsi="Times New Roman"/>
                <w:color w:val="000000"/>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29FF3BCC">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57467315">
        <w:tblPrEx>
          <w:tblCellMar>
            <w:top w:w="0" w:type="dxa"/>
            <w:left w:w="108" w:type="dxa"/>
            <w:bottom w:w="0" w:type="dxa"/>
            <w:right w:w="108" w:type="dxa"/>
          </w:tblCellMar>
        </w:tblPrEx>
        <w:trPr>
          <w:trHeight w:val="804" w:hRule="atLeast"/>
        </w:trPr>
        <w:tc>
          <w:tcPr>
            <w:tcW w:w="1689" w:type="dxa"/>
            <w:tcBorders>
              <w:top w:val="single" w:color="auto" w:sz="4" w:space="0"/>
              <w:left w:val="single" w:color="auto" w:sz="4" w:space="0"/>
              <w:bottom w:val="single" w:color="auto" w:sz="4" w:space="0"/>
              <w:right w:val="single" w:color="auto" w:sz="4" w:space="0"/>
            </w:tcBorders>
            <w:vAlign w:val="center"/>
          </w:tcPr>
          <w:p w14:paraId="6449E1AD">
            <w:pPr>
              <w:widowControl/>
              <w:wordWrap w:val="0"/>
              <w:autoSpaceDE w:val="0"/>
              <w:autoSpaceDN w:val="0"/>
              <w:jc w:val="center"/>
              <w:rPr>
                <w:rFonts w:ascii="Calibri" w:hAnsi="Calibri"/>
                <w:sz w:val="21"/>
                <w:szCs w:val="21"/>
                <w:lang w:eastAsia="en-US"/>
              </w:rPr>
            </w:pPr>
            <w:r>
              <w:rPr>
                <w:rFonts w:ascii="宋体" w:hAnsi="宋体"/>
                <w:color w:val="000000"/>
                <w:sz w:val="21"/>
                <w:szCs w:val="21"/>
              </w:rPr>
              <w:t>4</w:t>
            </w:r>
          </w:p>
        </w:tc>
        <w:tc>
          <w:tcPr>
            <w:tcW w:w="2140" w:type="dxa"/>
            <w:tcBorders>
              <w:top w:val="single" w:color="auto" w:sz="4" w:space="0"/>
              <w:left w:val="single" w:color="auto" w:sz="4" w:space="0"/>
              <w:bottom w:val="single" w:color="auto" w:sz="4" w:space="0"/>
              <w:right w:val="single" w:color="auto" w:sz="4" w:space="0"/>
            </w:tcBorders>
            <w:vAlign w:val="center"/>
          </w:tcPr>
          <w:p w14:paraId="26F8C707">
            <w:pPr>
              <w:widowControl/>
              <w:wordWrap w:val="0"/>
              <w:autoSpaceDE w:val="0"/>
              <w:autoSpaceDN w:val="0"/>
              <w:jc w:val="center"/>
              <w:rPr>
                <w:rFonts w:ascii="Calibri" w:hAnsi="Calibri"/>
                <w:sz w:val="21"/>
                <w:szCs w:val="21"/>
                <w:lang w:eastAsia="en-US"/>
              </w:rPr>
            </w:pPr>
            <w:r>
              <w:rPr>
                <w:rFonts w:ascii="宋体" w:hAnsi="宋体"/>
                <w:color w:val="000000"/>
                <w:sz w:val="21"/>
                <w:szCs w:val="21"/>
              </w:rPr>
              <w:t>热白液槽</w:t>
            </w:r>
          </w:p>
        </w:tc>
        <w:tc>
          <w:tcPr>
            <w:tcW w:w="3800" w:type="dxa"/>
            <w:tcBorders>
              <w:top w:val="single" w:color="auto" w:sz="4" w:space="0"/>
              <w:left w:val="single" w:color="auto" w:sz="4" w:space="0"/>
              <w:bottom w:val="single" w:color="auto" w:sz="4" w:space="0"/>
              <w:right w:val="single" w:color="auto" w:sz="4" w:space="0"/>
            </w:tcBorders>
            <w:vAlign w:val="center"/>
          </w:tcPr>
          <w:p w14:paraId="01FFFE62">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材质：S</w:t>
            </w:r>
            <w:r>
              <w:rPr>
                <w:rFonts w:ascii="Times New Roman" w:hAnsi="Times New Roman"/>
                <w:color w:val="000000"/>
                <w:sz w:val="21"/>
                <w:szCs w:val="21"/>
              </w:rPr>
              <w:t>S</w:t>
            </w:r>
            <w:r>
              <w:rPr>
                <w:rFonts w:hint="eastAsia" w:ascii="Times New Roman" w:hAnsi="Times New Roman"/>
                <w:color w:val="000000"/>
                <w:sz w:val="21"/>
                <w:szCs w:val="21"/>
              </w:rPr>
              <w:t>2</w:t>
            </w:r>
            <w:r>
              <w:rPr>
                <w:rFonts w:ascii="Times New Roman" w:hAnsi="Times New Roman"/>
                <w:color w:val="000000"/>
                <w:sz w:val="21"/>
                <w:szCs w:val="21"/>
              </w:rPr>
              <w:t>205</w:t>
            </w:r>
          </w:p>
        </w:tc>
        <w:tc>
          <w:tcPr>
            <w:tcW w:w="1468" w:type="dxa"/>
            <w:tcBorders>
              <w:top w:val="single" w:color="auto" w:sz="4" w:space="0"/>
              <w:left w:val="single" w:color="auto" w:sz="4" w:space="0"/>
              <w:bottom w:val="single" w:color="auto" w:sz="4" w:space="0"/>
              <w:right w:val="single" w:color="auto" w:sz="4" w:space="0"/>
            </w:tcBorders>
            <w:vAlign w:val="center"/>
          </w:tcPr>
          <w:p w14:paraId="46070096">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73BBC3D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9438D5D">
            <w:pPr>
              <w:widowControl/>
              <w:wordWrap w:val="0"/>
              <w:autoSpaceDE w:val="0"/>
              <w:autoSpaceDN w:val="0"/>
              <w:jc w:val="center"/>
              <w:rPr>
                <w:rFonts w:ascii="Calibri" w:hAnsi="Calibri"/>
                <w:sz w:val="21"/>
                <w:szCs w:val="21"/>
                <w:lang w:eastAsia="en-US"/>
              </w:rPr>
            </w:pPr>
            <w:r>
              <w:rPr>
                <w:rFonts w:ascii="宋体" w:hAnsi="宋体"/>
                <w:color w:val="000000"/>
                <w:sz w:val="21"/>
                <w:szCs w:val="21"/>
              </w:rPr>
              <w:t>5</w:t>
            </w:r>
          </w:p>
        </w:tc>
        <w:tc>
          <w:tcPr>
            <w:tcW w:w="2140" w:type="dxa"/>
            <w:tcBorders>
              <w:top w:val="single" w:color="auto" w:sz="4" w:space="0"/>
              <w:left w:val="single" w:color="auto" w:sz="4" w:space="0"/>
              <w:bottom w:val="single" w:color="auto" w:sz="4" w:space="0"/>
              <w:right w:val="single" w:color="auto" w:sz="4" w:space="0"/>
            </w:tcBorders>
            <w:vAlign w:val="center"/>
          </w:tcPr>
          <w:p w14:paraId="3E73AAB9">
            <w:pPr>
              <w:widowControl/>
              <w:wordWrap w:val="0"/>
              <w:autoSpaceDE w:val="0"/>
              <w:autoSpaceDN w:val="0"/>
              <w:jc w:val="center"/>
              <w:rPr>
                <w:sz w:val="21"/>
                <w:szCs w:val="21"/>
              </w:rPr>
            </w:pPr>
            <w:r>
              <w:rPr>
                <w:rFonts w:ascii="宋体" w:hAnsi="宋体"/>
                <w:color w:val="000000"/>
                <w:sz w:val="21"/>
                <w:szCs w:val="21"/>
              </w:rPr>
              <w:t>白液加热器冷</w:t>
            </w:r>
          </w:p>
          <w:p w14:paraId="0368E8CE">
            <w:pPr>
              <w:widowControl/>
              <w:wordWrap w:val="0"/>
              <w:autoSpaceDE w:val="0"/>
              <w:autoSpaceDN w:val="0"/>
              <w:jc w:val="center"/>
              <w:rPr>
                <w:rFonts w:ascii="Calibri" w:hAnsi="Calibri"/>
                <w:sz w:val="21"/>
                <w:szCs w:val="21"/>
                <w:lang w:eastAsia="en-US"/>
              </w:rPr>
            </w:pPr>
            <w:r>
              <w:rPr>
                <w:rFonts w:ascii="宋体" w:hAnsi="宋体"/>
                <w:color w:val="000000"/>
                <w:sz w:val="21"/>
                <w:szCs w:val="21"/>
              </w:rPr>
              <w:t>凝水罐</w:t>
            </w:r>
          </w:p>
        </w:tc>
        <w:tc>
          <w:tcPr>
            <w:tcW w:w="3800" w:type="dxa"/>
            <w:tcBorders>
              <w:top w:val="single" w:color="auto" w:sz="4" w:space="0"/>
              <w:left w:val="single" w:color="auto" w:sz="4" w:space="0"/>
              <w:bottom w:val="single" w:color="auto" w:sz="4" w:space="0"/>
              <w:right w:val="single" w:color="auto" w:sz="4" w:space="0"/>
            </w:tcBorders>
            <w:vAlign w:val="center"/>
          </w:tcPr>
          <w:p w14:paraId="14DDA9F7">
            <w:pPr>
              <w:widowControl/>
              <w:wordWrap w:val="0"/>
              <w:autoSpaceDE w:val="0"/>
              <w:autoSpaceDN w:val="0"/>
              <w:jc w:val="center"/>
              <w:rPr>
                <w:rFonts w:ascii="Times New Roman" w:hAnsi="Times New Roman"/>
                <w:sz w:val="21"/>
                <w:szCs w:val="21"/>
              </w:rPr>
            </w:pPr>
            <w:r>
              <w:rPr>
                <w:rFonts w:hint="eastAsia" w:ascii="Times New Roman" w:hAnsi="Times New Roman"/>
                <w:color w:val="000000"/>
                <w:sz w:val="21"/>
                <w:szCs w:val="21"/>
              </w:rPr>
              <w:t>材质：</w:t>
            </w:r>
            <w:r>
              <w:rPr>
                <w:rFonts w:hint="eastAsia" w:ascii="Times New Roman" w:hAnsi="Times New Roman"/>
                <w:sz w:val="21"/>
                <w:szCs w:val="21"/>
              </w:rPr>
              <w:t>SS304</w:t>
            </w:r>
          </w:p>
        </w:tc>
        <w:tc>
          <w:tcPr>
            <w:tcW w:w="1468" w:type="dxa"/>
            <w:tcBorders>
              <w:top w:val="single" w:color="auto" w:sz="4" w:space="0"/>
              <w:left w:val="single" w:color="auto" w:sz="4" w:space="0"/>
              <w:bottom w:val="single" w:color="auto" w:sz="4" w:space="0"/>
              <w:right w:val="single" w:color="auto" w:sz="4" w:space="0"/>
            </w:tcBorders>
            <w:vAlign w:val="center"/>
          </w:tcPr>
          <w:p w14:paraId="433A56C0">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266C8DF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DFAE638">
            <w:pPr>
              <w:widowControl/>
              <w:wordWrap w:val="0"/>
              <w:autoSpaceDE w:val="0"/>
              <w:autoSpaceDN w:val="0"/>
              <w:jc w:val="center"/>
              <w:rPr>
                <w:rFonts w:ascii="Calibri" w:hAnsi="Calibri"/>
                <w:sz w:val="21"/>
                <w:szCs w:val="21"/>
                <w:lang w:eastAsia="en-US"/>
              </w:rPr>
            </w:pPr>
            <w:r>
              <w:rPr>
                <w:rFonts w:ascii="宋体" w:hAnsi="宋体"/>
                <w:color w:val="000000"/>
                <w:sz w:val="21"/>
                <w:szCs w:val="21"/>
              </w:rPr>
              <w:t>6</w:t>
            </w:r>
          </w:p>
        </w:tc>
        <w:tc>
          <w:tcPr>
            <w:tcW w:w="2140" w:type="dxa"/>
            <w:tcBorders>
              <w:top w:val="single" w:color="auto" w:sz="4" w:space="0"/>
              <w:left w:val="single" w:color="auto" w:sz="4" w:space="0"/>
              <w:bottom w:val="single" w:color="auto" w:sz="4" w:space="0"/>
              <w:right w:val="single" w:color="auto" w:sz="4" w:space="0"/>
            </w:tcBorders>
            <w:vAlign w:val="center"/>
          </w:tcPr>
          <w:p w14:paraId="54C4D1F4">
            <w:pPr>
              <w:widowControl/>
              <w:wordWrap w:val="0"/>
              <w:autoSpaceDE w:val="0"/>
              <w:autoSpaceDN w:val="0"/>
              <w:jc w:val="center"/>
              <w:rPr>
                <w:rFonts w:ascii="Calibri" w:hAnsi="Calibri"/>
                <w:sz w:val="21"/>
                <w:szCs w:val="21"/>
                <w:lang w:eastAsia="en-US"/>
              </w:rPr>
            </w:pPr>
            <w:r>
              <w:rPr>
                <w:rFonts w:ascii="宋体" w:hAnsi="宋体"/>
                <w:color w:val="000000"/>
                <w:sz w:val="21"/>
                <w:szCs w:val="21"/>
              </w:rPr>
              <w:t>中压分汽缸</w:t>
            </w:r>
          </w:p>
        </w:tc>
        <w:tc>
          <w:tcPr>
            <w:tcW w:w="3800" w:type="dxa"/>
            <w:tcBorders>
              <w:top w:val="single" w:color="auto" w:sz="4" w:space="0"/>
              <w:left w:val="single" w:color="auto" w:sz="4" w:space="0"/>
              <w:bottom w:val="single" w:color="auto" w:sz="4" w:space="0"/>
              <w:right w:val="single" w:color="auto" w:sz="4" w:space="0"/>
            </w:tcBorders>
            <w:vAlign w:val="center"/>
          </w:tcPr>
          <w:p w14:paraId="38A1048B">
            <w:pPr>
              <w:widowControl/>
              <w:wordWrap w:val="0"/>
              <w:autoSpaceDE w:val="0"/>
              <w:autoSpaceDN w:val="0"/>
              <w:jc w:val="center"/>
              <w:rPr>
                <w:rFonts w:ascii="Times New Roman" w:hAnsi="Times New Roman"/>
                <w:sz w:val="21"/>
                <w:szCs w:val="21"/>
              </w:rPr>
            </w:pPr>
            <w:r>
              <w:rPr>
                <w:rFonts w:hint="eastAsia" w:ascii="Times New Roman" w:hAnsi="Times New Roman"/>
                <w:color w:val="000000"/>
                <w:sz w:val="21"/>
                <w:szCs w:val="21"/>
              </w:rPr>
              <w:t>材质：</w:t>
            </w:r>
            <w:r>
              <w:rPr>
                <w:rFonts w:hint="eastAsia" w:ascii="Times New Roman" w:hAnsi="Times New Roman"/>
                <w:sz w:val="21"/>
                <w:szCs w:val="21"/>
              </w:rPr>
              <w:t>SS304</w:t>
            </w:r>
          </w:p>
        </w:tc>
        <w:tc>
          <w:tcPr>
            <w:tcW w:w="1468" w:type="dxa"/>
            <w:tcBorders>
              <w:top w:val="single" w:color="auto" w:sz="4" w:space="0"/>
              <w:left w:val="single" w:color="auto" w:sz="4" w:space="0"/>
              <w:bottom w:val="single" w:color="auto" w:sz="4" w:space="0"/>
              <w:right w:val="single" w:color="auto" w:sz="4" w:space="0"/>
            </w:tcBorders>
            <w:vAlign w:val="center"/>
          </w:tcPr>
          <w:p w14:paraId="22711FF5">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7EAF6499">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22B5C0E">
            <w:pPr>
              <w:widowControl/>
              <w:jc w:val="center"/>
              <w:rPr>
                <w:rFonts w:ascii="Calibri" w:hAnsi="Calibri"/>
                <w:sz w:val="21"/>
                <w:szCs w:val="21"/>
              </w:rPr>
            </w:pPr>
            <w:r>
              <w:rPr>
                <w:rFonts w:hint="eastAsia" w:ascii="Calibri" w:hAnsi="Calibri"/>
                <w:sz w:val="21"/>
                <w:szCs w:val="21"/>
              </w:rPr>
              <w:t>7</w:t>
            </w:r>
          </w:p>
        </w:tc>
        <w:tc>
          <w:tcPr>
            <w:tcW w:w="2140" w:type="dxa"/>
            <w:tcBorders>
              <w:top w:val="single" w:color="auto" w:sz="4" w:space="0"/>
              <w:left w:val="single" w:color="auto" w:sz="4" w:space="0"/>
              <w:bottom w:val="single" w:color="auto" w:sz="4" w:space="0"/>
              <w:right w:val="single" w:color="auto" w:sz="4" w:space="0"/>
            </w:tcBorders>
            <w:vAlign w:val="center"/>
          </w:tcPr>
          <w:p w14:paraId="2E8DE463">
            <w:pPr>
              <w:widowControl/>
              <w:jc w:val="center"/>
              <w:rPr>
                <w:rFonts w:ascii="Calibri" w:hAnsi="Calibri"/>
                <w:sz w:val="21"/>
                <w:szCs w:val="21"/>
              </w:rPr>
            </w:pPr>
            <w:r>
              <w:rPr>
                <w:rFonts w:hint="eastAsia" w:ascii="Calibri" w:hAnsi="Calibri"/>
                <w:sz w:val="21"/>
                <w:szCs w:val="21"/>
              </w:rPr>
              <w:t>密封水过滤罐</w:t>
            </w:r>
          </w:p>
        </w:tc>
        <w:tc>
          <w:tcPr>
            <w:tcW w:w="3800" w:type="dxa"/>
            <w:tcBorders>
              <w:top w:val="single" w:color="auto" w:sz="4" w:space="0"/>
              <w:left w:val="single" w:color="auto" w:sz="4" w:space="0"/>
              <w:bottom w:val="single" w:color="auto" w:sz="4" w:space="0"/>
              <w:right w:val="single" w:color="auto" w:sz="4" w:space="0"/>
            </w:tcBorders>
            <w:vAlign w:val="center"/>
          </w:tcPr>
          <w:p w14:paraId="55336506">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材质：304</w:t>
            </w:r>
          </w:p>
          <w:p w14:paraId="583D6BF6">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过滤精度满足系统密封水使用要求</w:t>
            </w:r>
          </w:p>
          <w:p w14:paraId="6EED855C">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带反冲洗功能</w:t>
            </w:r>
          </w:p>
          <w:p w14:paraId="53E31868">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处理量：按设计</w:t>
            </w:r>
          </w:p>
        </w:tc>
        <w:tc>
          <w:tcPr>
            <w:tcW w:w="1468" w:type="dxa"/>
            <w:tcBorders>
              <w:top w:val="single" w:color="auto" w:sz="4" w:space="0"/>
              <w:left w:val="single" w:color="auto" w:sz="4" w:space="0"/>
              <w:bottom w:val="single" w:color="auto" w:sz="4" w:space="0"/>
              <w:right w:val="single" w:color="auto" w:sz="4" w:space="0"/>
            </w:tcBorders>
            <w:vAlign w:val="center"/>
          </w:tcPr>
          <w:p w14:paraId="34A53684">
            <w:pPr>
              <w:widowControl/>
              <w:jc w:val="center"/>
              <w:rPr>
                <w:rFonts w:ascii="Calibri" w:hAnsi="Calibri"/>
                <w:sz w:val="21"/>
                <w:szCs w:val="21"/>
              </w:rPr>
            </w:pPr>
            <w:r>
              <w:rPr>
                <w:rFonts w:hint="eastAsia" w:ascii="Calibri" w:hAnsi="Calibri"/>
                <w:sz w:val="21"/>
                <w:szCs w:val="21"/>
              </w:rPr>
              <w:t>1</w:t>
            </w:r>
          </w:p>
        </w:tc>
      </w:tr>
      <w:tr w14:paraId="0A5DDF8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5537813">
            <w:pPr>
              <w:widowControl/>
              <w:wordWrap w:val="0"/>
              <w:autoSpaceDE w:val="0"/>
              <w:autoSpaceDN w:val="0"/>
              <w:jc w:val="center"/>
              <w:rPr>
                <w:rFonts w:ascii="Calibri" w:hAnsi="Calibri"/>
                <w:sz w:val="21"/>
                <w:szCs w:val="21"/>
                <w:lang w:eastAsia="en-US"/>
              </w:rPr>
            </w:pPr>
            <w:r>
              <w:rPr>
                <w:rFonts w:ascii="宋体" w:hAnsi="宋体"/>
                <w:b/>
                <w:color w:val="000000"/>
                <w:spacing w:val="2"/>
                <w:sz w:val="21"/>
                <w:szCs w:val="21"/>
              </w:rPr>
              <w:t>三</w:t>
            </w:r>
            <w:r>
              <w:rPr>
                <w:rFonts w:ascii="宋体" w:hAnsi="宋体"/>
                <w:b/>
                <w:color w:val="000000"/>
                <w:sz w:val="21"/>
                <w:szCs w:val="21"/>
              </w:rPr>
              <w:t>、常压槽罐</w:t>
            </w:r>
          </w:p>
        </w:tc>
        <w:tc>
          <w:tcPr>
            <w:tcW w:w="2140" w:type="dxa"/>
            <w:tcBorders>
              <w:top w:val="single" w:color="auto" w:sz="4" w:space="0"/>
              <w:left w:val="single" w:color="auto" w:sz="4" w:space="0"/>
              <w:bottom w:val="single" w:color="auto" w:sz="4" w:space="0"/>
              <w:right w:val="single" w:color="auto" w:sz="4" w:space="0"/>
            </w:tcBorders>
            <w:vAlign w:val="center"/>
          </w:tcPr>
          <w:p w14:paraId="5AAB720A">
            <w:pPr>
              <w:widowControl/>
              <w:jc w:val="center"/>
              <w:rPr>
                <w:rFonts w:ascii="Calibri" w:hAnsi="Calibri"/>
                <w:sz w:val="21"/>
                <w:szCs w:val="21"/>
                <w:lang w:eastAsia="en-US"/>
              </w:rPr>
            </w:pPr>
          </w:p>
        </w:tc>
        <w:tc>
          <w:tcPr>
            <w:tcW w:w="3800" w:type="dxa"/>
            <w:tcBorders>
              <w:top w:val="single" w:color="auto" w:sz="4" w:space="0"/>
              <w:left w:val="single" w:color="auto" w:sz="4" w:space="0"/>
              <w:bottom w:val="single" w:color="auto" w:sz="4" w:space="0"/>
              <w:right w:val="single" w:color="auto" w:sz="4" w:space="0"/>
            </w:tcBorders>
            <w:vAlign w:val="center"/>
          </w:tcPr>
          <w:p w14:paraId="540F9700">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7CF97B61">
            <w:pPr>
              <w:widowControl/>
              <w:jc w:val="center"/>
              <w:rPr>
                <w:sz w:val="21"/>
                <w:szCs w:val="21"/>
              </w:rPr>
            </w:pPr>
          </w:p>
        </w:tc>
      </w:tr>
      <w:tr w14:paraId="77E6E09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1ED9CC2">
            <w:pPr>
              <w:widowControl/>
              <w:wordWrap w:val="0"/>
              <w:autoSpaceDE w:val="0"/>
              <w:autoSpaceDN w:val="0"/>
              <w:jc w:val="center"/>
              <w:rPr>
                <w:rFonts w:ascii="Calibri" w:hAnsi="Calibri"/>
                <w:sz w:val="21"/>
                <w:szCs w:val="21"/>
              </w:rPr>
            </w:pPr>
            <w:r>
              <w:rPr>
                <w:rFonts w:ascii="宋体" w:hAnsi="宋体"/>
                <w:color w:val="000000"/>
                <w:sz w:val="21"/>
                <w:szCs w:val="21"/>
              </w:rPr>
              <w:t>7</w:t>
            </w:r>
          </w:p>
        </w:tc>
        <w:tc>
          <w:tcPr>
            <w:tcW w:w="2140" w:type="dxa"/>
            <w:tcBorders>
              <w:top w:val="single" w:color="auto" w:sz="4" w:space="0"/>
              <w:left w:val="single" w:color="auto" w:sz="4" w:space="0"/>
              <w:bottom w:val="single" w:color="auto" w:sz="4" w:space="0"/>
              <w:right w:val="single" w:color="auto" w:sz="4" w:space="0"/>
            </w:tcBorders>
            <w:vAlign w:val="center"/>
          </w:tcPr>
          <w:p w14:paraId="7D1ECF47">
            <w:pPr>
              <w:widowControl/>
              <w:wordWrap w:val="0"/>
              <w:autoSpaceDE w:val="0"/>
              <w:autoSpaceDN w:val="0"/>
              <w:jc w:val="center"/>
              <w:rPr>
                <w:rFonts w:ascii="Calibri" w:hAnsi="Calibri"/>
                <w:sz w:val="21"/>
                <w:szCs w:val="21"/>
                <w:lang w:eastAsia="en-US"/>
              </w:rPr>
            </w:pPr>
            <w:r>
              <w:rPr>
                <w:rFonts w:ascii="宋体" w:hAnsi="宋体"/>
                <w:color w:val="000000"/>
                <w:sz w:val="21"/>
                <w:szCs w:val="21"/>
              </w:rPr>
              <w:t>冷黑液槽</w:t>
            </w:r>
          </w:p>
        </w:tc>
        <w:tc>
          <w:tcPr>
            <w:tcW w:w="3800" w:type="dxa"/>
            <w:tcBorders>
              <w:top w:val="single" w:color="auto" w:sz="4" w:space="0"/>
              <w:left w:val="single" w:color="auto" w:sz="4" w:space="0"/>
              <w:bottom w:val="single" w:color="auto" w:sz="4" w:space="0"/>
              <w:right w:val="single" w:color="auto" w:sz="4" w:space="0"/>
            </w:tcBorders>
            <w:vAlign w:val="center"/>
          </w:tcPr>
          <w:p w14:paraId="14CE2BB3">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底板材质：复合钢板 S</w:t>
            </w:r>
            <w:r>
              <w:rPr>
                <w:rFonts w:ascii="Times New Roman" w:hAnsi="Times New Roman"/>
                <w:color w:val="000000"/>
                <w:sz w:val="21"/>
                <w:szCs w:val="21"/>
              </w:rPr>
              <w:t>S304L+CS</w:t>
            </w:r>
          </w:p>
          <w:p w14:paraId="40C911E0">
            <w:pPr>
              <w:pStyle w:val="8"/>
            </w:pPr>
            <w:r>
              <w:rPr>
                <w:rFonts w:hint="eastAsia" w:ascii="Times New Roman" w:hAnsi="Times New Roman"/>
                <w:color w:val="000000"/>
                <w:sz w:val="21"/>
                <w:szCs w:val="21"/>
              </w:rPr>
              <w:t>顶部两米及上盖部分材质：S</w:t>
            </w:r>
            <w:r>
              <w:rPr>
                <w:rFonts w:ascii="Times New Roman" w:hAnsi="Times New Roman"/>
                <w:color w:val="000000"/>
                <w:sz w:val="21"/>
                <w:szCs w:val="21"/>
              </w:rPr>
              <w:t>S304L+CS</w:t>
            </w:r>
          </w:p>
        </w:tc>
        <w:tc>
          <w:tcPr>
            <w:tcW w:w="1468" w:type="dxa"/>
            <w:tcBorders>
              <w:top w:val="single" w:color="auto" w:sz="4" w:space="0"/>
              <w:left w:val="single" w:color="auto" w:sz="4" w:space="0"/>
              <w:bottom w:val="single" w:color="auto" w:sz="4" w:space="0"/>
              <w:right w:val="single" w:color="auto" w:sz="4" w:space="0"/>
            </w:tcBorders>
            <w:vAlign w:val="center"/>
          </w:tcPr>
          <w:p w14:paraId="673D75B1">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55FB3751">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1857D065">
            <w:pPr>
              <w:widowControl/>
              <w:wordWrap w:val="0"/>
              <w:autoSpaceDE w:val="0"/>
              <w:autoSpaceDN w:val="0"/>
              <w:jc w:val="center"/>
              <w:rPr>
                <w:rFonts w:ascii="Calibri" w:hAnsi="Calibri"/>
                <w:sz w:val="21"/>
                <w:szCs w:val="21"/>
              </w:rPr>
            </w:pPr>
            <w:r>
              <w:rPr>
                <w:rFonts w:ascii="宋体" w:hAnsi="宋体"/>
                <w:color w:val="000000"/>
                <w:sz w:val="21"/>
                <w:szCs w:val="21"/>
              </w:rPr>
              <w:t>8</w:t>
            </w:r>
          </w:p>
        </w:tc>
        <w:tc>
          <w:tcPr>
            <w:tcW w:w="2140" w:type="dxa"/>
            <w:tcBorders>
              <w:top w:val="single" w:color="auto" w:sz="4" w:space="0"/>
              <w:left w:val="single" w:color="auto" w:sz="4" w:space="0"/>
              <w:bottom w:val="single" w:color="auto" w:sz="4" w:space="0"/>
              <w:right w:val="single" w:color="auto" w:sz="4" w:space="0"/>
            </w:tcBorders>
            <w:vAlign w:val="center"/>
          </w:tcPr>
          <w:p w14:paraId="2F0D8DC0">
            <w:pPr>
              <w:widowControl/>
              <w:wordWrap w:val="0"/>
              <w:autoSpaceDE w:val="0"/>
              <w:autoSpaceDN w:val="0"/>
              <w:jc w:val="center"/>
              <w:rPr>
                <w:rFonts w:ascii="Calibri" w:hAnsi="Calibri"/>
                <w:sz w:val="21"/>
                <w:szCs w:val="21"/>
                <w:lang w:eastAsia="en-US"/>
              </w:rPr>
            </w:pPr>
            <w:r>
              <w:rPr>
                <w:rFonts w:ascii="宋体" w:hAnsi="宋体"/>
                <w:color w:val="000000"/>
                <w:sz w:val="21"/>
                <w:szCs w:val="21"/>
              </w:rPr>
              <w:t>洗涤滤液槽</w:t>
            </w:r>
          </w:p>
        </w:tc>
        <w:tc>
          <w:tcPr>
            <w:tcW w:w="3800" w:type="dxa"/>
            <w:tcBorders>
              <w:top w:val="single" w:color="auto" w:sz="4" w:space="0"/>
              <w:left w:val="single" w:color="auto" w:sz="4" w:space="0"/>
              <w:bottom w:val="single" w:color="auto" w:sz="4" w:space="0"/>
              <w:right w:val="single" w:color="auto" w:sz="4" w:space="0"/>
            </w:tcBorders>
            <w:vAlign w:val="center"/>
          </w:tcPr>
          <w:p w14:paraId="26028500">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底板材质：复合钢板 S</w:t>
            </w:r>
            <w:r>
              <w:rPr>
                <w:rFonts w:ascii="Times New Roman" w:hAnsi="Times New Roman"/>
                <w:color w:val="000000"/>
                <w:sz w:val="21"/>
                <w:szCs w:val="21"/>
              </w:rPr>
              <w:t>S304L+CS</w:t>
            </w:r>
          </w:p>
          <w:p w14:paraId="42D2F6B1">
            <w:pPr>
              <w:widowControl/>
              <w:wordWrap w:val="0"/>
              <w:autoSpaceDE w:val="0"/>
              <w:autoSpaceDN w:val="0"/>
              <w:rPr>
                <w:rFonts w:ascii="Times New Roman" w:hAnsi="Times New Roman"/>
                <w:color w:val="000000"/>
                <w:sz w:val="21"/>
                <w:szCs w:val="21"/>
              </w:rPr>
            </w:pPr>
            <w:r>
              <w:rPr>
                <w:rFonts w:hint="eastAsia" w:ascii="Times New Roman" w:hAnsi="Times New Roman"/>
                <w:color w:val="000000"/>
                <w:sz w:val="21"/>
                <w:szCs w:val="21"/>
              </w:rPr>
              <w:t>顶部两米及上盖部分材质：S</w:t>
            </w:r>
            <w:r>
              <w:rPr>
                <w:rFonts w:ascii="Times New Roman" w:hAnsi="Times New Roman"/>
                <w:color w:val="000000"/>
                <w:sz w:val="21"/>
                <w:szCs w:val="21"/>
              </w:rPr>
              <w:t>S304L+CS</w:t>
            </w:r>
          </w:p>
        </w:tc>
        <w:tc>
          <w:tcPr>
            <w:tcW w:w="1468" w:type="dxa"/>
            <w:tcBorders>
              <w:top w:val="single" w:color="auto" w:sz="4" w:space="0"/>
              <w:left w:val="single" w:color="auto" w:sz="4" w:space="0"/>
              <w:bottom w:val="single" w:color="auto" w:sz="4" w:space="0"/>
              <w:right w:val="single" w:color="auto" w:sz="4" w:space="0"/>
            </w:tcBorders>
            <w:vAlign w:val="center"/>
          </w:tcPr>
          <w:p w14:paraId="1C6B6773">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27CA3EAB">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DC9F8BA">
            <w:pPr>
              <w:widowControl/>
              <w:wordWrap w:val="0"/>
              <w:autoSpaceDE w:val="0"/>
              <w:autoSpaceDN w:val="0"/>
              <w:jc w:val="center"/>
              <w:rPr>
                <w:rFonts w:ascii="Calibri" w:hAnsi="Calibri"/>
                <w:sz w:val="21"/>
                <w:szCs w:val="21"/>
              </w:rPr>
            </w:pPr>
            <w:r>
              <w:rPr>
                <w:rFonts w:ascii="宋体" w:hAnsi="宋体"/>
                <w:color w:val="000000"/>
                <w:sz w:val="21"/>
                <w:szCs w:val="21"/>
              </w:rPr>
              <w:t>9</w:t>
            </w:r>
          </w:p>
        </w:tc>
        <w:tc>
          <w:tcPr>
            <w:tcW w:w="2140" w:type="dxa"/>
            <w:tcBorders>
              <w:top w:val="single" w:color="auto" w:sz="4" w:space="0"/>
              <w:left w:val="single" w:color="auto" w:sz="4" w:space="0"/>
              <w:bottom w:val="single" w:color="auto" w:sz="4" w:space="0"/>
              <w:right w:val="single" w:color="auto" w:sz="4" w:space="0"/>
            </w:tcBorders>
            <w:vAlign w:val="center"/>
          </w:tcPr>
          <w:p w14:paraId="6E6FBD55">
            <w:pPr>
              <w:widowControl/>
              <w:wordWrap w:val="0"/>
              <w:autoSpaceDE w:val="0"/>
              <w:autoSpaceDN w:val="0"/>
              <w:jc w:val="center"/>
              <w:rPr>
                <w:rFonts w:ascii="Calibri" w:hAnsi="Calibri"/>
                <w:sz w:val="21"/>
                <w:szCs w:val="21"/>
                <w:lang w:eastAsia="en-US"/>
              </w:rPr>
            </w:pPr>
            <w:r>
              <w:rPr>
                <w:rFonts w:ascii="宋体" w:hAnsi="宋体"/>
                <w:color w:val="000000"/>
                <w:sz w:val="21"/>
                <w:szCs w:val="21"/>
              </w:rPr>
              <w:t>冷白液槽</w:t>
            </w:r>
          </w:p>
        </w:tc>
        <w:tc>
          <w:tcPr>
            <w:tcW w:w="3800" w:type="dxa"/>
            <w:tcBorders>
              <w:top w:val="single" w:color="auto" w:sz="4" w:space="0"/>
              <w:left w:val="single" w:color="auto" w:sz="4" w:space="0"/>
              <w:bottom w:val="single" w:color="auto" w:sz="4" w:space="0"/>
              <w:right w:val="single" w:color="auto" w:sz="4" w:space="0"/>
            </w:tcBorders>
            <w:vAlign w:val="center"/>
          </w:tcPr>
          <w:p w14:paraId="35C6B128">
            <w:pPr>
              <w:widowControl/>
              <w:wordWrap w:val="0"/>
              <w:autoSpaceDE w:val="0"/>
              <w:autoSpaceDN w:val="0"/>
              <w:jc w:val="center"/>
              <w:rPr>
                <w:rFonts w:ascii="Times New Roman" w:hAnsi="Times New Roman"/>
                <w:sz w:val="21"/>
                <w:szCs w:val="21"/>
              </w:rPr>
            </w:pPr>
            <w:r>
              <w:rPr>
                <w:rFonts w:hint="eastAsia" w:ascii="Times New Roman" w:hAnsi="Times New Roman"/>
                <w:color w:val="000000"/>
                <w:sz w:val="21"/>
                <w:szCs w:val="21"/>
              </w:rPr>
              <w:t>材质：复合钢板 S</w:t>
            </w:r>
            <w:r>
              <w:rPr>
                <w:rFonts w:ascii="Times New Roman" w:hAnsi="Times New Roman"/>
                <w:color w:val="000000"/>
                <w:sz w:val="21"/>
                <w:szCs w:val="21"/>
              </w:rPr>
              <w:t>S304L+CS</w:t>
            </w:r>
          </w:p>
        </w:tc>
        <w:tc>
          <w:tcPr>
            <w:tcW w:w="1468" w:type="dxa"/>
            <w:tcBorders>
              <w:top w:val="single" w:color="auto" w:sz="4" w:space="0"/>
              <w:left w:val="single" w:color="auto" w:sz="4" w:space="0"/>
              <w:bottom w:val="single" w:color="auto" w:sz="4" w:space="0"/>
              <w:right w:val="single" w:color="auto" w:sz="4" w:space="0"/>
            </w:tcBorders>
            <w:vAlign w:val="center"/>
          </w:tcPr>
          <w:p w14:paraId="2488BE93">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547A9B1B">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54967E65">
            <w:pPr>
              <w:widowControl/>
              <w:wordWrap w:val="0"/>
              <w:autoSpaceDE w:val="0"/>
              <w:autoSpaceDN w:val="0"/>
              <w:jc w:val="center"/>
              <w:rPr>
                <w:rFonts w:ascii="Calibri" w:hAnsi="Calibri"/>
                <w:sz w:val="21"/>
                <w:szCs w:val="21"/>
              </w:rPr>
            </w:pPr>
            <w:r>
              <w:rPr>
                <w:rFonts w:ascii="宋体" w:hAnsi="宋体"/>
                <w:color w:val="000000"/>
                <w:sz w:val="21"/>
                <w:szCs w:val="21"/>
              </w:rPr>
              <w:t>10</w:t>
            </w:r>
          </w:p>
        </w:tc>
        <w:tc>
          <w:tcPr>
            <w:tcW w:w="2140" w:type="dxa"/>
            <w:tcBorders>
              <w:top w:val="single" w:color="auto" w:sz="4" w:space="0"/>
              <w:left w:val="single" w:color="auto" w:sz="4" w:space="0"/>
              <w:bottom w:val="single" w:color="auto" w:sz="4" w:space="0"/>
              <w:right w:val="single" w:color="auto" w:sz="4" w:space="0"/>
            </w:tcBorders>
            <w:vAlign w:val="center"/>
          </w:tcPr>
          <w:p w14:paraId="77806DEA">
            <w:pPr>
              <w:widowControl/>
              <w:wordWrap w:val="0"/>
              <w:autoSpaceDE w:val="0"/>
              <w:autoSpaceDN w:val="0"/>
              <w:jc w:val="center"/>
              <w:rPr>
                <w:rFonts w:ascii="Calibri" w:hAnsi="Calibri"/>
                <w:sz w:val="21"/>
                <w:szCs w:val="21"/>
                <w:lang w:eastAsia="en-US"/>
              </w:rPr>
            </w:pPr>
            <w:r>
              <w:rPr>
                <w:rFonts w:ascii="宋体" w:hAnsi="宋体"/>
                <w:color w:val="000000"/>
                <w:sz w:val="21"/>
                <w:szCs w:val="21"/>
              </w:rPr>
              <w:t>喷放锅</w:t>
            </w:r>
          </w:p>
        </w:tc>
        <w:tc>
          <w:tcPr>
            <w:tcW w:w="3800" w:type="dxa"/>
            <w:tcBorders>
              <w:top w:val="single" w:color="auto" w:sz="4" w:space="0"/>
              <w:left w:val="single" w:color="auto" w:sz="4" w:space="0"/>
              <w:bottom w:val="single" w:color="auto" w:sz="4" w:space="0"/>
              <w:right w:val="single" w:color="auto" w:sz="4" w:space="0"/>
            </w:tcBorders>
            <w:vAlign w:val="center"/>
          </w:tcPr>
          <w:p w14:paraId="081A3DC4">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材质：复合钢板 S</w:t>
            </w:r>
            <w:r>
              <w:rPr>
                <w:rFonts w:ascii="Times New Roman" w:hAnsi="Times New Roman"/>
                <w:color w:val="000000"/>
                <w:sz w:val="21"/>
                <w:szCs w:val="21"/>
              </w:rPr>
              <w:t>S304L+CS</w:t>
            </w:r>
          </w:p>
        </w:tc>
        <w:tc>
          <w:tcPr>
            <w:tcW w:w="1468" w:type="dxa"/>
            <w:tcBorders>
              <w:top w:val="single" w:color="auto" w:sz="4" w:space="0"/>
              <w:left w:val="single" w:color="auto" w:sz="4" w:space="0"/>
              <w:bottom w:val="single" w:color="auto" w:sz="4" w:space="0"/>
              <w:right w:val="single" w:color="auto" w:sz="4" w:space="0"/>
            </w:tcBorders>
            <w:vAlign w:val="center"/>
          </w:tcPr>
          <w:p w14:paraId="7729D644">
            <w:pPr>
              <w:widowControl/>
              <w:wordWrap w:val="0"/>
              <w:autoSpaceDE w:val="0"/>
              <w:autoSpaceDN w:val="0"/>
              <w:jc w:val="center"/>
              <w:rPr>
                <w:rFonts w:ascii="Calibri" w:hAnsi="Calibri"/>
                <w:sz w:val="21"/>
                <w:szCs w:val="21"/>
              </w:rPr>
            </w:pPr>
            <w:r>
              <w:rPr>
                <w:rFonts w:ascii="宋体" w:hAnsi="宋体"/>
                <w:color w:val="000000"/>
                <w:sz w:val="21"/>
                <w:szCs w:val="21"/>
              </w:rPr>
              <w:t>2</w:t>
            </w:r>
          </w:p>
        </w:tc>
      </w:tr>
      <w:tr w14:paraId="750DE6D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2FA8E5ED">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3AFB00FA">
            <w:pPr>
              <w:widowControl/>
              <w:wordWrap w:val="0"/>
              <w:autoSpaceDE w:val="0"/>
              <w:autoSpaceDN w:val="0"/>
              <w:jc w:val="center"/>
              <w:rPr>
                <w:rFonts w:ascii="Calibri" w:hAnsi="Calibri"/>
                <w:sz w:val="21"/>
                <w:szCs w:val="21"/>
                <w:lang w:eastAsia="en-US"/>
              </w:rPr>
            </w:pPr>
            <w:r>
              <w:rPr>
                <w:rFonts w:ascii="宋体" w:hAnsi="宋体"/>
                <w:color w:val="000000"/>
                <w:sz w:val="21"/>
                <w:szCs w:val="21"/>
              </w:rPr>
              <w:t>附搅拌器</w:t>
            </w:r>
          </w:p>
        </w:tc>
        <w:tc>
          <w:tcPr>
            <w:tcW w:w="3800" w:type="dxa"/>
            <w:tcBorders>
              <w:top w:val="single" w:color="auto" w:sz="4" w:space="0"/>
              <w:left w:val="single" w:color="auto" w:sz="4" w:space="0"/>
              <w:bottom w:val="single" w:color="auto" w:sz="4" w:space="0"/>
              <w:right w:val="single" w:color="auto" w:sz="4" w:space="0"/>
            </w:tcBorders>
            <w:vAlign w:val="center"/>
          </w:tcPr>
          <w:p w14:paraId="71A1C35C">
            <w:pPr>
              <w:widowControl/>
              <w:wordWrap w:val="0"/>
              <w:autoSpaceDE w:val="0"/>
              <w:autoSpaceDN w:val="0"/>
              <w:jc w:val="center"/>
              <w:rPr>
                <w:rFonts w:ascii="Times New Roman" w:hAnsi="Times New Roman"/>
                <w:sz w:val="21"/>
                <w:szCs w:val="21"/>
              </w:rPr>
            </w:pPr>
            <w:r>
              <w:rPr>
                <w:rFonts w:hint="eastAsia" w:ascii="Times New Roman" w:hAnsi="Times New Roman"/>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01DC16F8">
            <w:pPr>
              <w:widowControl/>
              <w:wordWrap w:val="0"/>
              <w:autoSpaceDE w:val="0"/>
              <w:autoSpaceDN w:val="0"/>
              <w:jc w:val="center"/>
              <w:rPr>
                <w:rFonts w:ascii="Calibri" w:hAnsi="Calibri"/>
                <w:sz w:val="21"/>
                <w:szCs w:val="21"/>
              </w:rPr>
            </w:pPr>
            <w:r>
              <w:rPr>
                <w:rFonts w:ascii="宋体" w:hAnsi="宋体"/>
                <w:color w:val="000000"/>
                <w:sz w:val="21"/>
                <w:szCs w:val="21"/>
              </w:rPr>
              <w:t>2</w:t>
            </w:r>
          </w:p>
        </w:tc>
      </w:tr>
      <w:tr w14:paraId="1045C582">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5DE088A">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1830D3A">
            <w:pPr>
              <w:widowControl/>
              <w:wordWrap w:val="0"/>
              <w:autoSpaceDE w:val="0"/>
              <w:autoSpaceDN w:val="0"/>
              <w:jc w:val="center"/>
              <w:rPr>
                <w:rFonts w:ascii="Calibri" w:hAnsi="Calibri"/>
                <w:sz w:val="21"/>
                <w:szCs w:val="21"/>
                <w:lang w:eastAsia="en-US"/>
              </w:rPr>
            </w:pPr>
            <w:r>
              <w:rPr>
                <w:rFonts w:ascii="宋体" w:hAnsi="宋体"/>
                <w:color w:val="000000"/>
                <w:sz w:val="21"/>
                <w:szCs w:val="21"/>
              </w:rPr>
              <w:t>附电动机</w:t>
            </w:r>
          </w:p>
        </w:tc>
        <w:tc>
          <w:tcPr>
            <w:tcW w:w="3800" w:type="dxa"/>
            <w:tcBorders>
              <w:top w:val="single" w:color="auto" w:sz="4" w:space="0"/>
              <w:left w:val="single" w:color="auto" w:sz="4" w:space="0"/>
              <w:bottom w:val="single" w:color="auto" w:sz="4" w:space="0"/>
              <w:right w:val="single" w:color="auto" w:sz="4" w:space="0"/>
            </w:tcBorders>
            <w:vAlign w:val="center"/>
          </w:tcPr>
          <w:p w14:paraId="0E2B2FF0">
            <w:pPr>
              <w:widowControl/>
              <w:wordWrap w:val="0"/>
              <w:autoSpaceDE w:val="0"/>
              <w:autoSpaceDN w:val="0"/>
              <w:jc w:val="center"/>
              <w:rPr>
                <w:rFonts w:ascii="Times New Roman" w:hAnsi="Times New Roman"/>
                <w:sz w:val="21"/>
                <w:szCs w:val="21"/>
              </w:rPr>
            </w:pPr>
            <w:r>
              <w:rPr>
                <w:rFonts w:hint="eastAsia" w:ascii="Times New Roman" w:hAnsi="Times New Roman"/>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111F03F1">
            <w:pPr>
              <w:widowControl/>
              <w:wordWrap w:val="0"/>
              <w:autoSpaceDE w:val="0"/>
              <w:autoSpaceDN w:val="0"/>
              <w:jc w:val="center"/>
              <w:rPr>
                <w:rFonts w:ascii="Calibri" w:hAnsi="Calibri"/>
                <w:sz w:val="21"/>
                <w:szCs w:val="21"/>
              </w:rPr>
            </w:pPr>
            <w:r>
              <w:rPr>
                <w:rFonts w:ascii="宋体" w:hAnsi="宋体"/>
                <w:color w:val="000000"/>
                <w:sz w:val="21"/>
                <w:szCs w:val="21"/>
              </w:rPr>
              <w:t>2</w:t>
            </w:r>
          </w:p>
        </w:tc>
      </w:tr>
      <w:tr w14:paraId="26D2616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1C0F27A7">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5F2CBAE1">
            <w:pPr>
              <w:widowControl/>
              <w:wordWrap w:val="0"/>
              <w:autoSpaceDE w:val="0"/>
              <w:autoSpaceDN w:val="0"/>
              <w:jc w:val="center"/>
              <w:rPr>
                <w:rFonts w:ascii="Calibri" w:hAnsi="Calibri"/>
                <w:sz w:val="21"/>
                <w:szCs w:val="21"/>
                <w:lang w:eastAsia="en-US"/>
              </w:rPr>
            </w:pPr>
            <w:r>
              <w:rPr>
                <w:rFonts w:ascii="宋体" w:hAnsi="宋体"/>
                <w:color w:val="000000"/>
                <w:sz w:val="21"/>
                <w:szCs w:val="21"/>
              </w:rPr>
              <w:t>沉渣桶</w:t>
            </w:r>
          </w:p>
        </w:tc>
        <w:tc>
          <w:tcPr>
            <w:tcW w:w="3800" w:type="dxa"/>
            <w:tcBorders>
              <w:top w:val="single" w:color="auto" w:sz="4" w:space="0"/>
              <w:left w:val="single" w:color="auto" w:sz="4" w:space="0"/>
              <w:bottom w:val="single" w:color="auto" w:sz="4" w:space="0"/>
              <w:right w:val="single" w:color="auto" w:sz="4" w:space="0"/>
            </w:tcBorders>
            <w:vAlign w:val="center"/>
          </w:tcPr>
          <w:p w14:paraId="575F3ACA">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待定</w:t>
            </w:r>
          </w:p>
        </w:tc>
        <w:tc>
          <w:tcPr>
            <w:tcW w:w="1468" w:type="dxa"/>
            <w:tcBorders>
              <w:top w:val="single" w:color="auto" w:sz="4" w:space="0"/>
              <w:left w:val="single" w:color="auto" w:sz="4" w:space="0"/>
              <w:bottom w:val="single" w:color="auto" w:sz="4" w:space="0"/>
              <w:right w:val="single" w:color="auto" w:sz="4" w:space="0"/>
            </w:tcBorders>
            <w:vAlign w:val="center"/>
          </w:tcPr>
          <w:p w14:paraId="284AF644">
            <w:pPr>
              <w:widowControl/>
              <w:wordWrap w:val="0"/>
              <w:autoSpaceDE w:val="0"/>
              <w:autoSpaceDN w:val="0"/>
              <w:jc w:val="center"/>
              <w:rPr>
                <w:rFonts w:ascii="Calibri" w:hAnsi="Calibri"/>
                <w:sz w:val="21"/>
                <w:szCs w:val="21"/>
              </w:rPr>
            </w:pPr>
            <w:r>
              <w:rPr>
                <w:rFonts w:ascii="宋体" w:hAnsi="宋体"/>
                <w:color w:val="000000"/>
                <w:sz w:val="21"/>
                <w:szCs w:val="21"/>
              </w:rPr>
              <w:t>2</w:t>
            </w:r>
          </w:p>
        </w:tc>
      </w:tr>
      <w:tr w14:paraId="029BBD53">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A389B5C">
            <w:pPr>
              <w:widowControl/>
              <w:jc w:val="center"/>
              <w:rPr>
                <w:rFonts w:ascii="Calibri" w:hAnsi="Calibri"/>
                <w:sz w:val="21"/>
                <w:szCs w:val="21"/>
              </w:rPr>
            </w:pPr>
            <w:r>
              <w:rPr>
                <w:rFonts w:hint="eastAsia" w:ascii="Calibri" w:hAnsi="Calibri"/>
                <w:sz w:val="21"/>
                <w:szCs w:val="21"/>
              </w:rPr>
              <w:t>11</w:t>
            </w:r>
          </w:p>
        </w:tc>
        <w:tc>
          <w:tcPr>
            <w:tcW w:w="2140" w:type="dxa"/>
            <w:tcBorders>
              <w:top w:val="single" w:color="auto" w:sz="4" w:space="0"/>
              <w:left w:val="single" w:color="auto" w:sz="4" w:space="0"/>
              <w:bottom w:val="single" w:color="auto" w:sz="4" w:space="0"/>
              <w:right w:val="single" w:color="auto" w:sz="4" w:space="0"/>
            </w:tcBorders>
            <w:vAlign w:val="center"/>
          </w:tcPr>
          <w:p w14:paraId="509ABA5F">
            <w:pPr>
              <w:widowControl/>
              <w:wordWrap w:val="0"/>
              <w:autoSpaceDE w:val="0"/>
              <w:autoSpaceDN w:val="0"/>
              <w:jc w:val="center"/>
              <w:rPr>
                <w:rFonts w:ascii="宋体" w:hAnsi="宋体"/>
                <w:color w:val="000000"/>
                <w:sz w:val="21"/>
                <w:szCs w:val="21"/>
              </w:rPr>
            </w:pPr>
            <w:r>
              <w:rPr>
                <w:rFonts w:hint="eastAsia" w:ascii="Calibri" w:hAnsi="Calibri"/>
                <w:sz w:val="21"/>
                <w:szCs w:val="21"/>
              </w:rPr>
              <w:t>中浓贮浆塔</w:t>
            </w:r>
          </w:p>
        </w:tc>
        <w:tc>
          <w:tcPr>
            <w:tcW w:w="3800" w:type="dxa"/>
            <w:tcBorders>
              <w:top w:val="single" w:color="auto" w:sz="4" w:space="0"/>
              <w:left w:val="single" w:color="auto" w:sz="4" w:space="0"/>
              <w:bottom w:val="single" w:color="auto" w:sz="4" w:space="0"/>
              <w:right w:val="single" w:color="auto" w:sz="4" w:space="0"/>
            </w:tcBorders>
            <w:vAlign w:val="center"/>
          </w:tcPr>
          <w:p w14:paraId="77686335">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材质：复合钢板 S</w:t>
            </w:r>
            <w:r>
              <w:rPr>
                <w:rFonts w:ascii="Times New Roman" w:hAnsi="Times New Roman"/>
                <w:color w:val="000000"/>
                <w:sz w:val="21"/>
                <w:szCs w:val="21"/>
              </w:rPr>
              <w:t>S304L+CS</w:t>
            </w:r>
          </w:p>
        </w:tc>
        <w:tc>
          <w:tcPr>
            <w:tcW w:w="1468" w:type="dxa"/>
            <w:tcBorders>
              <w:top w:val="single" w:color="auto" w:sz="4" w:space="0"/>
              <w:left w:val="single" w:color="auto" w:sz="4" w:space="0"/>
              <w:bottom w:val="single" w:color="auto" w:sz="4" w:space="0"/>
              <w:right w:val="single" w:color="auto" w:sz="4" w:space="0"/>
            </w:tcBorders>
            <w:vAlign w:val="center"/>
          </w:tcPr>
          <w:p w14:paraId="73FE6638">
            <w:pPr>
              <w:widowControl/>
              <w:wordWrap w:val="0"/>
              <w:autoSpaceDE w:val="0"/>
              <w:autoSpaceDN w:val="0"/>
              <w:jc w:val="center"/>
              <w:rPr>
                <w:rFonts w:ascii="宋体" w:hAnsi="宋体"/>
                <w:color w:val="000000"/>
                <w:sz w:val="21"/>
                <w:szCs w:val="21"/>
              </w:rPr>
            </w:pPr>
            <w:r>
              <w:rPr>
                <w:rFonts w:hint="eastAsia" w:ascii="宋体" w:hAnsi="宋体"/>
                <w:color w:val="000000"/>
                <w:sz w:val="21"/>
                <w:szCs w:val="21"/>
              </w:rPr>
              <w:t>1</w:t>
            </w:r>
          </w:p>
        </w:tc>
      </w:tr>
      <w:tr w14:paraId="288ED78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F8A1F2C">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35A7BD8F">
            <w:pPr>
              <w:widowControl/>
              <w:wordWrap w:val="0"/>
              <w:autoSpaceDE w:val="0"/>
              <w:autoSpaceDN w:val="0"/>
              <w:jc w:val="center"/>
              <w:rPr>
                <w:rFonts w:ascii="宋体" w:hAnsi="宋体"/>
                <w:color w:val="000000"/>
                <w:sz w:val="21"/>
                <w:szCs w:val="21"/>
              </w:rPr>
            </w:pPr>
            <w:r>
              <w:rPr>
                <w:rFonts w:ascii="宋体" w:hAnsi="宋体"/>
                <w:color w:val="000000"/>
                <w:sz w:val="21"/>
                <w:szCs w:val="21"/>
              </w:rPr>
              <w:t>附搅拌器</w:t>
            </w:r>
          </w:p>
        </w:tc>
        <w:tc>
          <w:tcPr>
            <w:tcW w:w="3800" w:type="dxa"/>
            <w:tcBorders>
              <w:top w:val="single" w:color="auto" w:sz="4" w:space="0"/>
              <w:left w:val="single" w:color="auto" w:sz="4" w:space="0"/>
              <w:bottom w:val="single" w:color="auto" w:sz="4" w:space="0"/>
              <w:right w:val="single" w:color="auto" w:sz="4" w:space="0"/>
            </w:tcBorders>
            <w:vAlign w:val="center"/>
          </w:tcPr>
          <w:p w14:paraId="78667FF6">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59AFD10D">
            <w:pPr>
              <w:widowControl/>
              <w:wordWrap w:val="0"/>
              <w:autoSpaceDE w:val="0"/>
              <w:autoSpaceDN w:val="0"/>
              <w:jc w:val="center"/>
              <w:rPr>
                <w:rFonts w:ascii="宋体" w:hAnsi="宋体"/>
                <w:color w:val="000000"/>
                <w:sz w:val="21"/>
                <w:szCs w:val="21"/>
              </w:rPr>
            </w:pPr>
            <w:r>
              <w:rPr>
                <w:rFonts w:hint="eastAsia" w:ascii="宋体" w:hAnsi="宋体"/>
                <w:color w:val="000000"/>
                <w:sz w:val="21"/>
                <w:szCs w:val="21"/>
              </w:rPr>
              <w:t>1</w:t>
            </w:r>
          </w:p>
        </w:tc>
      </w:tr>
      <w:tr w14:paraId="3538EE5B">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544A3AD4">
            <w:pPr>
              <w:widowControl/>
              <w:wordWrap w:val="0"/>
              <w:autoSpaceDE w:val="0"/>
              <w:autoSpaceDN w:val="0"/>
              <w:jc w:val="center"/>
              <w:rPr>
                <w:rFonts w:ascii="Calibri" w:hAnsi="Calibri"/>
                <w:sz w:val="21"/>
                <w:szCs w:val="21"/>
              </w:rPr>
            </w:pPr>
            <w:r>
              <w:rPr>
                <w:rFonts w:ascii="宋体" w:hAnsi="宋体"/>
                <w:b/>
                <w:color w:val="000000"/>
                <w:spacing w:val="2"/>
                <w:sz w:val="21"/>
                <w:szCs w:val="21"/>
              </w:rPr>
              <w:t>四</w:t>
            </w:r>
            <w:r>
              <w:rPr>
                <w:rFonts w:ascii="宋体" w:hAnsi="宋体"/>
                <w:b/>
                <w:color w:val="000000"/>
                <w:sz w:val="21"/>
                <w:szCs w:val="21"/>
              </w:rPr>
              <w:t>、热交换器</w:t>
            </w:r>
          </w:p>
        </w:tc>
        <w:tc>
          <w:tcPr>
            <w:tcW w:w="2140" w:type="dxa"/>
            <w:tcBorders>
              <w:top w:val="single" w:color="auto" w:sz="4" w:space="0"/>
              <w:left w:val="single" w:color="auto" w:sz="4" w:space="0"/>
              <w:bottom w:val="single" w:color="auto" w:sz="4" w:space="0"/>
              <w:right w:val="single" w:color="auto" w:sz="4" w:space="0"/>
            </w:tcBorders>
            <w:vAlign w:val="center"/>
          </w:tcPr>
          <w:p w14:paraId="38A887D1">
            <w:pPr>
              <w:widowControl/>
              <w:jc w:val="center"/>
              <w:rPr>
                <w:rFonts w:ascii="Calibri" w:hAnsi="Calibri"/>
                <w:sz w:val="21"/>
                <w:szCs w:val="21"/>
                <w:lang w:eastAsia="en-US"/>
              </w:rPr>
            </w:pPr>
          </w:p>
        </w:tc>
        <w:tc>
          <w:tcPr>
            <w:tcW w:w="3800" w:type="dxa"/>
            <w:tcBorders>
              <w:top w:val="single" w:color="auto" w:sz="4" w:space="0"/>
              <w:left w:val="single" w:color="auto" w:sz="4" w:space="0"/>
              <w:bottom w:val="single" w:color="auto" w:sz="4" w:space="0"/>
              <w:right w:val="single" w:color="auto" w:sz="4" w:space="0"/>
            </w:tcBorders>
            <w:vAlign w:val="center"/>
          </w:tcPr>
          <w:p w14:paraId="7A22048C">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6A18E9A5">
            <w:pPr>
              <w:widowControl/>
              <w:jc w:val="center"/>
              <w:rPr>
                <w:rFonts w:ascii="Calibri" w:hAnsi="Calibri"/>
                <w:sz w:val="21"/>
                <w:szCs w:val="21"/>
              </w:rPr>
            </w:pPr>
          </w:p>
        </w:tc>
      </w:tr>
      <w:tr w14:paraId="0F2F41B4">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2300A7C">
            <w:pPr>
              <w:widowControl/>
              <w:wordWrap w:val="0"/>
              <w:autoSpaceDE w:val="0"/>
              <w:autoSpaceDN w:val="0"/>
              <w:jc w:val="center"/>
              <w:rPr>
                <w:rFonts w:ascii="Calibri" w:hAnsi="Calibri"/>
                <w:sz w:val="21"/>
                <w:szCs w:val="21"/>
              </w:rPr>
            </w:pPr>
            <w:r>
              <w:rPr>
                <w:rFonts w:ascii="宋体" w:hAnsi="宋体"/>
                <w:color w:val="000000"/>
                <w:sz w:val="21"/>
                <w:szCs w:val="21"/>
              </w:rPr>
              <w:t>11</w:t>
            </w:r>
          </w:p>
        </w:tc>
        <w:tc>
          <w:tcPr>
            <w:tcW w:w="2140" w:type="dxa"/>
            <w:tcBorders>
              <w:top w:val="single" w:color="auto" w:sz="4" w:space="0"/>
              <w:left w:val="single" w:color="auto" w:sz="4" w:space="0"/>
              <w:bottom w:val="single" w:color="auto" w:sz="4" w:space="0"/>
              <w:right w:val="single" w:color="auto" w:sz="4" w:space="0"/>
            </w:tcBorders>
            <w:vAlign w:val="center"/>
          </w:tcPr>
          <w:p w14:paraId="7249ADFE">
            <w:pPr>
              <w:widowControl/>
              <w:wordWrap w:val="0"/>
              <w:autoSpaceDE w:val="0"/>
              <w:autoSpaceDN w:val="0"/>
              <w:jc w:val="center"/>
              <w:rPr>
                <w:sz w:val="21"/>
                <w:szCs w:val="21"/>
              </w:rPr>
            </w:pPr>
            <w:r>
              <w:rPr>
                <w:rFonts w:ascii="宋体" w:hAnsi="宋体"/>
                <w:color w:val="000000"/>
                <w:sz w:val="21"/>
                <w:szCs w:val="21"/>
              </w:rPr>
              <w:t>蒸煮锅蒸汽分</w:t>
            </w:r>
          </w:p>
          <w:p w14:paraId="13CC3B9E">
            <w:pPr>
              <w:widowControl/>
              <w:wordWrap w:val="0"/>
              <w:autoSpaceDE w:val="0"/>
              <w:autoSpaceDN w:val="0"/>
              <w:jc w:val="center"/>
              <w:rPr>
                <w:rFonts w:ascii="Calibri" w:hAnsi="Calibri"/>
                <w:sz w:val="21"/>
                <w:szCs w:val="21"/>
                <w:lang w:eastAsia="en-US"/>
              </w:rPr>
            </w:pPr>
            <w:r>
              <w:rPr>
                <w:rFonts w:ascii="宋体" w:hAnsi="宋体"/>
                <w:color w:val="000000"/>
                <w:sz w:val="21"/>
                <w:szCs w:val="21"/>
              </w:rPr>
              <w:t>布器</w:t>
            </w:r>
          </w:p>
        </w:tc>
        <w:tc>
          <w:tcPr>
            <w:tcW w:w="3800" w:type="dxa"/>
            <w:tcBorders>
              <w:top w:val="single" w:color="auto" w:sz="4" w:space="0"/>
              <w:left w:val="single" w:color="auto" w:sz="4" w:space="0"/>
              <w:bottom w:val="single" w:color="auto" w:sz="4" w:space="0"/>
              <w:right w:val="single" w:color="auto" w:sz="4" w:space="0"/>
            </w:tcBorders>
            <w:vAlign w:val="center"/>
          </w:tcPr>
          <w:p w14:paraId="6AFCFEE9">
            <w:pPr>
              <w:widowControl/>
              <w:wordWrap w:val="0"/>
              <w:autoSpaceDE w:val="0"/>
              <w:autoSpaceDN w:val="0"/>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5DFCDF0A">
            <w:pPr>
              <w:widowControl/>
              <w:wordWrap w:val="0"/>
              <w:autoSpaceDE w:val="0"/>
              <w:autoSpaceDN w:val="0"/>
              <w:jc w:val="center"/>
              <w:rPr>
                <w:rFonts w:ascii="Calibri" w:hAnsi="Calibri"/>
                <w:sz w:val="21"/>
                <w:szCs w:val="21"/>
              </w:rPr>
            </w:pPr>
            <w:r>
              <w:rPr>
                <w:rFonts w:hint="eastAsia"/>
                <w:sz w:val="21"/>
                <w:szCs w:val="21"/>
              </w:rPr>
              <w:t>6</w:t>
            </w:r>
          </w:p>
        </w:tc>
      </w:tr>
      <w:tr w14:paraId="1FFC7B5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55993F2F">
            <w:pPr>
              <w:widowControl/>
              <w:wordWrap w:val="0"/>
              <w:autoSpaceDE w:val="0"/>
              <w:autoSpaceDN w:val="0"/>
              <w:jc w:val="center"/>
              <w:rPr>
                <w:rFonts w:ascii="Calibri" w:hAnsi="Calibri"/>
                <w:sz w:val="21"/>
                <w:szCs w:val="21"/>
              </w:rPr>
            </w:pPr>
            <w:r>
              <w:rPr>
                <w:rFonts w:ascii="宋体" w:hAnsi="宋体"/>
                <w:color w:val="000000"/>
                <w:sz w:val="21"/>
                <w:szCs w:val="21"/>
              </w:rPr>
              <w:t>12</w:t>
            </w:r>
          </w:p>
        </w:tc>
        <w:tc>
          <w:tcPr>
            <w:tcW w:w="2140" w:type="dxa"/>
            <w:tcBorders>
              <w:top w:val="single" w:color="auto" w:sz="4" w:space="0"/>
              <w:left w:val="single" w:color="auto" w:sz="4" w:space="0"/>
              <w:bottom w:val="single" w:color="auto" w:sz="4" w:space="0"/>
              <w:right w:val="single" w:color="auto" w:sz="4" w:space="0"/>
            </w:tcBorders>
            <w:vAlign w:val="center"/>
          </w:tcPr>
          <w:p w14:paraId="7552F463">
            <w:pPr>
              <w:widowControl/>
              <w:wordWrap w:val="0"/>
              <w:autoSpaceDE w:val="0"/>
              <w:autoSpaceDN w:val="0"/>
              <w:jc w:val="center"/>
              <w:rPr>
                <w:rFonts w:ascii="Calibri" w:hAnsi="Calibri"/>
                <w:sz w:val="21"/>
                <w:szCs w:val="21"/>
                <w:lang w:eastAsia="en-US"/>
              </w:rPr>
            </w:pPr>
            <w:r>
              <w:rPr>
                <w:rFonts w:ascii="宋体" w:hAnsi="宋体"/>
                <w:color w:val="000000"/>
                <w:sz w:val="21"/>
                <w:szCs w:val="21"/>
              </w:rPr>
              <w:t>黑液冷却器</w:t>
            </w:r>
          </w:p>
        </w:tc>
        <w:tc>
          <w:tcPr>
            <w:tcW w:w="3800" w:type="dxa"/>
            <w:tcBorders>
              <w:top w:val="single" w:color="auto" w:sz="4" w:space="0"/>
              <w:left w:val="single" w:color="auto" w:sz="4" w:space="0"/>
              <w:bottom w:val="single" w:color="auto" w:sz="4" w:space="0"/>
              <w:right w:val="single" w:color="auto" w:sz="4" w:space="0"/>
            </w:tcBorders>
            <w:vAlign w:val="center"/>
          </w:tcPr>
          <w:p w14:paraId="03D8706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结构</w:t>
            </w:r>
            <w:r>
              <w:rPr>
                <w:rFonts w:ascii="Times New Roman" w:hAnsi="Times New Roman"/>
                <w:color w:val="000000"/>
                <w:spacing w:val="-9"/>
                <w:sz w:val="21"/>
                <w:szCs w:val="21"/>
              </w:rPr>
              <w:t>：</w:t>
            </w:r>
            <w:r>
              <w:rPr>
                <w:rFonts w:ascii="Times New Roman" w:hAnsi="Times New Roman"/>
                <w:color w:val="000000"/>
                <w:sz w:val="21"/>
                <w:szCs w:val="21"/>
              </w:rPr>
              <w:t>列管式</w:t>
            </w:r>
            <w:r>
              <w:rPr>
                <w:rFonts w:hint="eastAsia" w:ascii="Times New Roman" w:hAnsi="Times New Roman"/>
                <w:color w:val="000000"/>
                <w:sz w:val="21"/>
                <w:szCs w:val="21"/>
              </w:rPr>
              <w:t>。</w:t>
            </w:r>
            <w:r>
              <w:rPr>
                <w:rFonts w:ascii="Times New Roman" w:hAnsi="Times New Roman"/>
                <w:color w:val="000000"/>
                <w:sz w:val="21"/>
                <w:szCs w:val="21"/>
              </w:rPr>
              <w:t>换热面积</w:t>
            </w:r>
            <w:r>
              <w:rPr>
                <w:rFonts w:hint="eastAsia" w:ascii="Times New Roman" w:hAnsi="Times New Roman"/>
                <w:color w:val="000000"/>
                <w:sz w:val="21"/>
                <w:szCs w:val="21"/>
              </w:rPr>
              <w:t>及尺寸</w:t>
            </w:r>
            <w:r>
              <w:rPr>
                <w:rFonts w:ascii="Times New Roman" w:hAnsi="Times New Roman"/>
                <w:color w:val="000000"/>
                <w:spacing w:val="-9"/>
                <w:sz w:val="21"/>
                <w:szCs w:val="21"/>
              </w:rPr>
              <w:t>：</w:t>
            </w:r>
            <w:r>
              <w:rPr>
                <w:rFonts w:hint="eastAsia" w:ascii="Times New Roman" w:hAnsi="Times New Roman"/>
                <w:color w:val="000000"/>
                <w:spacing w:val="-9"/>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68C6BC37">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2DD4DB9C">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1F6DE62">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546881A">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5F2A208A">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材质：管程</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SS3</w:t>
            </w:r>
            <w:r>
              <w:rPr>
                <w:rFonts w:hint="eastAsia" w:ascii="Times New Roman" w:hAnsi="Times New Roman"/>
                <w:color w:val="000000"/>
                <w:sz w:val="21"/>
                <w:szCs w:val="21"/>
              </w:rPr>
              <w:t>16</w:t>
            </w:r>
            <w:r>
              <w:rPr>
                <w:rFonts w:ascii="Times New Roman" w:hAnsi="Times New Roman"/>
                <w:color w:val="000000"/>
                <w:sz w:val="21"/>
                <w:szCs w:val="21"/>
              </w:rPr>
              <w:t>L，壳程</w:t>
            </w:r>
            <w:r>
              <w:rPr>
                <w:rFonts w:ascii="Times New Roman" w:hAnsi="Times New Roman" w:eastAsia="Times New Roman"/>
                <w:color w:val="000000"/>
                <w:spacing w:val="-1"/>
                <w:sz w:val="21"/>
                <w:szCs w:val="21"/>
              </w:rPr>
              <w:t xml:space="preserve"> </w:t>
            </w:r>
            <w:r>
              <w:rPr>
                <w:rFonts w:ascii="Times New Roman" w:hAnsi="Times New Roman"/>
                <w:color w:val="000000"/>
                <w:spacing w:val="-1"/>
                <w:sz w:val="21"/>
                <w:szCs w:val="21"/>
              </w:rPr>
              <w:t>304</w:t>
            </w:r>
          </w:p>
        </w:tc>
        <w:tc>
          <w:tcPr>
            <w:tcW w:w="1468" w:type="dxa"/>
            <w:tcBorders>
              <w:top w:val="single" w:color="auto" w:sz="4" w:space="0"/>
              <w:left w:val="single" w:color="auto" w:sz="4" w:space="0"/>
              <w:bottom w:val="single" w:color="auto" w:sz="4" w:space="0"/>
              <w:right w:val="single" w:color="auto" w:sz="4" w:space="0"/>
            </w:tcBorders>
            <w:vAlign w:val="center"/>
          </w:tcPr>
          <w:p w14:paraId="6BB91EB2">
            <w:pPr>
              <w:widowControl/>
              <w:jc w:val="center"/>
              <w:rPr>
                <w:rFonts w:ascii="Calibri" w:hAnsi="Calibri"/>
                <w:sz w:val="21"/>
                <w:szCs w:val="21"/>
              </w:rPr>
            </w:pPr>
          </w:p>
        </w:tc>
      </w:tr>
      <w:tr w14:paraId="455F6E88">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D08B1B8">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FD51624">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7E330F0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腐蚀裕度：管程</w:t>
            </w:r>
            <w:r>
              <w:rPr>
                <w:rFonts w:ascii="Times New Roman" w:hAnsi="Times New Roman" w:eastAsia="Times New Roman"/>
                <w:color w:val="000000"/>
                <w:sz w:val="21"/>
                <w:szCs w:val="21"/>
              </w:rPr>
              <w:t xml:space="preserve"> </w:t>
            </w:r>
            <w:r>
              <w:rPr>
                <w:rFonts w:ascii="Times New Roman" w:hAnsi="Times New Roman"/>
                <w:color w:val="000000"/>
                <w:sz w:val="21"/>
                <w:szCs w:val="21"/>
              </w:rPr>
              <w:t>1mm，壳程</w:t>
            </w:r>
            <w:r>
              <w:rPr>
                <w:rFonts w:ascii="Times New Roman" w:hAnsi="Times New Roman" w:eastAsia="Times New Roman"/>
                <w:color w:val="000000"/>
                <w:spacing w:val="-1"/>
                <w:sz w:val="21"/>
                <w:szCs w:val="21"/>
              </w:rPr>
              <w:t xml:space="preserve"> </w:t>
            </w:r>
            <w:r>
              <w:rPr>
                <w:rFonts w:ascii="Times New Roman" w:hAnsi="Times New Roman"/>
                <w:color w:val="000000"/>
                <w:spacing w:val="-1"/>
                <w:sz w:val="21"/>
                <w:szCs w:val="21"/>
              </w:rPr>
              <w:t>1</w:t>
            </w:r>
            <w:r>
              <w:rPr>
                <w:rFonts w:ascii="Times New Roman" w:hAnsi="Times New Roman"/>
                <w:color w:val="000000"/>
                <w:sz w:val="21"/>
                <w:szCs w:val="21"/>
              </w:rPr>
              <w:t>mm</w:t>
            </w:r>
          </w:p>
        </w:tc>
        <w:tc>
          <w:tcPr>
            <w:tcW w:w="1468" w:type="dxa"/>
            <w:tcBorders>
              <w:top w:val="single" w:color="auto" w:sz="4" w:space="0"/>
              <w:left w:val="single" w:color="auto" w:sz="4" w:space="0"/>
              <w:bottom w:val="single" w:color="auto" w:sz="4" w:space="0"/>
              <w:right w:val="single" w:color="auto" w:sz="4" w:space="0"/>
            </w:tcBorders>
            <w:vAlign w:val="center"/>
          </w:tcPr>
          <w:p w14:paraId="2D7D43AC">
            <w:pPr>
              <w:widowControl/>
              <w:jc w:val="center"/>
              <w:rPr>
                <w:rFonts w:ascii="Calibri" w:hAnsi="Calibri"/>
                <w:sz w:val="21"/>
                <w:szCs w:val="21"/>
              </w:rPr>
            </w:pPr>
          </w:p>
        </w:tc>
      </w:tr>
      <w:tr w14:paraId="2B18F1DE">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27CF24DD">
            <w:pPr>
              <w:widowControl/>
              <w:wordWrap w:val="0"/>
              <w:autoSpaceDE w:val="0"/>
              <w:autoSpaceDN w:val="0"/>
              <w:jc w:val="center"/>
              <w:rPr>
                <w:rFonts w:ascii="Calibri" w:hAnsi="Calibri"/>
                <w:sz w:val="21"/>
                <w:szCs w:val="21"/>
              </w:rPr>
            </w:pPr>
            <w:r>
              <w:rPr>
                <w:rFonts w:ascii="宋体" w:hAnsi="宋体"/>
                <w:color w:val="000000"/>
                <w:sz w:val="21"/>
                <w:szCs w:val="21"/>
              </w:rPr>
              <w:t>13</w:t>
            </w:r>
          </w:p>
        </w:tc>
        <w:tc>
          <w:tcPr>
            <w:tcW w:w="2140" w:type="dxa"/>
            <w:tcBorders>
              <w:top w:val="single" w:color="auto" w:sz="4" w:space="0"/>
              <w:left w:val="single" w:color="auto" w:sz="4" w:space="0"/>
              <w:bottom w:val="single" w:color="auto" w:sz="4" w:space="0"/>
              <w:right w:val="single" w:color="auto" w:sz="4" w:space="0"/>
            </w:tcBorders>
            <w:vAlign w:val="center"/>
          </w:tcPr>
          <w:p w14:paraId="3AEAB2F5">
            <w:pPr>
              <w:widowControl/>
              <w:wordWrap w:val="0"/>
              <w:autoSpaceDE w:val="0"/>
              <w:autoSpaceDN w:val="0"/>
              <w:jc w:val="center"/>
              <w:rPr>
                <w:rFonts w:ascii="Calibri" w:hAnsi="Calibri"/>
                <w:sz w:val="21"/>
                <w:szCs w:val="21"/>
                <w:lang w:eastAsia="en-US"/>
              </w:rPr>
            </w:pPr>
            <w:r>
              <w:rPr>
                <w:rFonts w:ascii="宋体" w:hAnsi="宋体"/>
                <w:color w:val="000000"/>
                <w:w w:val="101"/>
                <w:sz w:val="21"/>
                <w:szCs w:val="21"/>
              </w:rPr>
              <w:t>1</w:t>
            </w:r>
            <w:r>
              <w:rPr>
                <w:rFonts w:ascii="宋体" w:hAnsi="宋体"/>
                <w:color w:val="000000"/>
                <w:sz w:val="21"/>
                <w:szCs w:val="21"/>
              </w:rPr>
              <w:t>#白液预热器</w:t>
            </w:r>
          </w:p>
        </w:tc>
        <w:tc>
          <w:tcPr>
            <w:tcW w:w="3800" w:type="dxa"/>
            <w:tcBorders>
              <w:top w:val="single" w:color="auto" w:sz="4" w:space="0"/>
              <w:left w:val="single" w:color="auto" w:sz="4" w:space="0"/>
              <w:bottom w:val="single" w:color="auto" w:sz="4" w:space="0"/>
              <w:right w:val="single" w:color="auto" w:sz="4" w:space="0"/>
            </w:tcBorders>
            <w:vAlign w:val="center"/>
          </w:tcPr>
          <w:p w14:paraId="0E7D663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结构</w:t>
            </w:r>
            <w:r>
              <w:rPr>
                <w:rFonts w:ascii="Times New Roman" w:hAnsi="Times New Roman"/>
                <w:color w:val="000000"/>
                <w:spacing w:val="-9"/>
                <w:sz w:val="21"/>
                <w:szCs w:val="21"/>
              </w:rPr>
              <w:t>：</w:t>
            </w:r>
            <w:r>
              <w:rPr>
                <w:rFonts w:ascii="Times New Roman" w:hAnsi="Times New Roman"/>
                <w:color w:val="000000"/>
                <w:sz w:val="21"/>
                <w:szCs w:val="21"/>
              </w:rPr>
              <w:t>列管式</w:t>
            </w:r>
            <w:r>
              <w:rPr>
                <w:rFonts w:hint="eastAsia" w:ascii="Times New Roman" w:hAnsi="Times New Roman"/>
                <w:color w:val="000000"/>
                <w:sz w:val="21"/>
                <w:szCs w:val="21"/>
              </w:rPr>
              <w:t>。</w:t>
            </w:r>
            <w:r>
              <w:rPr>
                <w:rFonts w:ascii="Times New Roman" w:hAnsi="Times New Roman"/>
                <w:color w:val="000000"/>
                <w:sz w:val="21"/>
                <w:szCs w:val="21"/>
              </w:rPr>
              <w:t>换热面积</w:t>
            </w:r>
            <w:r>
              <w:rPr>
                <w:rFonts w:hint="eastAsia" w:ascii="Times New Roman" w:hAnsi="Times New Roman"/>
                <w:color w:val="000000"/>
                <w:sz w:val="21"/>
                <w:szCs w:val="21"/>
              </w:rPr>
              <w:t>及尺寸</w:t>
            </w:r>
            <w:r>
              <w:rPr>
                <w:rFonts w:ascii="Times New Roman" w:hAnsi="Times New Roman"/>
                <w:color w:val="000000"/>
                <w:spacing w:val="-9"/>
                <w:sz w:val="21"/>
                <w:szCs w:val="21"/>
              </w:rPr>
              <w:t>：</w:t>
            </w:r>
            <w:r>
              <w:rPr>
                <w:rFonts w:hint="eastAsia" w:ascii="Times New Roman" w:hAnsi="Times New Roman"/>
                <w:color w:val="000000"/>
                <w:spacing w:val="-9"/>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111E901C">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30499E4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5F804592">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321E4309">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63ADB835">
            <w:pPr>
              <w:widowControl/>
              <w:wordWrap w:val="0"/>
              <w:autoSpaceDE w:val="0"/>
              <w:autoSpaceDN w:val="0"/>
              <w:jc w:val="center"/>
              <w:rPr>
                <w:rFonts w:ascii="Times New Roman" w:hAnsi="Times New Roman"/>
                <w:sz w:val="21"/>
                <w:szCs w:val="21"/>
                <w:highlight w:val="yellow"/>
              </w:rPr>
            </w:pPr>
            <w:r>
              <w:rPr>
                <w:rFonts w:ascii="Times New Roman" w:hAnsi="Times New Roman"/>
                <w:color w:val="000000"/>
                <w:sz w:val="21"/>
                <w:szCs w:val="21"/>
              </w:rPr>
              <w:t>材质：</w:t>
            </w:r>
            <w:r>
              <w:rPr>
                <w:rFonts w:hint="eastAsia" w:ascii="Times New Roman" w:hAnsi="Times New Roman"/>
                <w:color w:val="000000"/>
                <w:sz w:val="21"/>
                <w:szCs w:val="21"/>
              </w:rPr>
              <w:t>管壳程材料均选用316L材料，壳程介质为白液</w:t>
            </w:r>
          </w:p>
        </w:tc>
        <w:tc>
          <w:tcPr>
            <w:tcW w:w="1468" w:type="dxa"/>
            <w:tcBorders>
              <w:top w:val="single" w:color="auto" w:sz="4" w:space="0"/>
              <w:left w:val="single" w:color="auto" w:sz="4" w:space="0"/>
              <w:bottom w:val="single" w:color="auto" w:sz="4" w:space="0"/>
              <w:right w:val="single" w:color="auto" w:sz="4" w:space="0"/>
            </w:tcBorders>
            <w:vAlign w:val="center"/>
          </w:tcPr>
          <w:p w14:paraId="162F0675">
            <w:pPr>
              <w:widowControl/>
              <w:jc w:val="center"/>
              <w:rPr>
                <w:rFonts w:ascii="Calibri" w:hAnsi="Calibri"/>
                <w:sz w:val="21"/>
                <w:szCs w:val="21"/>
              </w:rPr>
            </w:pPr>
          </w:p>
        </w:tc>
      </w:tr>
      <w:tr w14:paraId="2CD2AB83">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CB3DECC">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11F208A6">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5EC089F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腐蚀裕度：管程</w:t>
            </w:r>
            <w:r>
              <w:rPr>
                <w:rFonts w:ascii="Times New Roman" w:hAnsi="Times New Roman" w:eastAsia="Times New Roman"/>
                <w:color w:val="000000"/>
                <w:sz w:val="21"/>
                <w:szCs w:val="21"/>
              </w:rPr>
              <w:t xml:space="preserve"> </w:t>
            </w:r>
            <w:r>
              <w:rPr>
                <w:rFonts w:ascii="Times New Roman" w:hAnsi="Times New Roman"/>
                <w:color w:val="000000"/>
                <w:sz w:val="21"/>
                <w:szCs w:val="21"/>
              </w:rPr>
              <w:t>1mm，壳程</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1mm</w:t>
            </w:r>
          </w:p>
        </w:tc>
        <w:tc>
          <w:tcPr>
            <w:tcW w:w="1468" w:type="dxa"/>
            <w:tcBorders>
              <w:top w:val="single" w:color="auto" w:sz="4" w:space="0"/>
              <w:left w:val="single" w:color="auto" w:sz="4" w:space="0"/>
              <w:bottom w:val="single" w:color="auto" w:sz="4" w:space="0"/>
              <w:right w:val="single" w:color="auto" w:sz="4" w:space="0"/>
            </w:tcBorders>
            <w:vAlign w:val="center"/>
          </w:tcPr>
          <w:p w14:paraId="7BFDE403">
            <w:pPr>
              <w:widowControl/>
              <w:jc w:val="center"/>
              <w:rPr>
                <w:rFonts w:ascii="Calibri" w:hAnsi="Calibri"/>
                <w:sz w:val="21"/>
                <w:szCs w:val="21"/>
              </w:rPr>
            </w:pPr>
          </w:p>
        </w:tc>
      </w:tr>
      <w:tr w14:paraId="096ACEC0">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432745B">
            <w:pPr>
              <w:widowControl/>
              <w:wordWrap w:val="0"/>
              <w:autoSpaceDE w:val="0"/>
              <w:autoSpaceDN w:val="0"/>
              <w:jc w:val="center"/>
              <w:rPr>
                <w:rFonts w:ascii="Calibri" w:hAnsi="Calibri"/>
                <w:sz w:val="21"/>
                <w:szCs w:val="21"/>
              </w:rPr>
            </w:pPr>
            <w:r>
              <w:rPr>
                <w:rFonts w:ascii="宋体" w:hAnsi="宋体"/>
                <w:color w:val="000000"/>
                <w:sz w:val="21"/>
                <w:szCs w:val="21"/>
              </w:rPr>
              <w:t>14</w:t>
            </w:r>
          </w:p>
        </w:tc>
        <w:tc>
          <w:tcPr>
            <w:tcW w:w="2140" w:type="dxa"/>
            <w:tcBorders>
              <w:top w:val="single" w:color="auto" w:sz="4" w:space="0"/>
              <w:left w:val="single" w:color="auto" w:sz="4" w:space="0"/>
              <w:bottom w:val="single" w:color="auto" w:sz="4" w:space="0"/>
              <w:right w:val="single" w:color="auto" w:sz="4" w:space="0"/>
            </w:tcBorders>
            <w:vAlign w:val="center"/>
          </w:tcPr>
          <w:p w14:paraId="335DB8E9">
            <w:pPr>
              <w:widowControl/>
              <w:wordWrap w:val="0"/>
              <w:autoSpaceDE w:val="0"/>
              <w:autoSpaceDN w:val="0"/>
              <w:jc w:val="center"/>
              <w:rPr>
                <w:rFonts w:ascii="Calibri" w:hAnsi="Calibri"/>
                <w:sz w:val="21"/>
                <w:szCs w:val="21"/>
                <w:lang w:eastAsia="en-US"/>
              </w:rPr>
            </w:pPr>
            <w:r>
              <w:rPr>
                <w:rFonts w:ascii="宋体" w:hAnsi="宋体"/>
                <w:color w:val="000000"/>
                <w:w w:val="101"/>
                <w:sz w:val="21"/>
                <w:szCs w:val="21"/>
              </w:rPr>
              <w:t>2</w:t>
            </w:r>
            <w:r>
              <w:rPr>
                <w:rFonts w:ascii="宋体" w:hAnsi="宋体"/>
                <w:color w:val="000000"/>
                <w:sz w:val="21"/>
                <w:szCs w:val="21"/>
              </w:rPr>
              <w:t>#白液预热器</w:t>
            </w:r>
          </w:p>
        </w:tc>
        <w:tc>
          <w:tcPr>
            <w:tcW w:w="3800" w:type="dxa"/>
            <w:tcBorders>
              <w:top w:val="single" w:color="auto" w:sz="4" w:space="0"/>
              <w:left w:val="single" w:color="auto" w:sz="4" w:space="0"/>
              <w:bottom w:val="single" w:color="auto" w:sz="4" w:space="0"/>
              <w:right w:val="single" w:color="auto" w:sz="4" w:space="0"/>
            </w:tcBorders>
            <w:vAlign w:val="center"/>
          </w:tcPr>
          <w:p w14:paraId="779C2BA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结构</w:t>
            </w:r>
            <w:r>
              <w:rPr>
                <w:rFonts w:ascii="Times New Roman" w:hAnsi="Times New Roman"/>
                <w:color w:val="000000"/>
                <w:spacing w:val="-9"/>
                <w:sz w:val="21"/>
                <w:szCs w:val="21"/>
              </w:rPr>
              <w:t>：</w:t>
            </w:r>
            <w:r>
              <w:rPr>
                <w:rFonts w:ascii="Times New Roman" w:hAnsi="Times New Roman"/>
                <w:color w:val="000000"/>
                <w:sz w:val="21"/>
                <w:szCs w:val="21"/>
              </w:rPr>
              <w:t>列管式</w:t>
            </w:r>
            <w:r>
              <w:rPr>
                <w:rFonts w:hint="eastAsia" w:ascii="Times New Roman" w:hAnsi="Times New Roman"/>
                <w:color w:val="000000"/>
                <w:w w:val="101"/>
                <w:sz w:val="21"/>
                <w:szCs w:val="21"/>
              </w:rPr>
              <w:t>，</w:t>
            </w:r>
            <w:r>
              <w:rPr>
                <w:rFonts w:ascii="Times New Roman" w:hAnsi="Times New Roman"/>
                <w:color w:val="000000"/>
                <w:sz w:val="21"/>
                <w:szCs w:val="21"/>
              </w:rPr>
              <w:t>换热面积</w:t>
            </w:r>
            <w:r>
              <w:rPr>
                <w:rFonts w:hint="eastAsia" w:ascii="Times New Roman" w:hAnsi="Times New Roman"/>
                <w:color w:val="000000"/>
                <w:sz w:val="21"/>
                <w:szCs w:val="21"/>
              </w:rPr>
              <w:t>及尺寸</w:t>
            </w:r>
            <w:r>
              <w:rPr>
                <w:rFonts w:ascii="Times New Roman" w:hAnsi="Times New Roman"/>
                <w:color w:val="000000"/>
                <w:spacing w:val="-9"/>
                <w:sz w:val="21"/>
                <w:szCs w:val="21"/>
              </w:rPr>
              <w:t>：</w:t>
            </w:r>
            <w:r>
              <w:rPr>
                <w:rFonts w:hint="eastAsia" w:ascii="Times New Roman" w:hAnsi="Times New Roman"/>
                <w:color w:val="000000"/>
                <w:spacing w:val="-9"/>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6C621968">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4AB17D6C">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10B430D3">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2AAEFEFC">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7A1BEED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w:t>
            </w:r>
            <w:r>
              <w:rPr>
                <w:rFonts w:hint="eastAsia" w:ascii="Times New Roman" w:hAnsi="Times New Roman"/>
                <w:color w:val="000000"/>
                <w:sz w:val="21"/>
                <w:szCs w:val="21"/>
              </w:rPr>
              <w:t>管壳程材料均选用316L材料，壳程介质为白液</w:t>
            </w:r>
          </w:p>
        </w:tc>
        <w:tc>
          <w:tcPr>
            <w:tcW w:w="1468" w:type="dxa"/>
            <w:tcBorders>
              <w:top w:val="single" w:color="auto" w:sz="4" w:space="0"/>
              <w:left w:val="single" w:color="auto" w:sz="4" w:space="0"/>
              <w:bottom w:val="single" w:color="auto" w:sz="4" w:space="0"/>
              <w:right w:val="single" w:color="auto" w:sz="4" w:space="0"/>
            </w:tcBorders>
            <w:vAlign w:val="center"/>
          </w:tcPr>
          <w:p w14:paraId="3D6CBAD3">
            <w:pPr>
              <w:widowControl/>
              <w:jc w:val="center"/>
              <w:rPr>
                <w:rFonts w:ascii="Calibri" w:hAnsi="Calibri"/>
                <w:sz w:val="21"/>
                <w:szCs w:val="21"/>
              </w:rPr>
            </w:pPr>
          </w:p>
        </w:tc>
      </w:tr>
      <w:tr w14:paraId="2C2F6F09">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6A77E97">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200D3478">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348F8AEA">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腐蚀裕度：管程</w:t>
            </w:r>
            <w:r>
              <w:rPr>
                <w:rFonts w:ascii="Times New Roman" w:hAnsi="Times New Roman" w:eastAsia="Times New Roman"/>
                <w:color w:val="000000"/>
                <w:sz w:val="21"/>
                <w:szCs w:val="21"/>
              </w:rPr>
              <w:t xml:space="preserve"> </w:t>
            </w:r>
            <w:r>
              <w:rPr>
                <w:rFonts w:ascii="Times New Roman" w:hAnsi="Times New Roman"/>
                <w:color w:val="000000"/>
                <w:sz w:val="21"/>
                <w:szCs w:val="21"/>
              </w:rPr>
              <w:t>1mm，壳程</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1mm</w:t>
            </w:r>
          </w:p>
        </w:tc>
        <w:tc>
          <w:tcPr>
            <w:tcW w:w="1468" w:type="dxa"/>
            <w:tcBorders>
              <w:top w:val="single" w:color="auto" w:sz="4" w:space="0"/>
              <w:left w:val="single" w:color="auto" w:sz="4" w:space="0"/>
              <w:bottom w:val="single" w:color="auto" w:sz="4" w:space="0"/>
              <w:right w:val="single" w:color="auto" w:sz="4" w:space="0"/>
            </w:tcBorders>
            <w:vAlign w:val="center"/>
          </w:tcPr>
          <w:p w14:paraId="3FD0E7C5">
            <w:pPr>
              <w:widowControl/>
              <w:jc w:val="center"/>
              <w:rPr>
                <w:rFonts w:ascii="Calibri" w:hAnsi="Calibri"/>
                <w:sz w:val="21"/>
                <w:szCs w:val="21"/>
              </w:rPr>
            </w:pPr>
          </w:p>
        </w:tc>
      </w:tr>
      <w:tr w14:paraId="30FA4FA9">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78EAB95">
            <w:pPr>
              <w:widowControl/>
              <w:wordWrap w:val="0"/>
              <w:autoSpaceDE w:val="0"/>
              <w:autoSpaceDN w:val="0"/>
              <w:jc w:val="center"/>
              <w:rPr>
                <w:rFonts w:ascii="Calibri" w:hAnsi="Calibri"/>
                <w:sz w:val="21"/>
                <w:szCs w:val="21"/>
              </w:rPr>
            </w:pPr>
            <w:r>
              <w:rPr>
                <w:rFonts w:ascii="宋体" w:hAnsi="宋体"/>
                <w:color w:val="000000"/>
                <w:sz w:val="21"/>
                <w:szCs w:val="21"/>
              </w:rPr>
              <w:t>15</w:t>
            </w:r>
          </w:p>
        </w:tc>
        <w:tc>
          <w:tcPr>
            <w:tcW w:w="2140" w:type="dxa"/>
            <w:tcBorders>
              <w:top w:val="single" w:color="auto" w:sz="4" w:space="0"/>
              <w:left w:val="single" w:color="auto" w:sz="4" w:space="0"/>
              <w:bottom w:val="single" w:color="auto" w:sz="4" w:space="0"/>
              <w:right w:val="single" w:color="auto" w:sz="4" w:space="0"/>
            </w:tcBorders>
            <w:vAlign w:val="center"/>
          </w:tcPr>
          <w:p w14:paraId="04C4E21F">
            <w:pPr>
              <w:widowControl/>
              <w:wordWrap w:val="0"/>
              <w:autoSpaceDE w:val="0"/>
              <w:autoSpaceDN w:val="0"/>
              <w:jc w:val="center"/>
              <w:rPr>
                <w:rFonts w:ascii="Calibri" w:hAnsi="Calibri"/>
                <w:sz w:val="21"/>
                <w:szCs w:val="21"/>
                <w:lang w:eastAsia="en-US"/>
              </w:rPr>
            </w:pPr>
            <w:r>
              <w:rPr>
                <w:rFonts w:ascii="宋体" w:hAnsi="宋体"/>
                <w:color w:val="000000"/>
                <w:sz w:val="21"/>
                <w:szCs w:val="21"/>
              </w:rPr>
              <w:t>白液加热器</w:t>
            </w:r>
          </w:p>
        </w:tc>
        <w:tc>
          <w:tcPr>
            <w:tcW w:w="3800" w:type="dxa"/>
            <w:tcBorders>
              <w:top w:val="single" w:color="auto" w:sz="4" w:space="0"/>
              <w:left w:val="single" w:color="auto" w:sz="4" w:space="0"/>
              <w:bottom w:val="single" w:color="auto" w:sz="4" w:space="0"/>
              <w:right w:val="single" w:color="auto" w:sz="4" w:space="0"/>
            </w:tcBorders>
            <w:vAlign w:val="center"/>
          </w:tcPr>
          <w:p w14:paraId="2B8498C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结构</w:t>
            </w:r>
            <w:r>
              <w:rPr>
                <w:rFonts w:ascii="Times New Roman" w:hAnsi="Times New Roman"/>
                <w:color w:val="000000"/>
                <w:spacing w:val="-9"/>
                <w:sz w:val="21"/>
                <w:szCs w:val="21"/>
              </w:rPr>
              <w:t>：</w:t>
            </w:r>
            <w:r>
              <w:rPr>
                <w:rFonts w:ascii="Times New Roman" w:hAnsi="Times New Roman"/>
                <w:color w:val="000000"/>
                <w:sz w:val="21"/>
                <w:szCs w:val="21"/>
              </w:rPr>
              <w:t>列管式</w:t>
            </w:r>
            <w:r>
              <w:rPr>
                <w:rFonts w:hint="eastAsia" w:ascii="Times New Roman" w:hAnsi="Times New Roman"/>
                <w:color w:val="000000"/>
                <w:w w:val="101"/>
                <w:sz w:val="21"/>
                <w:szCs w:val="21"/>
              </w:rPr>
              <w:t>，</w:t>
            </w:r>
            <w:r>
              <w:rPr>
                <w:rFonts w:ascii="Times New Roman" w:hAnsi="Times New Roman"/>
                <w:color w:val="000000"/>
                <w:sz w:val="21"/>
                <w:szCs w:val="21"/>
              </w:rPr>
              <w:t>换热面积</w:t>
            </w:r>
            <w:r>
              <w:rPr>
                <w:rFonts w:hint="eastAsia" w:ascii="Times New Roman" w:hAnsi="Times New Roman"/>
                <w:color w:val="000000"/>
                <w:sz w:val="21"/>
                <w:szCs w:val="21"/>
              </w:rPr>
              <w:t>及尺寸</w:t>
            </w:r>
            <w:r>
              <w:rPr>
                <w:rFonts w:ascii="Times New Roman" w:hAnsi="Times New Roman"/>
                <w:color w:val="000000"/>
                <w:spacing w:val="-9"/>
                <w:sz w:val="21"/>
                <w:szCs w:val="21"/>
              </w:rPr>
              <w:t>：</w:t>
            </w:r>
            <w:r>
              <w:rPr>
                <w:rFonts w:hint="eastAsia" w:ascii="Times New Roman" w:hAnsi="Times New Roman"/>
                <w:color w:val="000000"/>
                <w:spacing w:val="-9"/>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764EEBC9">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23EE0B6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D663DB9">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39EA7529">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396106B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材质：管程</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SS2205，壳程304L</w:t>
            </w:r>
            <w:r>
              <w:rPr>
                <w:rFonts w:hint="eastAsia" w:ascii="Times New Roman" w:hAnsi="Times New Roman"/>
                <w:color w:val="000000"/>
                <w:sz w:val="21"/>
                <w:szCs w:val="21"/>
              </w:rPr>
              <w:t>以上材料</w:t>
            </w:r>
          </w:p>
        </w:tc>
        <w:tc>
          <w:tcPr>
            <w:tcW w:w="1468" w:type="dxa"/>
            <w:tcBorders>
              <w:top w:val="single" w:color="auto" w:sz="4" w:space="0"/>
              <w:left w:val="single" w:color="auto" w:sz="4" w:space="0"/>
              <w:bottom w:val="single" w:color="auto" w:sz="4" w:space="0"/>
              <w:right w:val="single" w:color="auto" w:sz="4" w:space="0"/>
            </w:tcBorders>
            <w:vAlign w:val="center"/>
          </w:tcPr>
          <w:p w14:paraId="0DF73DAD">
            <w:pPr>
              <w:widowControl/>
              <w:jc w:val="center"/>
              <w:rPr>
                <w:rFonts w:ascii="Calibri" w:hAnsi="Calibri"/>
                <w:sz w:val="21"/>
                <w:szCs w:val="21"/>
              </w:rPr>
            </w:pPr>
          </w:p>
        </w:tc>
      </w:tr>
      <w:tr w14:paraId="24B3B1F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9749DCA">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708E71F7">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0273B05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腐蚀裕度：管程</w:t>
            </w:r>
            <w:r>
              <w:rPr>
                <w:rFonts w:ascii="Times New Roman" w:hAnsi="Times New Roman" w:eastAsia="Times New Roman"/>
                <w:color w:val="000000"/>
                <w:sz w:val="21"/>
                <w:szCs w:val="21"/>
              </w:rPr>
              <w:t xml:space="preserve"> </w:t>
            </w:r>
            <w:r>
              <w:rPr>
                <w:rFonts w:ascii="Times New Roman" w:hAnsi="Times New Roman"/>
                <w:color w:val="000000"/>
                <w:sz w:val="21"/>
                <w:szCs w:val="21"/>
              </w:rPr>
              <w:t>1mm，壳程</w:t>
            </w:r>
            <w:r>
              <w:rPr>
                <w:rFonts w:ascii="Times New Roman" w:hAnsi="Times New Roman" w:eastAsia="Times New Roman"/>
                <w:color w:val="000000"/>
                <w:spacing w:val="-1"/>
                <w:sz w:val="21"/>
                <w:szCs w:val="21"/>
              </w:rPr>
              <w:t xml:space="preserve"> </w:t>
            </w:r>
            <w:r>
              <w:rPr>
                <w:rFonts w:ascii="Times New Roman" w:hAnsi="Times New Roman"/>
                <w:color w:val="000000"/>
                <w:spacing w:val="-1"/>
                <w:sz w:val="21"/>
                <w:szCs w:val="21"/>
              </w:rPr>
              <w:t>1</w:t>
            </w:r>
            <w:r>
              <w:rPr>
                <w:rFonts w:ascii="Times New Roman" w:hAnsi="Times New Roman"/>
                <w:color w:val="000000"/>
                <w:sz w:val="21"/>
                <w:szCs w:val="21"/>
              </w:rPr>
              <w:t>mm</w:t>
            </w:r>
          </w:p>
        </w:tc>
        <w:tc>
          <w:tcPr>
            <w:tcW w:w="1468" w:type="dxa"/>
            <w:tcBorders>
              <w:top w:val="single" w:color="auto" w:sz="4" w:space="0"/>
              <w:left w:val="single" w:color="auto" w:sz="4" w:space="0"/>
              <w:bottom w:val="single" w:color="auto" w:sz="4" w:space="0"/>
              <w:right w:val="single" w:color="auto" w:sz="4" w:space="0"/>
            </w:tcBorders>
            <w:vAlign w:val="center"/>
          </w:tcPr>
          <w:p w14:paraId="5DBAA46A">
            <w:pPr>
              <w:widowControl/>
              <w:jc w:val="center"/>
              <w:rPr>
                <w:rFonts w:ascii="Calibri" w:hAnsi="Calibri"/>
                <w:sz w:val="21"/>
                <w:szCs w:val="21"/>
              </w:rPr>
            </w:pPr>
          </w:p>
        </w:tc>
      </w:tr>
      <w:tr w14:paraId="573DDA33">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28257677">
            <w:pPr>
              <w:widowControl/>
              <w:wordWrap w:val="0"/>
              <w:autoSpaceDE w:val="0"/>
              <w:autoSpaceDN w:val="0"/>
              <w:jc w:val="center"/>
              <w:rPr>
                <w:rFonts w:ascii="Calibri" w:hAnsi="Calibri"/>
                <w:sz w:val="21"/>
                <w:szCs w:val="21"/>
              </w:rPr>
            </w:pPr>
            <w:r>
              <w:rPr>
                <w:rFonts w:ascii="宋体" w:hAnsi="宋体"/>
                <w:color w:val="000000"/>
                <w:sz w:val="21"/>
                <w:szCs w:val="21"/>
              </w:rPr>
              <w:t>16</w:t>
            </w:r>
          </w:p>
        </w:tc>
        <w:tc>
          <w:tcPr>
            <w:tcW w:w="2140" w:type="dxa"/>
            <w:tcBorders>
              <w:top w:val="single" w:color="auto" w:sz="4" w:space="0"/>
              <w:left w:val="single" w:color="auto" w:sz="4" w:space="0"/>
              <w:bottom w:val="single" w:color="auto" w:sz="4" w:space="0"/>
              <w:right w:val="single" w:color="auto" w:sz="4" w:space="0"/>
            </w:tcBorders>
            <w:vAlign w:val="center"/>
          </w:tcPr>
          <w:p w14:paraId="18F62E04">
            <w:pPr>
              <w:widowControl/>
              <w:wordWrap w:val="0"/>
              <w:autoSpaceDE w:val="0"/>
              <w:autoSpaceDN w:val="0"/>
              <w:jc w:val="center"/>
              <w:rPr>
                <w:rFonts w:ascii="Calibri" w:hAnsi="Calibri"/>
                <w:sz w:val="21"/>
                <w:szCs w:val="21"/>
                <w:lang w:eastAsia="en-US"/>
              </w:rPr>
            </w:pPr>
            <w:r>
              <w:rPr>
                <w:rFonts w:ascii="宋体" w:hAnsi="宋体"/>
                <w:color w:val="000000"/>
                <w:sz w:val="21"/>
                <w:szCs w:val="21"/>
              </w:rPr>
              <w:t>滤液冷却器</w:t>
            </w:r>
          </w:p>
        </w:tc>
        <w:tc>
          <w:tcPr>
            <w:tcW w:w="3800" w:type="dxa"/>
            <w:tcBorders>
              <w:top w:val="single" w:color="auto" w:sz="4" w:space="0"/>
              <w:left w:val="single" w:color="auto" w:sz="4" w:space="0"/>
              <w:bottom w:val="single" w:color="auto" w:sz="4" w:space="0"/>
              <w:right w:val="single" w:color="auto" w:sz="4" w:space="0"/>
            </w:tcBorders>
            <w:vAlign w:val="center"/>
          </w:tcPr>
          <w:p w14:paraId="21EB86B2">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结构</w:t>
            </w:r>
            <w:r>
              <w:rPr>
                <w:rFonts w:ascii="Times New Roman" w:hAnsi="Times New Roman"/>
                <w:color w:val="000000"/>
                <w:spacing w:val="-9"/>
                <w:sz w:val="21"/>
                <w:szCs w:val="21"/>
              </w:rPr>
              <w:t>：</w:t>
            </w:r>
            <w:r>
              <w:rPr>
                <w:rFonts w:ascii="Times New Roman" w:hAnsi="Times New Roman"/>
                <w:color w:val="000000"/>
                <w:sz w:val="21"/>
                <w:szCs w:val="21"/>
              </w:rPr>
              <w:t>列管式</w:t>
            </w:r>
            <w:r>
              <w:rPr>
                <w:rFonts w:hint="eastAsia" w:ascii="Times New Roman" w:hAnsi="Times New Roman"/>
                <w:color w:val="000000"/>
                <w:w w:val="101"/>
                <w:sz w:val="21"/>
                <w:szCs w:val="21"/>
              </w:rPr>
              <w:t>，</w:t>
            </w:r>
            <w:r>
              <w:rPr>
                <w:rFonts w:ascii="Times New Roman" w:hAnsi="Times New Roman"/>
                <w:color w:val="000000"/>
                <w:sz w:val="21"/>
                <w:szCs w:val="21"/>
              </w:rPr>
              <w:t>换热面积</w:t>
            </w:r>
            <w:r>
              <w:rPr>
                <w:rFonts w:hint="eastAsia" w:ascii="Times New Roman" w:hAnsi="Times New Roman"/>
                <w:color w:val="000000"/>
                <w:sz w:val="21"/>
                <w:szCs w:val="21"/>
              </w:rPr>
              <w:t>及尺寸</w:t>
            </w:r>
            <w:r>
              <w:rPr>
                <w:rFonts w:ascii="Times New Roman" w:hAnsi="Times New Roman"/>
                <w:color w:val="000000"/>
                <w:spacing w:val="-9"/>
                <w:sz w:val="21"/>
                <w:szCs w:val="21"/>
              </w:rPr>
              <w:t>：</w:t>
            </w:r>
            <w:r>
              <w:rPr>
                <w:rFonts w:hint="eastAsia" w:ascii="Times New Roman" w:hAnsi="Times New Roman"/>
                <w:color w:val="000000"/>
                <w:spacing w:val="-9"/>
                <w:sz w:val="21"/>
                <w:szCs w:val="21"/>
              </w:rPr>
              <w:t>按设计</w:t>
            </w:r>
          </w:p>
        </w:tc>
        <w:tc>
          <w:tcPr>
            <w:tcW w:w="1468" w:type="dxa"/>
            <w:tcBorders>
              <w:top w:val="single" w:color="auto" w:sz="4" w:space="0"/>
              <w:left w:val="single" w:color="auto" w:sz="4" w:space="0"/>
              <w:bottom w:val="single" w:color="auto" w:sz="4" w:space="0"/>
              <w:right w:val="single" w:color="auto" w:sz="4" w:space="0"/>
            </w:tcBorders>
            <w:vAlign w:val="center"/>
          </w:tcPr>
          <w:p w14:paraId="783AD1A4">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05BF8FEA">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CB11FD9">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4DCAA321">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1BE7C8C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材质：管程</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SS</w:t>
            </w:r>
            <w:r>
              <w:rPr>
                <w:rFonts w:hint="eastAsia" w:ascii="Times New Roman" w:hAnsi="Times New Roman"/>
                <w:color w:val="000000"/>
                <w:sz w:val="21"/>
                <w:szCs w:val="21"/>
              </w:rPr>
              <w:t>316L</w:t>
            </w:r>
            <w:r>
              <w:rPr>
                <w:rFonts w:ascii="Times New Roman" w:hAnsi="Times New Roman"/>
                <w:color w:val="000000"/>
                <w:sz w:val="21"/>
                <w:szCs w:val="21"/>
              </w:rPr>
              <w:t>，壳程</w:t>
            </w:r>
            <w:r>
              <w:rPr>
                <w:rFonts w:ascii="Times New Roman" w:hAnsi="Times New Roman" w:eastAsia="Times New Roman"/>
                <w:color w:val="000000"/>
                <w:spacing w:val="-1"/>
                <w:sz w:val="21"/>
                <w:szCs w:val="21"/>
              </w:rPr>
              <w:t xml:space="preserve"> </w:t>
            </w:r>
            <w:r>
              <w:rPr>
                <w:rFonts w:hint="eastAsia" w:ascii="Times New Roman" w:hAnsi="Times New Roman"/>
                <w:color w:val="000000"/>
                <w:spacing w:val="-1"/>
                <w:sz w:val="21"/>
                <w:szCs w:val="21"/>
              </w:rPr>
              <w:t>SS</w:t>
            </w:r>
            <w:r>
              <w:rPr>
                <w:rFonts w:ascii="Times New Roman" w:hAnsi="Times New Roman"/>
                <w:color w:val="000000"/>
                <w:spacing w:val="-1"/>
                <w:sz w:val="21"/>
                <w:szCs w:val="21"/>
              </w:rPr>
              <w:t>304</w:t>
            </w:r>
          </w:p>
        </w:tc>
        <w:tc>
          <w:tcPr>
            <w:tcW w:w="1468" w:type="dxa"/>
            <w:tcBorders>
              <w:top w:val="single" w:color="auto" w:sz="4" w:space="0"/>
              <w:left w:val="single" w:color="auto" w:sz="4" w:space="0"/>
              <w:bottom w:val="single" w:color="auto" w:sz="4" w:space="0"/>
              <w:right w:val="single" w:color="auto" w:sz="4" w:space="0"/>
            </w:tcBorders>
            <w:vAlign w:val="center"/>
          </w:tcPr>
          <w:p w14:paraId="334FFDD1">
            <w:pPr>
              <w:widowControl/>
              <w:jc w:val="center"/>
              <w:rPr>
                <w:rFonts w:ascii="Calibri" w:hAnsi="Calibri"/>
                <w:sz w:val="21"/>
                <w:szCs w:val="21"/>
              </w:rPr>
            </w:pPr>
          </w:p>
        </w:tc>
      </w:tr>
      <w:tr w14:paraId="1C52561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FAD3AE8">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0CE53913">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59CD94C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腐蚀裕度：管程</w:t>
            </w:r>
            <w:r>
              <w:rPr>
                <w:rFonts w:ascii="Times New Roman" w:hAnsi="Times New Roman" w:eastAsia="Times New Roman"/>
                <w:color w:val="000000"/>
                <w:sz w:val="21"/>
                <w:szCs w:val="21"/>
              </w:rPr>
              <w:t xml:space="preserve"> </w:t>
            </w:r>
            <w:r>
              <w:rPr>
                <w:rFonts w:ascii="Times New Roman" w:hAnsi="Times New Roman"/>
                <w:color w:val="000000"/>
                <w:sz w:val="21"/>
                <w:szCs w:val="21"/>
              </w:rPr>
              <w:t>1mm，壳程</w:t>
            </w:r>
            <w:r>
              <w:rPr>
                <w:rFonts w:ascii="Times New Roman" w:hAnsi="Times New Roman" w:eastAsia="Times New Roman"/>
                <w:color w:val="000000"/>
                <w:spacing w:val="-1"/>
                <w:sz w:val="21"/>
                <w:szCs w:val="21"/>
              </w:rPr>
              <w:t xml:space="preserve"> </w:t>
            </w:r>
            <w:r>
              <w:rPr>
                <w:rFonts w:ascii="Times New Roman" w:hAnsi="Times New Roman"/>
                <w:color w:val="000000"/>
                <w:spacing w:val="-1"/>
                <w:sz w:val="21"/>
                <w:szCs w:val="21"/>
              </w:rPr>
              <w:t>1</w:t>
            </w:r>
            <w:r>
              <w:rPr>
                <w:rFonts w:ascii="Times New Roman" w:hAnsi="Times New Roman"/>
                <w:color w:val="000000"/>
                <w:sz w:val="21"/>
                <w:szCs w:val="21"/>
              </w:rPr>
              <w:t>mm</w:t>
            </w:r>
          </w:p>
        </w:tc>
        <w:tc>
          <w:tcPr>
            <w:tcW w:w="1468" w:type="dxa"/>
            <w:tcBorders>
              <w:top w:val="single" w:color="auto" w:sz="4" w:space="0"/>
              <w:left w:val="single" w:color="auto" w:sz="4" w:space="0"/>
              <w:bottom w:val="single" w:color="auto" w:sz="4" w:space="0"/>
              <w:right w:val="single" w:color="auto" w:sz="4" w:space="0"/>
            </w:tcBorders>
            <w:vAlign w:val="center"/>
          </w:tcPr>
          <w:p w14:paraId="52B98BC7">
            <w:pPr>
              <w:widowControl/>
              <w:jc w:val="center"/>
              <w:rPr>
                <w:rFonts w:ascii="Calibri" w:hAnsi="Calibri"/>
                <w:sz w:val="21"/>
                <w:szCs w:val="21"/>
              </w:rPr>
            </w:pPr>
          </w:p>
        </w:tc>
      </w:tr>
      <w:tr w14:paraId="1B7C4C62">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85E4F22">
            <w:pPr>
              <w:widowControl/>
              <w:wordWrap w:val="0"/>
              <w:autoSpaceDE w:val="0"/>
              <w:autoSpaceDN w:val="0"/>
              <w:jc w:val="center"/>
              <w:rPr>
                <w:rFonts w:ascii="Calibri" w:hAnsi="Calibri"/>
                <w:sz w:val="21"/>
                <w:szCs w:val="21"/>
              </w:rPr>
            </w:pPr>
            <w:r>
              <w:rPr>
                <w:rFonts w:ascii="宋体" w:hAnsi="宋体"/>
                <w:color w:val="000000"/>
                <w:sz w:val="21"/>
                <w:szCs w:val="21"/>
              </w:rPr>
              <w:t>17</w:t>
            </w:r>
          </w:p>
        </w:tc>
        <w:tc>
          <w:tcPr>
            <w:tcW w:w="2140" w:type="dxa"/>
            <w:tcBorders>
              <w:top w:val="single" w:color="auto" w:sz="4" w:space="0"/>
              <w:left w:val="single" w:color="auto" w:sz="4" w:space="0"/>
              <w:bottom w:val="single" w:color="auto" w:sz="4" w:space="0"/>
              <w:right w:val="single" w:color="auto" w:sz="4" w:space="0"/>
            </w:tcBorders>
            <w:vAlign w:val="center"/>
          </w:tcPr>
          <w:p w14:paraId="2D864615">
            <w:pPr>
              <w:widowControl/>
              <w:wordWrap w:val="0"/>
              <w:autoSpaceDE w:val="0"/>
              <w:autoSpaceDN w:val="0"/>
              <w:jc w:val="center"/>
              <w:rPr>
                <w:rFonts w:ascii="Calibri" w:hAnsi="Calibri"/>
                <w:sz w:val="21"/>
                <w:szCs w:val="21"/>
                <w:lang w:eastAsia="en-US"/>
              </w:rPr>
            </w:pPr>
            <w:r>
              <w:rPr>
                <w:rFonts w:ascii="宋体" w:hAnsi="宋体"/>
                <w:color w:val="000000"/>
                <w:sz w:val="21"/>
                <w:szCs w:val="21"/>
              </w:rPr>
              <w:t>高浓臭气冷却器</w:t>
            </w:r>
          </w:p>
        </w:tc>
        <w:tc>
          <w:tcPr>
            <w:tcW w:w="3800" w:type="dxa"/>
            <w:tcBorders>
              <w:top w:val="single" w:color="auto" w:sz="4" w:space="0"/>
              <w:left w:val="single" w:color="auto" w:sz="4" w:space="0"/>
              <w:bottom w:val="single" w:color="auto" w:sz="4" w:space="0"/>
              <w:right w:val="single" w:color="auto" w:sz="4" w:space="0"/>
            </w:tcBorders>
            <w:vAlign w:val="center"/>
          </w:tcPr>
          <w:p w14:paraId="4F6064F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结构：列管式</w:t>
            </w:r>
            <w:r>
              <w:rPr>
                <w:rFonts w:hint="eastAsia" w:ascii="Times New Roman" w:hAnsi="Times New Roman"/>
                <w:color w:val="000000"/>
                <w:sz w:val="21"/>
                <w:szCs w:val="21"/>
              </w:rPr>
              <w:t>，</w:t>
            </w:r>
            <w:r>
              <w:rPr>
                <w:rFonts w:ascii="Times New Roman" w:hAnsi="Times New Roman"/>
                <w:color w:val="000000"/>
                <w:sz w:val="21"/>
                <w:szCs w:val="21"/>
              </w:rPr>
              <w:t>换热面积待定</w:t>
            </w:r>
          </w:p>
        </w:tc>
        <w:tc>
          <w:tcPr>
            <w:tcW w:w="1468" w:type="dxa"/>
            <w:tcBorders>
              <w:top w:val="single" w:color="auto" w:sz="4" w:space="0"/>
              <w:left w:val="single" w:color="auto" w:sz="4" w:space="0"/>
              <w:bottom w:val="single" w:color="auto" w:sz="4" w:space="0"/>
              <w:right w:val="single" w:color="auto" w:sz="4" w:space="0"/>
            </w:tcBorders>
            <w:vAlign w:val="center"/>
          </w:tcPr>
          <w:p w14:paraId="50653324">
            <w:pPr>
              <w:widowControl/>
              <w:wordWrap w:val="0"/>
              <w:autoSpaceDE w:val="0"/>
              <w:autoSpaceDN w:val="0"/>
              <w:jc w:val="center"/>
              <w:rPr>
                <w:rFonts w:ascii="Calibri" w:hAnsi="Calibri"/>
                <w:sz w:val="21"/>
                <w:szCs w:val="21"/>
              </w:rPr>
            </w:pPr>
            <w:r>
              <w:rPr>
                <w:rFonts w:ascii="宋体" w:hAnsi="宋体"/>
                <w:color w:val="000000"/>
                <w:sz w:val="21"/>
                <w:szCs w:val="21"/>
              </w:rPr>
              <w:t>2</w:t>
            </w:r>
          </w:p>
        </w:tc>
      </w:tr>
      <w:tr w14:paraId="6D96FD7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D04EF8D">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729FBD5B">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7438DED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材质：管程</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SS316L，壳程</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SS</w:t>
            </w:r>
            <w:r>
              <w:rPr>
                <w:rFonts w:ascii="Times New Roman" w:hAnsi="Times New Roman"/>
                <w:color w:val="000000"/>
                <w:spacing w:val="-1"/>
                <w:sz w:val="21"/>
                <w:szCs w:val="21"/>
              </w:rPr>
              <w:t>304</w:t>
            </w:r>
          </w:p>
        </w:tc>
        <w:tc>
          <w:tcPr>
            <w:tcW w:w="1468" w:type="dxa"/>
            <w:tcBorders>
              <w:top w:val="single" w:color="auto" w:sz="4" w:space="0"/>
              <w:left w:val="single" w:color="auto" w:sz="4" w:space="0"/>
              <w:bottom w:val="single" w:color="auto" w:sz="4" w:space="0"/>
              <w:right w:val="single" w:color="auto" w:sz="4" w:space="0"/>
            </w:tcBorders>
            <w:vAlign w:val="center"/>
          </w:tcPr>
          <w:p w14:paraId="00F9B548">
            <w:pPr>
              <w:widowControl/>
              <w:jc w:val="center"/>
              <w:rPr>
                <w:rFonts w:ascii="Calibri" w:hAnsi="Calibri"/>
                <w:sz w:val="21"/>
                <w:szCs w:val="21"/>
              </w:rPr>
            </w:pPr>
          </w:p>
        </w:tc>
      </w:tr>
      <w:tr w14:paraId="3239882E">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105A4196">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AA3A710">
            <w:pPr>
              <w:widowControl/>
              <w:jc w:val="center"/>
              <w:rPr>
                <w:rFonts w:ascii="Calibri" w:hAnsi="Calibri"/>
                <w:sz w:val="21"/>
                <w:szCs w:val="21"/>
                <w:lang w:eastAsia="en-US"/>
              </w:rPr>
            </w:pPr>
          </w:p>
        </w:tc>
        <w:tc>
          <w:tcPr>
            <w:tcW w:w="3800" w:type="dxa"/>
            <w:tcBorders>
              <w:top w:val="single" w:color="auto" w:sz="4" w:space="0"/>
              <w:left w:val="single" w:color="auto" w:sz="4" w:space="0"/>
              <w:bottom w:val="single" w:color="auto" w:sz="4" w:space="0"/>
              <w:right w:val="single" w:color="auto" w:sz="4" w:space="0"/>
            </w:tcBorders>
            <w:vAlign w:val="center"/>
          </w:tcPr>
          <w:p w14:paraId="57FDA34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腐蚀裕度：管程</w:t>
            </w:r>
            <w:r>
              <w:rPr>
                <w:rFonts w:ascii="Times New Roman" w:hAnsi="Times New Roman" w:eastAsia="Times New Roman"/>
                <w:color w:val="000000"/>
                <w:sz w:val="21"/>
                <w:szCs w:val="21"/>
              </w:rPr>
              <w:t xml:space="preserve"> </w:t>
            </w:r>
            <w:r>
              <w:rPr>
                <w:rFonts w:ascii="Times New Roman" w:hAnsi="Times New Roman"/>
                <w:color w:val="000000"/>
                <w:sz w:val="21"/>
                <w:szCs w:val="21"/>
              </w:rPr>
              <w:t>1mm，壳程</w:t>
            </w:r>
            <w:r>
              <w:rPr>
                <w:rFonts w:ascii="Times New Roman" w:hAnsi="Times New Roman" w:eastAsia="Times New Roman"/>
                <w:color w:val="000000"/>
                <w:spacing w:val="-1"/>
                <w:sz w:val="21"/>
                <w:szCs w:val="21"/>
              </w:rPr>
              <w:t xml:space="preserve"> </w:t>
            </w:r>
            <w:r>
              <w:rPr>
                <w:rFonts w:hint="eastAsia" w:ascii="Times New Roman" w:hAnsi="Times New Roman"/>
                <w:color w:val="000000"/>
                <w:spacing w:val="-1"/>
                <w:sz w:val="21"/>
                <w:szCs w:val="21"/>
              </w:rPr>
              <w:t>1</w:t>
            </w:r>
            <w:r>
              <w:rPr>
                <w:rFonts w:ascii="Times New Roman" w:hAnsi="Times New Roman"/>
                <w:color w:val="000000"/>
                <w:sz w:val="21"/>
                <w:szCs w:val="21"/>
              </w:rPr>
              <w:t>mm</w:t>
            </w:r>
          </w:p>
        </w:tc>
        <w:tc>
          <w:tcPr>
            <w:tcW w:w="1468" w:type="dxa"/>
            <w:tcBorders>
              <w:top w:val="single" w:color="auto" w:sz="4" w:space="0"/>
              <w:left w:val="single" w:color="auto" w:sz="4" w:space="0"/>
              <w:bottom w:val="single" w:color="auto" w:sz="4" w:space="0"/>
              <w:right w:val="single" w:color="auto" w:sz="4" w:space="0"/>
            </w:tcBorders>
            <w:vAlign w:val="center"/>
          </w:tcPr>
          <w:p w14:paraId="2F8581CA">
            <w:pPr>
              <w:widowControl/>
              <w:jc w:val="center"/>
              <w:rPr>
                <w:rFonts w:ascii="Calibri" w:hAnsi="Calibri"/>
                <w:sz w:val="21"/>
                <w:szCs w:val="21"/>
              </w:rPr>
            </w:pPr>
          </w:p>
        </w:tc>
      </w:tr>
      <w:tr w14:paraId="146493D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C9DD555">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4436D0D1">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504EF901">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以上换热器的规格尺寸程数及数量以最终设计参数为准</w:t>
            </w:r>
          </w:p>
        </w:tc>
        <w:tc>
          <w:tcPr>
            <w:tcW w:w="1468" w:type="dxa"/>
            <w:tcBorders>
              <w:top w:val="single" w:color="auto" w:sz="4" w:space="0"/>
              <w:left w:val="single" w:color="auto" w:sz="4" w:space="0"/>
              <w:bottom w:val="single" w:color="auto" w:sz="4" w:space="0"/>
              <w:right w:val="single" w:color="auto" w:sz="4" w:space="0"/>
            </w:tcBorders>
            <w:vAlign w:val="center"/>
          </w:tcPr>
          <w:p w14:paraId="68599948">
            <w:pPr>
              <w:widowControl/>
              <w:jc w:val="center"/>
              <w:rPr>
                <w:rFonts w:ascii="Calibri" w:hAnsi="Calibri"/>
                <w:sz w:val="21"/>
                <w:szCs w:val="21"/>
              </w:rPr>
            </w:pPr>
          </w:p>
        </w:tc>
      </w:tr>
      <w:tr w14:paraId="42BA1182">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F31EA75">
            <w:pPr>
              <w:widowControl/>
              <w:wordWrap w:val="0"/>
              <w:autoSpaceDE w:val="0"/>
              <w:autoSpaceDN w:val="0"/>
              <w:jc w:val="center"/>
              <w:rPr>
                <w:rFonts w:ascii="Calibri" w:hAnsi="Calibri"/>
                <w:sz w:val="21"/>
                <w:szCs w:val="21"/>
              </w:rPr>
            </w:pPr>
            <w:r>
              <w:rPr>
                <w:rFonts w:ascii="宋体" w:hAnsi="宋体"/>
                <w:b/>
                <w:color w:val="000000"/>
                <w:spacing w:val="2"/>
                <w:sz w:val="21"/>
                <w:szCs w:val="21"/>
              </w:rPr>
              <w:t>五</w:t>
            </w:r>
            <w:r>
              <w:rPr>
                <w:rFonts w:ascii="宋体" w:hAnsi="宋体"/>
                <w:b/>
                <w:color w:val="000000"/>
                <w:sz w:val="21"/>
                <w:szCs w:val="21"/>
              </w:rPr>
              <w:t>、工艺泵</w:t>
            </w:r>
          </w:p>
        </w:tc>
        <w:tc>
          <w:tcPr>
            <w:tcW w:w="2140" w:type="dxa"/>
            <w:tcBorders>
              <w:top w:val="single" w:color="auto" w:sz="4" w:space="0"/>
              <w:left w:val="single" w:color="auto" w:sz="4" w:space="0"/>
              <w:bottom w:val="single" w:color="auto" w:sz="4" w:space="0"/>
              <w:right w:val="single" w:color="auto" w:sz="4" w:space="0"/>
            </w:tcBorders>
            <w:vAlign w:val="center"/>
          </w:tcPr>
          <w:p w14:paraId="0495D018">
            <w:pPr>
              <w:widowControl/>
              <w:jc w:val="center"/>
              <w:rPr>
                <w:rFonts w:ascii="Calibri" w:hAnsi="Calibri"/>
                <w:sz w:val="21"/>
                <w:szCs w:val="21"/>
                <w:lang w:eastAsia="en-US"/>
              </w:rPr>
            </w:pPr>
          </w:p>
        </w:tc>
        <w:tc>
          <w:tcPr>
            <w:tcW w:w="3800" w:type="dxa"/>
            <w:tcBorders>
              <w:top w:val="single" w:color="auto" w:sz="4" w:space="0"/>
              <w:left w:val="single" w:color="auto" w:sz="4" w:space="0"/>
              <w:bottom w:val="single" w:color="auto" w:sz="4" w:space="0"/>
              <w:right w:val="single" w:color="auto" w:sz="4" w:space="0"/>
            </w:tcBorders>
            <w:vAlign w:val="center"/>
          </w:tcPr>
          <w:p w14:paraId="28A2608E">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4CD2ED1D">
            <w:pPr>
              <w:widowControl/>
              <w:jc w:val="center"/>
              <w:rPr>
                <w:rFonts w:ascii="Calibri" w:hAnsi="Calibri"/>
                <w:sz w:val="21"/>
                <w:szCs w:val="21"/>
              </w:rPr>
            </w:pPr>
          </w:p>
        </w:tc>
      </w:tr>
      <w:tr w14:paraId="6E608DC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11D37B26">
            <w:pPr>
              <w:widowControl/>
              <w:wordWrap w:val="0"/>
              <w:autoSpaceDE w:val="0"/>
              <w:autoSpaceDN w:val="0"/>
              <w:jc w:val="center"/>
              <w:rPr>
                <w:rFonts w:ascii="Calibri" w:hAnsi="Calibri"/>
                <w:sz w:val="21"/>
                <w:szCs w:val="21"/>
              </w:rPr>
            </w:pPr>
            <w:r>
              <w:rPr>
                <w:rFonts w:ascii="宋体" w:hAnsi="宋体"/>
                <w:color w:val="000000"/>
                <w:sz w:val="21"/>
                <w:szCs w:val="21"/>
              </w:rPr>
              <w:t>18</w:t>
            </w:r>
          </w:p>
        </w:tc>
        <w:tc>
          <w:tcPr>
            <w:tcW w:w="2140" w:type="dxa"/>
            <w:tcBorders>
              <w:top w:val="single" w:color="auto" w:sz="4" w:space="0"/>
              <w:left w:val="single" w:color="auto" w:sz="4" w:space="0"/>
              <w:bottom w:val="single" w:color="auto" w:sz="4" w:space="0"/>
              <w:right w:val="single" w:color="auto" w:sz="4" w:space="0"/>
            </w:tcBorders>
            <w:vAlign w:val="center"/>
          </w:tcPr>
          <w:p w14:paraId="0B4DA81F">
            <w:pPr>
              <w:widowControl/>
              <w:wordWrap w:val="0"/>
              <w:autoSpaceDE w:val="0"/>
              <w:autoSpaceDN w:val="0"/>
              <w:jc w:val="center"/>
              <w:rPr>
                <w:rFonts w:ascii="Calibri" w:hAnsi="Calibri"/>
                <w:sz w:val="21"/>
                <w:szCs w:val="21"/>
                <w:lang w:eastAsia="en-US"/>
              </w:rPr>
            </w:pPr>
            <w:r>
              <w:rPr>
                <w:rFonts w:ascii="宋体" w:hAnsi="宋体"/>
                <w:color w:val="000000"/>
                <w:sz w:val="21"/>
                <w:szCs w:val="21"/>
              </w:rPr>
              <w:t>蒸煮锅循环泵</w:t>
            </w:r>
          </w:p>
        </w:tc>
        <w:tc>
          <w:tcPr>
            <w:tcW w:w="3800" w:type="dxa"/>
            <w:tcBorders>
              <w:top w:val="single" w:color="auto" w:sz="4" w:space="0"/>
              <w:left w:val="single" w:color="auto" w:sz="4" w:space="0"/>
              <w:bottom w:val="single" w:color="auto" w:sz="4" w:space="0"/>
              <w:right w:val="single" w:color="auto" w:sz="4" w:space="0"/>
            </w:tcBorders>
            <w:vAlign w:val="center"/>
          </w:tcPr>
          <w:p w14:paraId="221B40E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与介质接触部分材质：双相钢，泵的设计制造压力等级不低于PN40。</w:t>
            </w:r>
          </w:p>
        </w:tc>
        <w:tc>
          <w:tcPr>
            <w:tcW w:w="1468" w:type="dxa"/>
            <w:tcBorders>
              <w:top w:val="single" w:color="auto" w:sz="4" w:space="0"/>
              <w:left w:val="single" w:color="auto" w:sz="4" w:space="0"/>
              <w:bottom w:val="single" w:color="auto" w:sz="4" w:space="0"/>
              <w:right w:val="single" w:color="auto" w:sz="4" w:space="0"/>
            </w:tcBorders>
            <w:vAlign w:val="center"/>
          </w:tcPr>
          <w:p w14:paraId="09BFB5A6">
            <w:pPr>
              <w:widowControl/>
              <w:wordWrap w:val="0"/>
              <w:autoSpaceDE w:val="0"/>
              <w:autoSpaceDN w:val="0"/>
              <w:jc w:val="center"/>
              <w:rPr>
                <w:rFonts w:ascii="Calibri" w:hAnsi="Calibri"/>
                <w:sz w:val="21"/>
                <w:szCs w:val="21"/>
              </w:rPr>
            </w:pPr>
            <w:r>
              <w:rPr>
                <w:rFonts w:hint="eastAsia"/>
                <w:sz w:val="21"/>
                <w:szCs w:val="21"/>
              </w:rPr>
              <w:t>6</w:t>
            </w:r>
          </w:p>
        </w:tc>
      </w:tr>
      <w:tr w14:paraId="30DD0890">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B00E079">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C112F02">
            <w:pPr>
              <w:widowControl/>
              <w:wordWrap w:val="0"/>
              <w:autoSpaceDE w:val="0"/>
              <w:autoSpaceDN w:val="0"/>
              <w:jc w:val="center"/>
              <w:rPr>
                <w:rFonts w:ascii="Calibri" w:hAnsi="Calibri"/>
                <w:sz w:val="21"/>
                <w:szCs w:val="21"/>
                <w:lang w:eastAsia="en-US"/>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3C3222BE">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4245D776">
            <w:pPr>
              <w:widowControl/>
              <w:wordWrap w:val="0"/>
              <w:autoSpaceDE w:val="0"/>
              <w:autoSpaceDN w:val="0"/>
              <w:jc w:val="center"/>
              <w:rPr>
                <w:rFonts w:ascii="Calibri" w:hAnsi="Calibri"/>
                <w:sz w:val="21"/>
                <w:szCs w:val="21"/>
              </w:rPr>
            </w:pPr>
            <w:r>
              <w:rPr>
                <w:rFonts w:hint="eastAsia"/>
                <w:sz w:val="21"/>
                <w:szCs w:val="21"/>
              </w:rPr>
              <w:t>6</w:t>
            </w:r>
          </w:p>
        </w:tc>
      </w:tr>
      <w:tr w14:paraId="1C8FF71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AE191A1">
            <w:pPr>
              <w:widowControl/>
              <w:wordWrap w:val="0"/>
              <w:autoSpaceDE w:val="0"/>
              <w:autoSpaceDN w:val="0"/>
              <w:jc w:val="center"/>
              <w:rPr>
                <w:rFonts w:ascii="Calibri" w:hAnsi="Calibri"/>
                <w:sz w:val="21"/>
                <w:szCs w:val="21"/>
              </w:rPr>
            </w:pPr>
            <w:r>
              <w:rPr>
                <w:rFonts w:ascii="宋体" w:hAnsi="宋体"/>
                <w:color w:val="000000"/>
                <w:sz w:val="21"/>
                <w:szCs w:val="21"/>
              </w:rPr>
              <w:t>19</w:t>
            </w:r>
          </w:p>
        </w:tc>
        <w:tc>
          <w:tcPr>
            <w:tcW w:w="2140" w:type="dxa"/>
            <w:tcBorders>
              <w:top w:val="single" w:color="auto" w:sz="4" w:space="0"/>
              <w:left w:val="single" w:color="auto" w:sz="4" w:space="0"/>
              <w:bottom w:val="single" w:color="auto" w:sz="4" w:space="0"/>
              <w:right w:val="single" w:color="auto" w:sz="4" w:space="0"/>
            </w:tcBorders>
            <w:vAlign w:val="center"/>
          </w:tcPr>
          <w:p w14:paraId="1DDAE139">
            <w:pPr>
              <w:widowControl/>
              <w:wordWrap w:val="0"/>
              <w:autoSpaceDE w:val="0"/>
              <w:autoSpaceDN w:val="0"/>
              <w:jc w:val="center"/>
              <w:rPr>
                <w:rFonts w:ascii="Calibri" w:hAnsi="Calibri"/>
                <w:sz w:val="21"/>
                <w:szCs w:val="21"/>
                <w:lang w:eastAsia="en-US"/>
              </w:rPr>
            </w:pPr>
            <w:r>
              <w:rPr>
                <w:rFonts w:ascii="宋体" w:hAnsi="宋体"/>
                <w:color w:val="000000"/>
                <w:sz w:val="21"/>
                <w:szCs w:val="21"/>
              </w:rPr>
              <w:t>冷充泵</w:t>
            </w:r>
          </w:p>
        </w:tc>
        <w:tc>
          <w:tcPr>
            <w:tcW w:w="3800" w:type="dxa"/>
            <w:tcBorders>
              <w:top w:val="single" w:color="auto" w:sz="4" w:space="0"/>
              <w:left w:val="single" w:color="auto" w:sz="4" w:space="0"/>
              <w:bottom w:val="single" w:color="auto" w:sz="4" w:space="0"/>
              <w:right w:val="single" w:color="auto" w:sz="4" w:space="0"/>
            </w:tcBorders>
            <w:vAlign w:val="center"/>
          </w:tcPr>
          <w:p w14:paraId="429CE8C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与液体接触部分材质：SS304L以上级别不锈钢</w:t>
            </w:r>
          </w:p>
        </w:tc>
        <w:tc>
          <w:tcPr>
            <w:tcW w:w="1468" w:type="dxa"/>
            <w:tcBorders>
              <w:top w:val="single" w:color="auto" w:sz="4" w:space="0"/>
              <w:left w:val="single" w:color="auto" w:sz="4" w:space="0"/>
              <w:bottom w:val="single" w:color="auto" w:sz="4" w:space="0"/>
              <w:right w:val="single" w:color="auto" w:sz="4" w:space="0"/>
            </w:tcBorders>
            <w:vAlign w:val="center"/>
          </w:tcPr>
          <w:p w14:paraId="089804CB">
            <w:pPr>
              <w:widowControl/>
              <w:wordWrap w:val="0"/>
              <w:autoSpaceDE w:val="0"/>
              <w:autoSpaceDN w:val="0"/>
              <w:jc w:val="center"/>
              <w:rPr>
                <w:rFonts w:ascii="Calibri" w:hAnsi="Calibri"/>
                <w:sz w:val="21"/>
                <w:szCs w:val="21"/>
              </w:rPr>
            </w:pPr>
            <w:r>
              <w:rPr>
                <w:rFonts w:ascii="宋体" w:hAnsi="宋体"/>
                <w:color w:val="000000"/>
                <w:sz w:val="21"/>
                <w:szCs w:val="21"/>
              </w:rPr>
              <w:t>1</w:t>
            </w:r>
          </w:p>
        </w:tc>
      </w:tr>
      <w:tr w14:paraId="41FEF54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5D3CF83">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0753C94C">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1EA2CF00">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33DB77ED">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2375626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58545295">
            <w:pPr>
              <w:widowControl/>
              <w:wordWrap w:val="0"/>
              <w:autoSpaceDE w:val="0"/>
              <w:autoSpaceDN w:val="0"/>
              <w:jc w:val="center"/>
              <w:rPr>
                <w:rFonts w:ascii="Calibri" w:hAnsi="Calibri"/>
                <w:sz w:val="21"/>
                <w:szCs w:val="21"/>
                <w:lang w:eastAsia="en-US"/>
              </w:rPr>
            </w:pPr>
            <w:r>
              <w:rPr>
                <w:rFonts w:ascii="宋体" w:hAnsi="宋体"/>
                <w:color w:val="000000"/>
                <w:sz w:val="21"/>
                <w:szCs w:val="21"/>
              </w:rPr>
              <w:t>20</w:t>
            </w:r>
          </w:p>
        </w:tc>
        <w:tc>
          <w:tcPr>
            <w:tcW w:w="2140" w:type="dxa"/>
            <w:tcBorders>
              <w:top w:val="single" w:color="auto" w:sz="4" w:space="0"/>
              <w:left w:val="single" w:color="auto" w:sz="4" w:space="0"/>
              <w:bottom w:val="single" w:color="auto" w:sz="4" w:space="0"/>
              <w:right w:val="single" w:color="auto" w:sz="4" w:space="0"/>
            </w:tcBorders>
            <w:vAlign w:val="center"/>
          </w:tcPr>
          <w:p w14:paraId="78247FC7">
            <w:pPr>
              <w:widowControl/>
              <w:wordWrap w:val="0"/>
              <w:autoSpaceDE w:val="0"/>
              <w:autoSpaceDN w:val="0"/>
              <w:jc w:val="center"/>
              <w:rPr>
                <w:sz w:val="21"/>
                <w:szCs w:val="21"/>
              </w:rPr>
            </w:pPr>
            <w:r>
              <w:rPr>
                <w:rFonts w:ascii="宋体" w:hAnsi="宋体"/>
                <w:color w:val="000000"/>
                <w:sz w:val="21"/>
                <w:szCs w:val="21"/>
              </w:rPr>
              <w:t>黑液过滤机输</w:t>
            </w:r>
          </w:p>
          <w:p w14:paraId="7832814C">
            <w:pPr>
              <w:widowControl/>
              <w:wordWrap w:val="0"/>
              <w:autoSpaceDE w:val="0"/>
              <w:autoSpaceDN w:val="0"/>
              <w:jc w:val="center"/>
              <w:rPr>
                <w:rFonts w:ascii="Calibri" w:hAnsi="Calibri"/>
                <w:sz w:val="21"/>
                <w:szCs w:val="21"/>
              </w:rPr>
            </w:pPr>
            <w:r>
              <w:rPr>
                <w:rFonts w:ascii="宋体" w:hAnsi="宋体"/>
                <w:color w:val="000000"/>
                <w:sz w:val="21"/>
                <w:szCs w:val="21"/>
              </w:rPr>
              <w:t>送泵</w:t>
            </w:r>
          </w:p>
        </w:tc>
        <w:tc>
          <w:tcPr>
            <w:tcW w:w="3800" w:type="dxa"/>
            <w:tcBorders>
              <w:top w:val="single" w:color="auto" w:sz="4" w:space="0"/>
              <w:left w:val="single" w:color="auto" w:sz="4" w:space="0"/>
              <w:bottom w:val="single" w:color="auto" w:sz="4" w:space="0"/>
              <w:right w:val="single" w:color="auto" w:sz="4" w:space="0"/>
            </w:tcBorders>
            <w:vAlign w:val="center"/>
          </w:tcPr>
          <w:p w14:paraId="49B0268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与介质接触部分材质：SS304L以上级别不锈钢</w:t>
            </w:r>
          </w:p>
        </w:tc>
        <w:tc>
          <w:tcPr>
            <w:tcW w:w="1468" w:type="dxa"/>
            <w:tcBorders>
              <w:top w:val="single" w:color="auto" w:sz="4" w:space="0"/>
              <w:left w:val="single" w:color="auto" w:sz="4" w:space="0"/>
              <w:bottom w:val="single" w:color="auto" w:sz="4" w:space="0"/>
              <w:right w:val="single" w:color="auto" w:sz="4" w:space="0"/>
            </w:tcBorders>
            <w:vAlign w:val="center"/>
          </w:tcPr>
          <w:p w14:paraId="4C9D2B8B">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71BDCDE3">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53C5073F">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2C9F8318">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04ED24C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470622FA">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10E1C251">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12C0ACC5">
            <w:pPr>
              <w:widowControl/>
              <w:wordWrap w:val="0"/>
              <w:autoSpaceDE w:val="0"/>
              <w:autoSpaceDN w:val="0"/>
              <w:jc w:val="center"/>
              <w:rPr>
                <w:rFonts w:ascii="Calibri" w:hAnsi="Calibri"/>
                <w:sz w:val="21"/>
                <w:szCs w:val="21"/>
                <w:lang w:eastAsia="en-US"/>
              </w:rPr>
            </w:pPr>
            <w:r>
              <w:rPr>
                <w:rFonts w:ascii="宋体" w:hAnsi="宋体"/>
                <w:color w:val="000000"/>
                <w:sz w:val="21"/>
                <w:szCs w:val="21"/>
              </w:rPr>
              <w:t>21</w:t>
            </w:r>
          </w:p>
        </w:tc>
        <w:tc>
          <w:tcPr>
            <w:tcW w:w="2140" w:type="dxa"/>
            <w:tcBorders>
              <w:top w:val="single" w:color="auto" w:sz="4" w:space="0"/>
              <w:left w:val="single" w:color="auto" w:sz="4" w:space="0"/>
              <w:bottom w:val="single" w:color="auto" w:sz="4" w:space="0"/>
              <w:right w:val="single" w:color="auto" w:sz="4" w:space="0"/>
            </w:tcBorders>
            <w:vAlign w:val="center"/>
          </w:tcPr>
          <w:p w14:paraId="583B5BB6">
            <w:pPr>
              <w:widowControl/>
              <w:wordWrap w:val="0"/>
              <w:autoSpaceDE w:val="0"/>
              <w:autoSpaceDN w:val="0"/>
              <w:jc w:val="center"/>
              <w:rPr>
                <w:rFonts w:ascii="Calibri" w:hAnsi="Calibri"/>
                <w:sz w:val="21"/>
                <w:szCs w:val="21"/>
              </w:rPr>
            </w:pPr>
            <w:r>
              <w:rPr>
                <w:rFonts w:ascii="宋体" w:hAnsi="宋体"/>
                <w:color w:val="000000"/>
                <w:sz w:val="21"/>
                <w:szCs w:val="21"/>
              </w:rPr>
              <w:t>稀释泵</w:t>
            </w:r>
          </w:p>
        </w:tc>
        <w:tc>
          <w:tcPr>
            <w:tcW w:w="3800" w:type="dxa"/>
            <w:tcBorders>
              <w:top w:val="single" w:color="auto" w:sz="4" w:space="0"/>
              <w:left w:val="single" w:color="auto" w:sz="4" w:space="0"/>
              <w:bottom w:val="single" w:color="auto" w:sz="4" w:space="0"/>
              <w:right w:val="single" w:color="auto" w:sz="4" w:space="0"/>
            </w:tcBorders>
            <w:vAlign w:val="center"/>
          </w:tcPr>
          <w:p w14:paraId="755B59D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与介质接触部分材质：SS304L以上级别不锈钢</w:t>
            </w:r>
          </w:p>
        </w:tc>
        <w:tc>
          <w:tcPr>
            <w:tcW w:w="1468" w:type="dxa"/>
            <w:tcBorders>
              <w:top w:val="single" w:color="auto" w:sz="4" w:space="0"/>
              <w:left w:val="single" w:color="auto" w:sz="4" w:space="0"/>
              <w:bottom w:val="single" w:color="auto" w:sz="4" w:space="0"/>
              <w:right w:val="single" w:color="auto" w:sz="4" w:space="0"/>
            </w:tcBorders>
            <w:vAlign w:val="center"/>
          </w:tcPr>
          <w:p w14:paraId="08E10A17">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4D22AE28">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2076D35">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19505288">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61CF684F">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12A19B88">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5A060C2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4DBA09B">
            <w:pPr>
              <w:widowControl/>
              <w:wordWrap w:val="0"/>
              <w:autoSpaceDE w:val="0"/>
              <w:autoSpaceDN w:val="0"/>
              <w:jc w:val="center"/>
              <w:rPr>
                <w:rFonts w:ascii="Calibri" w:hAnsi="Calibri"/>
                <w:sz w:val="21"/>
                <w:szCs w:val="21"/>
                <w:lang w:eastAsia="en-US"/>
              </w:rPr>
            </w:pPr>
            <w:r>
              <w:rPr>
                <w:rFonts w:ascii="宋体" w:hAnsi="宋体"/>
                <w:color w:val="000000"/>
                <w:sz w:val="21"/>
                <w:szCs w:val="21"/>
              </w:rPr>
              <w:t>22</w:t>
            </w:r>
          </w:p>
        </w:tc>
        <w:tc>
          <w:tcPr>
            <w:tcW w:w="2140" w:type="dxa"/>
            <w:tcBorders>
              <w:top w:val="single" w:color="auto" w:sz="4" w:space="0"/>
              <w:left w:val="single" w:color="auto" w:sz="4" w:space="0"/>
              <w:bottom w:val="single" w:color="auto" w:sz="4" w:space="0"/>
              <w:right w:val="single" w:color="auto" w:sz="4" w:space="0"/>
            </w:tcBorders>
            <w:vAlign w:val="center"/>
          </w:tcPr>
          <w:p w14:paraId="02CD27AF">
            <w:pPr>
              <w:widowControl/>
              <w:wordWrap w:val="0"/>
              <w:autoSpaceDE w:val="0"/>
              <w:autoSpaceDN w:val="0"/>
              <w:jc w:val="center"/>
              <w:rPr>
                <w:rFonts w:ascii="Calibri" w:hAnsi="Calibri"/>
                <w:sz w:val="21"/>
                <w:szCs w:val="21"/>
              </w:rPr>
            </w:pPr>
            <w:r>
              <w:rPr>
                <w:rFonts w:ascii="宋体" w:hAnsi="宋体"/>
                <w:color w:val="000000"/>
                <w:sz w:val="21"/>
                <w:szCs w:val="21"/>
              </w:rPr>
              <w:t>洗涤泵</w:t>
            </w:r>
          </w:p>
        </w:tc>
        <w:tc>
          <w:tcPr>
            <w:tcW w:w="3800" w:type="dxa"/>
            <w:tcBorders>
              <w:top w:val="single" w:color="auto" w:sz="4" w:space="0"/>
              <w:left w:val="single" w:color="auto" w:sz="4" w:space="0"/>
              <w:bottom w:val="single" w:color="auto" w:sz="4" w:space="0"/>
              <w:right w:val="single" w:color="auto" w:sz="4" w:space="0"/>
            </w:tcBorders>
            <w:vAlign w:val="center"/>
          </w:tcPr>
          <w:p w14:paraId="26715A8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与介质接触部分材质：SS304L以上级别不锈钢</w:t>
            </w:r>
          </w:p>
        </w:tc>
        <w:tc>
          <w:tcPr>
            <w:tcW w:w="1468" w:type="dxa"/>
            <w:tcBorders>
              <w:top w:val="single" w:color="auto" w:sz="4" w:space="0"/>
              <w:left w:val="single" w:color="auto" w:sz="4" w:space="0"/>
              <w:bottom w:val="single" w:color="auto" w:sz="4" w:space="0"/>
              <w:right w:val="single" w:color="auto" w:sz="4" w:space="0"/>
            </w:tcBorders>
            <w:vAlign w:val="center"/>
          </w:tcPr>
          <w:p w14:paraId="1C00553B">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77F9AFED">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8507559">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9DEEC9E">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5BF34260">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2539BAAD">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774AACFF">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8ABB6BE">
            <w:pPr>
              <w:widowControl/>
              <w:wordWrap w:val="0"/>
              <w:autoSpaceDE w:val="0"/>
              <w:autoSpaceDN w:val="0"/>
              <w:jc w:val="center"/>
              <w:rPr>
                <w:rFonts w:ascii="Calibri" w:hAnsi="Calibri"/>
                <w:sz w:val="21"/>
                <w:szCs w:val="21"/>
                <w:lang w:eastAsia="en-US"/>
              </w:rPr>
            </w:pPr>
            <w:r>
              <w:rPr>
                <w:rFonts w:ascii="宋体" w:hAnsi="宋体"/>
                <w:color w:val="000000"/>
                <w:sz w:val="21"/>
                <w:szCs w:val="21"/>
              </w:rPr>
              <w:t>23</w:t>
            </w:r>
          </w:p>
        </w:tc>
        <w:tc>
          <w:tcPr>
            <w:tcW w:w="2140" w:type="dxa"/>
            <w:tcBorders>
              <w:top w:val="single" w:color="auto" w:sz="4" w:space="0"/>
              <w:left w:val="single" w:color="auto" w:sz="4" w:space="0"/>
              <w:bottom w:val="single" w:color="auto" w:sz="4" w:space="0"/>
              <w:right w:val="single" w:color="auto" w:sz="4" w:space="0"/>
            </w:tcBorders>
            <w:vAlign w:val="center"/>
          </w:tcPr>
          <w:p w14:paraId="4C4E8770">
            <w:pPr>
              <w:widowControl/>
              <w:wordWrap w:val="0"/>
              <w:autoSpaceDE w:val="0"/>
              <w:autoSpaceDN w:val="0"/>
              <w:jc w:val="center"/>
              <w:rPr>
                <w:rFonts w:ascii="Calibri" w:hAnsi="Calibri"/>
                <w:sz w:val="21"/>
                <w:szCs w:val="21"/>
              </w:rPr>
            </w:pPr>
            <w:r>
              <w:rPr>
                <w:rFonts w:ascii="宋体" w:hAnsi="宋体"/>
                <w:color w:val="000000"/>
                <w:sz w:val="21"/>
                <w:szCs w:val="21"/>
              </w:rPr>
              <w:t>冷白液泵</w:t>
            </w:r>
          </w:p>
        </w:tc>
        <w:tc>
          <w:tcPr>
            <w:tcW w:w="3800" w:type="dxa"/>
            <w:tcBorders>
              <w:top w:val="single" w:color="auto" w:sz="4" w:space="0"/>
              <w:left w:val="single" w:color="auto" w:sz="4" w:space="0"/>
              <w:bottom w:val="single" w:color="auto" w:sz="4" w:space="0"/>
              <w:right w:val="single" w:color="auto" w:sz="4" w:space="0"/>
            </w:tcBorders>
            <w:vAlign w:val="center"/>
          </w:tcPr>
          <w:p w14:paraId="18AA1575">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与介质接触部分材质：双相钢</w:t>
            </w:r>
          </w:p>
        </w:tc>
        <w:tc>
          <w:tcPr>
            <w:tcW w:w="1468" w:type="dxa"/>
            <w:tcBorders>
              <w:top w:val="single" w:color="auto" w:sz="4" w:space="0"/>
              <w:left w:val="single" w:color="auto" w:sz="4" w:space="0"/>
              <w:bottom w:val="single" w:color="auto" w:sz="4" w:space="0"/>
              <w:right w:val="single" w:color="auto" w:sz="4" w:space="0"/>
            </w:tcBorders>
            <w:vAlign w:val="center"/>
          </w:tcPr>
          <w:p w14:paraId="7A743477">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0B705868">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14591C2">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3D4518A7">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2CDCDD70">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29FBF8D0">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6C2849D8">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A05F85F">
            <w:pPr>
              <w:widowControl/>
              <w:wordWrap w:val="0"/>
              <w:autoSpaceDE w:val="0"/>
              <w:autoSpaceDN w:val="0"/>
              <w:jc w:val="center"/>
              <w:rPr>
                <w:rFonts w:ascii="Calibri" w:hAnsi="Calibri"/>
                <w:sz w:val="21"/>
                <w:szCs w:val="21"/>
                <w:lang w:eastAsia="en-US"/>
              </w:rPr>
            </w:pPr>
            <w:r>
              <w:rPr>
                <w:rFonts w:ascii="宋体" w:hAnsi="宋体"/>
                <w:color w:val="000000"/>
                <w:sz w:val="21"/>
                <w:szCs w:val="21"/>
              </w:rPr>
              <w:t>24</w:t>
            </w:r>
          </w:p>
        </w:tc>
        <w:tc>
          <w:tcPr>
            <w:tcW w:w="2140" w:type="dxa"/>
            <w:tcBorders>
              <w:top w:val="single" w:color="auto" w:sz="4" w:space="0"/>
              <w:left w:val="single" w:color="auto" w:sz="4" w:space="0"/>
              <w:bottom w:val="single" w:color="auto" w:sz="4" w:space="0"/>
              <w:right w:val="single" w:color="auto" w:sz="4" w:space="0"/>
            </w:tcBorders>
            <w:vAlign w:val="center"/>
          </w:tcPr>
          <w:p w14:paraId="6D5805B0">
            <w:pPr>
              <w:widowControl/>
              <w:wordWrap w:val="0"/>
              <w:autoSpaceDE w:val="0"/>
              <w:autoSpaceDN w:val="0"/>
              <w:jc w:val="center"/>
              <w:rPr>
                <w:rFonts w:ascii="Calibri" w:hAnsi="Calibri"/>
                <w:sz w:val="21"/>
                <w:szCs w:val="21"/>
              </w:rPr>
            </w:pPr>
            <w:r>
              <w:rPr>
                <w:rFonts w:ascii="宋体" w:hAnsi="宋体"/>
                <w:color w:val="000000"/>
                <w:sz w:val="21"/>
                <w:szCs w:val="21"/>
              </w:rPr>
              <w:t>白液预热泵</w:t>
            </w:r>
          </w:p>
        </w:tc>
        <w:tc>
          <w:tcPr>
            <w:tcW w:w="3800" w:type="dxa"/>
            <w:tcBorders>
              <w:top w:val="single" w:color="auto" w:sz="4" w:space="0"/>
              <w:left w:val="single" w:color="auto" w:sz="4" w:space="0"/>
              <w:bottom w:val="single" w:color="auto" w:sz="4" w:space="0"/>
              <w:right w:val="single" w:color="auto" w:sz="4" w:space="0"/>
            </w:tcBorders>
            <w:vAlign w:val="center"/>
          </w:tcPr>
          <w:p w14:paraId="7B3FA72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与介质接触部分材质：双相钢</w:t>
            </w:r>
          </w:p>
        </w:tc>
        <w:tc>
          <w:tcPr>
            <w:tcW w:w="1468" w:type="dxa"/>
            <w:tcBorders>
              <w:top w:val="single" w:color="auto" w:sz="4" w:space="0"/>
              <w:left w:val="single" w:color="auto" w:sz="4" w:space="0"/>
              <w:bottom w:val="single" w:color="auto" w:sz="4" w:space="0"/>
              <w:right w:val="single" w:color="auto" w:sz="4" w:space="0"/>
            </w:tcBorders>
            <w:vAlign w:val="center"/>
          </w:tcPr>
          <w:p w14:paraId="36A047AC">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4FC182C2">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2356F5D">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7CB3E4AB">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4472C621">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1E7C0F51">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34A2D95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8A24B22">
            <w:pPr>
              <w:widowControl/>
              <w:wordWrap w:val="0"/>
              <w:autoSpaceDE w:val="0"/>
              <w:autoSpaceDN w:val="0"/>
              <w:jc w:val="center"/>
              <w:rPr>
                <w:rFonts w:ascii="Calibri" w:hAnsi="Calibri"/>
                <w:sz w:val="21"/>
                <w:szCs w:val="21"/>
                <w:lang w:eastAsia="en-US"/>
              </w:rPr>
            </w:pPr>
            <w:r>
              <w:rPr>
                <w:rFonts w:ascii="宋体" w:hAnsi="宋体"/>
                <w:color w:val="000000"/>
                <w:sz w:val="21"/>
                <w:szCs w:val="21"/>
              </w:rPr>
              <w:t>25</w:t>
            </w:r>
          </w:p>
        </w:tc>
        <w:tc>
          <w:tcPr>
            <w:tcW w:w="2140" w:type="dxa"/>
            <w:tcBorders>
              <w:top w:val="single" w:color="auto" w:sz="4" w:space="0"/>
              <w:left w:val="single" w:color="auto" w:sz="4" w:space="0"/>
              <w:bottom w:val="single" w:color="auto" w:sz="4" w:space="0"/>
              <w:right w:val="single" w:color="auto" w:sz="4" w:space="0"/>
            </w:tcBorders>
            <w:vAlign w:val="center"/>
          </w:tcPr>
          <w:p w14:paraId="62603BAE">
            <w:pPr>
              <w:widowControl/>
              <w:wordWrap w:val="0"/>
              <w:autoSpaceDE w:val="0"/>
              <w:autoSpaceDN w:val="0"/>
              <w:jc w:val="center"/>
              <w:rPr>
                <w:rFonts w:ascii="Calibri" w:hAnsi="Calibri"/>
                <w:sz w:val="21"/>
                <w:szCs w:val="21"/>
              </w:rPr>
            </w:pPr>
            <w:r>
              <w:rPr>
                <w:rFonts w:ascii="宋体" w:hAnsi="宋体"/>
                <w:color w:val="000000"/>
                <w:sz w:val="21"/>
                <w:szCs w:val="21"/>
              </w:rPr>
              <w:t>放锅泵</w:t>
            </w:r>
          </w:p>
        </w:tc>
        <w:tc>
          <w:tcPr>
            <w:tcW w:w="3800" w:type="dxa"/>
            <w:tcBorders>
              <w:top w:val="single" w:color="auto" w:sz="4" w:space="0"/>
              <w:left w:val="single" w:color="auto" w:sz="4" w:space="0"/>
              <w:bottom w:val="single" w:color="auto" w:sz="4" w:space="0"/>
              <w:right w:val="single" w:color="auto" w:sz="4" w:space="0"/>
            </w:tcBorders>
            <w:vAlign w:val="center"/>
          </w:tcPr>
          <w:p w14:paraId="588F365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与介质接触部分材质：耐磨双相不锈钢</w:t>
            </w:r>
            <w:r>
              <w:rPr>
                <w:rFonts w:hint="eastAsia" w:ascii="Times New Roman" w:hAnsi="Times New Roman"/>
                <w:color w:val="000000"/>
                <w:sz w:val="21"/>
                <w:szCs w:val="21"/>
              </w:rPr>
              <w:t>，</w:t>
            </w:r>
            <w:r>
              <w:rPr>
                <w:rFonts w:ascii="Times New Roman" w:hAnsi="Times New Roman"/>
                <w:color w:val="000000"/>
                <w:sz w:val="21"/>
                <w:szCs w:val="21"/>
              </w:rPr>
              <w:t>泵的设计制造压力等级不低于PN25</w:t>
            </w:r>
          </w:p>
        </w:tc>
        <w:tc>
          <w:tcPr>
            <w:tcW w:w="1468" w:type="dxa"/>
            <w:tcBorders>
              <w:top w:val="single" w:color="auto" w:sz="4" w:space="0"/>
              <w:left w:val="single" w:color="auto" w:sz="4" w:space="0"/>
              <w:bottom w:val="single" w:color="auto" w:sz="4" w:space="0"/>
              <w:right w:val="single" w:color="auto" w:sz="4" w:space="0"/>
            </w:tcBorders>
            <w:vAlign w:val="center"/>
          </w:tcPr>
          <w:p w14:paraId="31369F07">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485D6F7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D63688D">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23C498DC">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6BFFCB8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39CA0F00">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7551C7BA">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511E687B">
            <w:pPr>
              <w:widowControl/>
              <w:wordWrap w:val="0"/>
              <w:autoSpaceDE w:val="0"/>
              <w:autoSpaceDN w:val="0"/>
              <w:jc w:val="center"/>
              <w:rPr>
                <w:rFonts w:ascii="Calibri" w:hAnsi="Calibri"/>
                <w:sz w:val="21"/>
                <w:szCs w:val="21"/>
                <w:lang w:eastAsia="en-US"/>
              </w:rPr>
            </w:pPr>
            <w:r>
              <w:rPr>
                <w:rFonts w:ascii="宋体" w:hAnsi="宋体"/>
                <w:color w:val="000000"/>
                <w:sz w:val="21"/>
                <w:szCs w:val="21"/>
              </w:rPr>
              <w:t>26</w:t>
            </w:r>
          </w:p>
        </w:tc>
        <w:tc>
          <w:tcPr>
            <w:tcW w:w="2140" w:type="dxa"/>
            <w:tcBorders>
              <w:top w:val="single" w:color="auto" w:sz="4" w:space="0"/>
              <w:left w:val="single" w:color="auto" w:sz="4" w:space="0"/>
              <w:bottom w:val="single" w:color="auto" w:sz="4" w:space="0"/>
              <w:right w:val="single" w:color="auto" w:sz="4" w:space="0"/>
            </w:tcBorders>
            <w:vAlign w:val="center"/>
          </w:tcPr>
          <w:p w14:paraId="21900ACD">
            <w:pPr>
              <w:widowControl/>
              <w:wordWrap w:val="0"/>
              <w:autoSpaceDE w:val="0"/>
              <w:autoSpaceDN w:val="0"/>
              <w:jc w:val="center"/>
              <w:rPr>
                <w:rFonts w:ascii="Calibri" w:hAnsi="Calibri"/>
                <w:sz w:val="21"/>
                <w:szCs w:val="21"/>
              </w:rPr>
            </w:pPr>
            <w:r>
              <w:rPr>
                <w:rFonts w:ascii="宋体" w:hAnsi="宋体"/>
                <w:color w:val="000000"/>
                <w:sz w:val="21"/>
                <w:szCs w:val="21"/>
              </w:rPr>
              <w:t>温充泵</w:t>
            </w:r>
          </w:p>
        </w:tc>
        <w:tc>
          <w:tcPr>
            <w:tcW w:w="3800" w:type="dxa"/>
            <w:tcBorders>
              <w:top w:val="single" w:color="auto" w:sz="4" w:space="0"/>
              <w:left w:val="single" w:color="auto" w:sz="4" w:space="0"/>
              <w:bottom w:val="single" w:color="auto" w:sz="4" w:space="0"/>
              <w:right w:val="single" w:color="auto" w:sz="4" w:space="0"/>
            </w:tcBorders>
            <w:vAlign w:val="center"/>
          </w:tcPr>
          <w:p w14:paraId="784CE619">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与介质接触部分材质：双相不锈钢，泵的设计制造压力等级不低于PN40</w:t>
            </w:r>
          </w:p>
        </w:tc>
        <w:tc>
          <w:tcPr>
            <w:tcW w:w="1468" w:type="dxa"/>
            <w:tcBorders>
              <w:top w:val="single" w:color="auto" w:sz="4" w:space="0"/>
              <w:left w:val="single" w:color="auto" w:sz="4" w:space="0"/>
              <w:bottom w:val="single" w:color="auto" w:sz="4" w:space="0"/>
              <w:right w:val="single" w:color="auto" w:sz="4" w:space="0"/>
            </w:tcBorders>
            <w:vAlign w:val="center"/>
          </w:tcPr>
          <w:p w14:paraId="672B244C">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772372C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2AFC76D8">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57CD92CE">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12D0A3E4">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5D9B35E3">
            <w:pPr>
              <w:widowControl/>
              <w:jc w:val="center"/>
              <w:rPr>
                <w:rFonts w:ascii="Calibri" w:hAnsi="Calibri"/>
                <w:sz w:val="21"/>
                <w:szCs w:val="21"/>
                <w:lang w:eastAsia="en-US"/>
              </w:rPr>
            </w:pPr>
          </w:p>
        </w:tc>
      </w:tr>
      <w:tr w14:paraId="16FA839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AA5A691">
            <w:pPr>
              <w:widowControl/>
              <w:wordWrap w:val="0"/>
              <w:autoSpaceDE w:val="0"/>
              <w:autoSpaceDN w:val="0"/>
              <w:jc w:val="center"/>
              <w:rPr>
                <w:rFonts w:ascii="Calibri" w:hAnsi="Calibri"/>
                <w:sz w:val="21"/>
                <w:szCs w:val="21"/>
                <w:lang w:eastAsia="en-US"/>
              </w:rPr>
            </w:pPr>
            <w:r>
              <w:rPr>
                <w:rFonts w:ascii="宋体" w:hAnsi="宋体"/>
                <w:color w:val="000000"/>
                <w:sz w:val="21"/>
                <w:szCs w:val="21"/>
              </w:rPr>
              <w:t>27</w:t>
            </w:r>
          </w:p>
        </w:tc>
        <w:tc>
          <w:tcPr>
            <w:tcW w:w="2140" w:type="dxa"/>
            <w:tcBorders>
              <w:top w:val="single" w:color="auto" w:sz="4" w:space="0"/>
              <w:left w:val="single" w:color="auto" w:sz="4" w:space="0"/>
              <w:bottom w:val="single" w:color="auto" w:sz="4" w:space="0"/>
              <w:right w:val="single" w:color="auto" w:sz="4" w:space="0"/>
            </w:tcBorders>
            <w:vAlign w:val="center"/>
          </w:tcPr>
          <w:p w14:paraId="345195A2">
            <w:pPr>
              <w:widowControl/>
              <w:wordWrap w:val="0"/>
              <w:autoSpaceDE w:val="0"/>
              <w:autoSpaceDN w:val="0"/>
              <w:jc w:val="center"/>
              <w:rPr>
                <w:rFonts w:ascii="Calibri" w:hAnsi="Calibri"/>
                <w:sz w:val="21"/>
                <w:szCs w:val="21"/>
              </w:rPr>
            </w:pPr>
            <w:r>
              <w:rPr>
                <w:rFonts w:ascii="宋体" w:hAnsi="宋体"/>
                <w:color w:val="000000"/>
                <w:sz w:val="21"/>
                <w:szCs w:val="21"/>
              </w:rPr>
              <w:t>热充泵</w:t>
            </w:r>
          </w:p>
        </w:tc>
        <w:tc>
          <w:tcPr>
            <w:tcW w:w="3800" w:type="dxa"/>
            <w:tcBorders>
              <w:top w:val="single" w:color="auto" w:sz="4" w:space="0"/>
              <w:left w:val="single" w:color="auto" w:sz="4" w:space="0"/>
              <w:bottom w:val="single" w:color="auto" w:sz="4" w:space="0"/>
              <w:right w:val="single" w:color="auto" w:sz="4" w:space="0"/>
            </w:tcBorders>
            <w:vAlign w:val="center"/>
          </w:tcPr>
          <w:p w14:paraId="55A2B13B">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与介质接触部分材质：双相不锈钢，泵的设计制造压力等级不低于PN40</w:t>
            </w:r>
          </w:p>
        </w:tc>
        <w:tc>
          <w:tcPr>
            <w:tcW w:w="1468" w:type="dxa"/>
            <w:tcBorders>
              <w:top w:val="single" w:color="auto" w:sz="4" w:space="0"/>
              <w:left w:val="single" w:color="auto" w:sz="4" w:space="0"/>
              <w:bottom w:val="single" w:color="auto" w:sz="4" w:space="0"/>
              <w:right w:val="single" w:color="auto" w:sz="4" w:space="0"/>
            </w:tcBorders>
            <w:vAlign w:val="center"/>
          </w:tcPr>
          <w:p w14:paraId="780B970D">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52E8ED9C">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D909278">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4D776EBF">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0359147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31CA1BA0">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1FFCCA31">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9264993">
            <w:pPr>
              <w:widowControl/>
              <w:wordWrap w:val="0"/>
              <w:autoSpaceDE w:val="0"/>
              <w:autoSpaceDN w:val="0"/>
              <w:jc w:val="center"/>
              <w:rPr>
                <w:rFonts w:ascii="Calibri" w:hAnsi="Calibri"/>
                <w:sz w:val="21"/>
                <w:szCs w:val="21"/>
                <w:lang w:eastAsia="en-US"/>
              </w:rPr>
            </w:pPr>
            <w:r>
              <w:rPr>
                <w:rFonts w:ascii="宋体" w:hAnsi="宋体"/>
                <w:color w:val="000000"/>
                <w:sz w:val="21"/>
                <w:szCs w:val="21"/>
              </w:rPr>
              <w:t>28</w:t>
            </w:r>
          </w:p>
        </w:tc>
        <w:tc>
          <w:tcPr>
            <w:tcW w:w="2140" w:type="dxa"/>
            <w:tcBorders>
              <w:top w:val="single" w:color="auto" w:sz="4" w:space="0"/>
              <w:left w:val="single" w:color="auto" w:sz="4" w:space="0"/>
              <w:bottom w:val="single" w:color="auto" w:sz="4" w:space="0"/>
              <w:right w:val="single" w:color="auto" w:sz="4" w:space="0"/>
            </w:tcBorders>
            <w:vAlign w:val="center"/>
          </w:tcPr>
          <w:p w14:paraId="60796DE5">
            <w:pPr>
              <w:widowControl/>
              <w:wordWrap w:val="0"/>
              <w:autoSpaceDE w:val="0"/>
              <w:autoSpaceDN w:val="0"/>
              <w:jc w:val="center"/>
              <w:rPr>
                <w:rFonts w:ascii="Calibri" w:hAnsi="Calibri"/>
                <w:sz w:val="21"/>
                <w:szCs w:val="21"/>
              </w:rPr>
            </w:pPr>
            <w:r>
              <w:rPr>
                <w:rFonts w:ascii="宋体" w:hAnsi="宋体"/>
                <w:color w:val="000000"/>
                <w:sz w:val="21"/>
                <w:szCs w:val="21"/>
              </w:rPr>
              <w:t>温充/热充</w:t>
            </w:r>
            <w:r>
              <w:rPr>
                <w:rFonts w:hint="eastAsia" w:ascii="宋体" w:hAnsi="宋体"/>
                <w:color w:val="000000"/>
                <w:sz w:val="21"/>
                <w:szCs w:val="21"/>
              </w:rPr>
              <w:t>泵</w:t>
            </w:r>
          </w:p>
        </w:tc>
        <w:tc>
          <w:tcPr>
            <w:tcW w:w="3800" w:type="dxa"/>
            <w:tcBorders>
              <w:top w:val="single" w:color="auto" w:sz="4" w:space="0"/>
              <w:left w:val="single" w:color="auto" w:sz="4" w:space="0"/>
              <w:bottom w:val="single" w:color="auto" w:sz="4" w:space="0"/>
              <w:right w:val="single" w:color="auto" w:sz="4" w:space="0"/>
            </w:tcBorders>
            <w:vAlign w:val="center"/>
          </w:tcPr>
          <w:p w14:paraId="694F5E85">
            <w:pPr>
              <w:widowControl/>
              <w:wordWrap w:val="0"/>
              <w:autoSpaceDE w:val="0"/>
              <w:autoSpaceDN w:val="0"/>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47FECA5E">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40A181D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D5F28F5">
            <w:pPr>
              <w:jc w:val="center"/>
              <w:rPr>
                <w:rFonts w:ascii="Calibri" w:hAnsi="Calibri"/>
                <w:sz w:val="21"/>
                <w:szCs w:val="21"/>
                <w:lang w:eastAsia="en-US"/>
              </w:rPr>
            </w:pPr>
          </w:p>
        </w:tc>
        <w:tc>
          <w:tcPr>
            <w:tcW w:w="2140" w:type="dxa"/>
            <w:tcBorders>
              <w:top w:val="single" w:color="auto" w:sz="4" w:space="0"/>
              <w:left w:val="single" w:color="auto" w:sz="4" w:space="0"/>
              <w:bottom w:val="single" w:color="auto" w:sz="4" w:space="0"/>
              <w:right w:val="single" w:color="auto" w:sz="4" w:space="0"/>
            </w:tcBorders>
            <w:vAlign w:val="center"/>
          </w:tcPr>
          <w:p w14:paraId="769CED65">
            <w:pPr>
              <w:widowControl/>
              <w:wordWrap w:val="0"/>
              <w:autoSpaceDE w:val="0"/>
              <w:autoSpaceDN w:val="0"/>
              <w:jc w:val="center"/>
              <w:rPr>
                <w:rFonts w:ascii="Calibri" w:hAnsi="Calibri"/>
                <w:sz w:val="21"/>
                <w:szCs w:val="21"/>
              </w:rPr>
            </w:pPr>
            <w:r>
              <w:rPr>
                <w:rFonts w:hint="eastAsia" w:ascii="宋体" w:hAnsi="宋体"/>
                <w:color w:val="000000"/>
                <w:sz w:val="21"/>
                <w:szCs w:val="21"/>
              </w:rPr>
              <w:t>备</w:t>
            </w:r>
            <w:r>
              <w:rPr>
                <w:rFonts w:ascii="宋体" w:hAnsi="宋体"/>
                <w:color w:val="000000"/>
                <w:sz w:val="21"/>
                <w:szCs w:val="21"/>
              </w:rPr>
              <w:t>用泵</w:t>
            </w:r>
          </w:p>
        </w:tc>
        <w:tc>
          <w:tcPr>
            <w:tcW w:w="3800" w:type="dxa"/>
            <w:tcBorders>
              <w:top w:val="single" w:color="auto" w:sz="4" w:space="0"/>
              <w:left w:val="single" w:color="auto" w:sz="4" w:space="0"/>
              <w:bottom w:val="single" w:color="auto" w:sz="4" w:space="0"/>
              <w:right w:val="single" w:color="auto" w:sz="4" w:space="0"/>
            </w:tcBorders>
            <w:vAlign w:val="center"/>
          </w:tcPr>
          <w:p w14:paraId="36EE1B41">
            <w:pPr>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71DF1F33">
            <w:pPr>
              <w:jc w:val="center"/>
              <w:rPr>
                <w:rFonts w:ascii="Calibri" w:hAnsi="Calibri"/>
                <w:sz w:val="21"/>
                <w:szCs w:val="21"/>
                <w:lang w:eastAsia="en-US"/>
              </w:rPr>
            </w:pPr>
          </w:p>
        </w:tc>
      </w:tr>
      <w:tr w14:paraId="5997A372">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28950B63">
            <w:pPr>
              <w:jc w:val="center"/>
              <w:rPr>
                <w:rFonts w:ascii="Calibri" w:hAnsi="Calibri"/>
                <w:sz w:val="21"/>
                <w:szCs w:val="21"/>
                <w:lang w:eastAsia="en-US"/>
              </w:rPr>
            </w:pPr>
          </w:p>
        </w:tc>
        <w:tc>
          <w:tcPr>
            <w:tcW w:w="2140" w:type="dxa"/>
            <w:tcBorders>
              <w:top w:val="single" w:color="auto" w:sz="4" w:space="0"/>
              <w:left w:val="single" w:color="auto" w:sz="4" w:space="0"/>
              <w:bottom w:val="single" w:color="auto" w:sz="4" w:space="0"/>
              <w:right w:val="single" w:color="auto" w:sz="4" w:space="0"/>
            </w:tcBorders>
            <w:vAlign w:val="center"/>
          </w:tcPr>
          <w:p w14:paraId="6BB6BC70">
            <w:pPr>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2714945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与介质接触部分材质：双相不锈钢，泵的设计制造压力等级不低于PN40。</w:t>
            </w:r>
          </w:p>
        </w:tc>
        <w:tc>
          <w:tcPr>
            <w:tcW w:w="1468" w:type="dxa"/>
            <w:tcBorders>
              <w:top w:val="single" w:color="auto" w:sz="4" w:space="0"/>
              <w:left w:val="single" w:color="auto" w:sz="4" w:space="0"/>
              <w:bottom w:val="single" w:color="auto" w:sz="4" w:space="0"/>
              <w:right w:val="single" w:color="auto" w:sz="4" w:space="0"/>
            </w:tcBorders>
            <w:vAlign w:val="center"/>
          </w:tcPr>
          <w:p w14:paraId="7B253182">
            <w:pPr>
              <w:jc w:val="center"/>
              <w:rPr>
                <w:rFonts w:ascii="Calibri" w:hAnsi="Calibri"/>
                <w:sz w:val="21"/>
                <w:szCs w:val="21"/>
              </w:rPr>
            </w:pPr>
          </w:p>
        </w:tc>
      </w:tr>
      <w:tr w14:paraId="6A866334">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00F3B71">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25866938">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74E1E248">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0A679443">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1FC39649">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5FD0E27">
            <w:pPr>
              <w:widowControl/>
              <w:wordWrap w:val="0"/>
              <w:autoSpaceDE w:val="0"/>
              <w:autoSpaceDN w:val="0"/>
              <w:jc w:val="center"/>
              <w:rPr>
                <w:rFonts w:ascii="Calibri" w:hAnsi="Calibri"/>
                <w:sz w:val="21"/>
                <w:szCs w:val="21"/>
                <w:lang w:eastAsia="en-US"/>
              </w:rPr>
            </w:pPr>
            <w:r>
              <w:rPr>
                <w:rFonts w:ascii="宋体" w:hAnsi="宋体"/>
                <w:color w:val="000000"/>
                <w:sz w:val="21"/>
                <w:szCs w:val="21"/>
              </w:rPr>
              <w:t>29</w:t>
            </w:r>
          </w:p>
        </w:tc>
        <w:tc>
          <w:tcPr>
            <w:tcW w:w="2140" w:type="dxa"/>
            <w:tcBorders>
              <w:top w:val="single" w:color="auto" w:sz="4" w:space="0"/>
              <w:left w:val="single" w:color="auto" w:sz="4" w:space="0"/>
              <w:bottom w:val="single" w:color="auto" w:sz="4" w:space="0"/>
              <w:right w:val="single" w:color="auto" w:sz="4" w:space="0"/>
            </w:tcBorders>
            <w:vAlign w:val="center"/>
          </w:tcPr>
          <w:p w14:paraId="700B4BAD">
            <w:pPr>
              <w:widowControl/>
              <w:wordWrap w:val="0"/>
              <w:autoSpaceDE w:val="0"/>
              <w:autoSpaceDN w:val="0"/>
              <w:jc w:val="center"/>
              <w:rPr>
                <w:rFonts w:ascii="Calibri" w:hAnsi="Calibri"/>
                <w:sz w:val="21"/>
                <w:szCs w:val="21"/>
              </w:rPr>
            </w:pPr>
            <w:r>
              <w:rPr>
                <w:rFonts w:ascii="宋体" w:hAnsi="宋体"/>
                <w:color w:val="000000"/>
                <w:sz w:val="21"/>
                <w:szCs w:val="21"/>
              </w:rPr>
              <w:t>热充白液泵</w:t>
            </w:r>
          </w:p>
        </w:tc>
        <w:tc>
          <w:tcPr>
            <w:tcW w:w="3800" w:type="dxa"/>
            <w:tcBorders>
              <w:top w:val="single" w:color="auto" w:sz="4" w:space="0"/>
              <w:left w:val="single" w:color="auto" w:sz="4" w:space="0"/>
              <w:bottom w:val="single" w:color="auto" w:sz="4" w:space="0"/>
              <w:right w:val="single" w:color="auto" w:sz="4" w:space="0"/>
            </w:tcBorders>
            <w:vAlign w:val="center"/>
          </w:tcPr>
          <w:p w14:paraId="6B34023C">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与介质接触部分材质：双相不锈钢。泵的设计制造压力等级不低于PN40</w:t>
            </w:r>
          </w:p>
        </w:tc>
        <w:tc>
          <w:tcPr>
            <w:tcW w:w="1468" w:type="dxa"/>
            <w:tcBorders>
              <w:top w:val="single" w:color="auto" w:sz="4" w:space="0"/>
              <w:left w:val="single" w:color="auto" w:sz="4" w:space="0"/>
              <w:bottom w:val="single" w:color="auto" w:sz="4" w:space="0"/>
              <w:right w:val="single" w:color="auto" w:sz="4" w:space="0"/>
            </w:tcBorders>
            <w:vAlign w:val="center"/>
          </w:tcPr>
          <w:p w14:paraId="6340E988">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1C40AFCB">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1411FFB">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E4BD876">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2411BAA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变频</w:t>
            </w:r>
          </w:p>
        </w:tc>
        <w:tc>
          <w:tcPr>
            <w:tcW w:w="1468" w:type="dxa"/>
            <w:tcBorders>
              <w:top w:val="single" w:color="auto" w:sz="4" w:space="0"/>
              <w:left w:val="single" w:color="auto" w:sz="4" w:space="0"/>
              <w:bottom w:val="single" w:color="auto" w:sz="4" w:space="0"/>
              <w:right w:val="single" w:color="auto" w:sz="4" w:space="0"/>
            </w:tcBorders>
            <w:vAlign w:val="center"/>
          </w:tcPr>
          <w:p w14:paraId="277F3D31">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663E1F18">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394BC5E1">
            <w:pPr>
              <w:widowControl/>
              <w:wordWrap w:val="0"/>
              <w:autoSpaceDE w:val="0"/>
              <w:autoSpaceDN w:val="0"/>
              <w:jc w:val="center"/>
              <w:rPr>
                <w:rFonts w:ascii="Calibri" w:hAnsi="Calibri"/>
                <w:sz w:val="21"/>
                <w:szCs w:val="21"/>
                <w:lang w:eastAsia="en-US"/>
              </w:rPr>
            </w:pPr>
            <w:r>
              <w:rPr>
                <w:rFonts w:ascii="宋体" w:hAnsi="宋体"/>
                <w:b/>
                <w:color w:val="000000"/>
                <w:w w:val="101"/>
                <w:sz w:val="21"/>
                <w:szCs w:val="21"/>
              </w:rPr>
              <w:t>30</w:t>
            </w:r>
          </w:p>
        </w:tc>
        <w:tc>
          <w:tcPr>
            <w:tcW w:w="2140" w:type="dxa"/>
            <w:tcBorders>
              <w:top w:val="single" w:color="auto" w:sz="4" w:space="0"/>
              <w:left w:val="single" w:color="auto" w:sz="4" w:space="0"/>
              <w:bottom w:val="single" w:color="auto" w:sz="4" w:space="0"/>
              <w:right w:val="single" w:color="auto" w:sz="4" w:space="0"/>
            </w:tcBorders>
            <w:vAlign w:val="center"/>
          </w:tcPr>
          <w:p w14:paraId="2CC201F6">
            <w:pPr>
              <w:widowControl/>
              <w:wordWrap w:val="0"/>
              <w:autoSpaceDE w:val="0"/>
              <w:autoSpaceDN w:val="0"/>
              <w:jc w:val="center"/>
              <w:rPr>
                <w:rFonts w:ascii="Calibri" w:hAnsi="Calibri"/>
                <w:sz w:val="21"/>
                <w:szCs w:val="21"/>
              </w:rPr>
            </w:pPr>
            <w:r>
              <w:rPr>
                <w:rFonts w:ascii="宋体" w:hAnsi="宋体"/>
                <w:color w:val="000000"/>
                <w:sz w:val="21"/>
                <w:szCs w:val="21"/>
              </w:rPr>
              <w:t>高压密封水泵</w:t>
            </w:r>
          </w:p>
        </w:tc>
        <w:tc>
          <w:tcPr>
            <w:tcW w:w="3800" w:type="dxa"/>
            <w:tcBorders>
              <w:top w:val="single" w:color="auto" w:sz="4" w:space="0"/>
              <w:left w:val="single" w:color="auto" w:sz="4" w:space="0"/>
              <w:bottom w:val="single" w:color="auto" w:sz="4" w:space="0"/>
              <w:right w:val="single" w:color="auto" w:sz="4" w:space="0"/>
            </w:tcBorders>
            <w:vAlign w:val="center"/>
          </w:tcPr>
          <w:p w14:paraId="5F9D3F6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待定</w:t>
            </w:r>
          </w:p>
        </w:tc>
        <w:tc>
          <w:tcPr>
            <w:tcW w:w="1468" w:type="dxa"/>
            <w:tcBorders>
              <w:top w:val="single" w:color="auto" w:sz="4" w:space="0"/>
              <w:left w:val="single" w:color="auto" w:sz="4" w:space="0"/>
              <w:bottom w:val="single" w:color="auto" w:sz="4" w:space="0"/>
              <w:right w:val="single" w:color="auto" w:sz="4" w:space="0"/>
            </w:tcBorders>
            <w:vAlign w:val="center"/>
          </w:tcPr>
          <w:p w14:paraId="0A94C5C2">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03390449">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030F40C">
            <w:pPr>
              <w:widowControl/>
              <w:wordWrap w:val="0"/>
              <w:autoSpaceDE w:val="0"/>
              <w:autoSpaceDN w:val="0"/>
              <w:jc w:val="center"/>
              <w:rPr>
                <w:rFonts w:ascii="Calibri" w:hAnsi="Calibri"/>
                <w:sz w:val="21"/>
                <w:szCs w:val="21"/>
                <w:lang w:eastAsia="en-US"/>
              </w:rPr>
            </w:pPr>
            <w:r>
              <w:rPr>
                <w:rFonts w:ascii="宋体" w:hAnsi="宋体"/>
                <w:b/>
                <w:color w:val="000000"/>
                <w:w w:val="101"/>
                <w:sz w:val="21"/>
                <w:szCs w:val="21"/>
              </w:rPr>
              <w:t>31</w:t>
            </w:r>
          </w:p>
        </w:tc>
        <w:tc>
          <w:tcPr>
            <w:tcW w:w="2140" w:type="dxa"/>
            <w:tcBorders>
              <w:top w:val="single" w:color="auto" w:sz="4" w:space="0"/>
              <w:left w:val="single" w:color="auto" w:sz="4" w:space="0"/>
              <w:bottom w:val="single" w:color="auto" w:sz="4" w:space="0"/>
              <w:right w:val="single" w:color="auto" w:sz="4" w:space="0"/>
            </w:tcBorders>
            <w:vAlign w:val="center"/>
          </w:tcPr>
          <w:p w14:paraId="7EDEDA22">
            <w:pPr>
              <w:widowControl/>
              <w:wordWrap w:val="0"/>
              <w:autoSpaceDE w:val="0"/>
              <w:autoSpaceDN w:val="0"/>
              <w:jc w:val="center"/>
              <w:rPr>
                <w:rFonts w:ascii="Calibri" w:hAnsi="Calibri"/>
                <w:sz w:val="21"/>
                <w:szCs w:val="21"/>
              </w:rPr>
            </w:pPr>
            <w:r>
              <w:rPr>
                <w:rFonts w:ascii="宋体" w:hAnsi="宋体"/>
                <w:color w:val="000000"/>
                <w:sz w:val="21"/>
                <w:szCs w:val="21"/>
              </w:rPr>
              <w:t>低压密封水泵</w:t>
            </w:r>
          </w:p>
        </w:tc>
        <w:tc>
          <w:tcPr>
            <w:tcW w:w="3800" w:type="dxa"/>
            <w:tcBorders>
              <w:top w:val="single" w:color="auto" w:sz="4" w:space="0"/>
              <w:left w:val="single" w:color="auto" w:sz="4" w:space="0"/>
              <w:bottom w:val="single" w:color="auto" w:sz="4" w:space="0"/>
              <w:right w:val="single" w:color="auto" w:sz="4" w:space="0"/>
            </w:tcBorders>
            <w:vAlign w:val="center"/>
          </w:tcPr>
          <w:p w14:paraId="6C0FA853">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待定</w:t>
            </w:r>
          </w:p>
        </w:tc>
        <w:tc>
          <w:tcPr>
            <w:tcW w:w="1468" w:type="dxa"/>
            <w:tcBorders>
              <w:top w:val="single" w:color="auto" w:sz="4" w:space="0"/>
              <w:left w:val="single" w:color="auto" w:sz="4" w:space="0"/>
              <w:bottom w:val="single" w:color="auto" w:sz="4" w:space="0"/>
              <w:right w:val="single" w:color="auto" w:sz="4" w:space="0"/>
            </w:tcBorders>
            <w:vAlign w:val="center"/>
          </w:tcPr>
          <w:p w14:paraId="6D7033EA">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56C42595">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703F551E">
            <w:pPr>
              <w:widowControl/>
              <w:wordWrap w:val="0"/>
              <w:autoSpaceDE w:val="0"/>
              <w:autoSpaceDN w:val="0"/>
              <w:jc w:val="center"/>
              <w:rPr>
                <w:rFonts w:ascii="Calibri" w:hAnsi="Calibri"/>
                <w:sz w:val="21"/>
                <w:szCs w:val="21"/>
                <w:lang w:eastAsia="en-US"/>
              </w:rPr>
            </w:pPr>
            <w:r>
              <w:rPr>
                <w:rFonts w:ascii="宋体" w:hAnsi="宋体"/>
                <w:b/>
                <w:color w:val="000000"/>
                <w:w w:val="101"/>
                <w:sz w:val="21"/>
                <w:szCs w:val="21"/>
              </w:rPr>
              <w:t>32</w:t>
            </w:r>
          </w:p>
        </w:tc>
        <w:tc>
          <w:tcPr>
            <w:tcW w:w="2140" w:type="dxa"/>
            <w:tcBorders>
              <w:top w:val="single" w:color="auto" w:sz="4" w:space="0"/>
              <w:left w:val="single" w:color="auto" w:sz="4" w:space="0"/>
              <w:bottom w:val="single" w:color="auto" w:sz="4" w:space="0"/>
              <w:right w:val="single" w:color="auto" w:sz="4" w:space="0"/>
            </w:tcBorders>
            <w:vAlign w:val="center"/>
          </w:tcPr>
          <w:p w14:paraId="4350B62C">
            <w:pPr>
              <w:widowControl/>
              <w:wordWrap w:val="0"/>
              <w:autoSpaceDE w:val="0"/>
              <w:autoSpaceDN w:val="0"/>
              <w:jc w:val="center"/>
              <w:rPr>
                <w:rFonts w:ascii="Calibri" w:hAnsi="Calibri"/>
                <w:sz w:val="21"/>
                <w:szCs w:val="21"/>
              </w:rPr>
            </w:pPr>
            <w:r>
              <w:rPr>
                <w:rFonts w:ascii="宋体" w:hAnsi="宋体"/>
                <w:color w:val="000000"/>
                <w:sz w:val="21"/>
                <w:szCs w:val="21"/>
              </w:rPr>
              <w:t>喷放锅抽浆泵</w:t>
            </w:r>
          </w:p>
        </w:tc>
        <w:tc>
          <w:tcPr>
            <w:tcW w:w="3800" w:type="dxa"/>
            <w:tcBorders>
              <w:top w:val="single" w:color="auto" w:sz="4" w:space="0"/>
              <w:left w:val="single" w:color="auto" w:sz="4" w:space="0"/>
              <w:bottom w:val="single" w:color="auto" w:sz="4" w:space="0"/>
              <w:right w:val="single" w:color="auto" w:sz="4" w:space="0"/>
            </w:tcBorders>
            <w:vAlign w:val="center"/>
          </w:tcPr>
          <w:p w14:paraId="20E7F27E">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待定</w:t>
            </w:r>
          </w:p>
        </w:tc>
        <w:tc>
          <w:tcPr>
            <w:tcW w:w="1468" w:type="dxa"/>
            <w:tcBorders>
              <w:top w:val="single" w:color="auto" w:sz="4" w:space="0"/>
              <w:left w:val="single" w:color="auto" w:sz="4" w:space="0"/>
              <w:bottom w:val="single" w:color="auto" w:sz="4" w:space="0"/>
              <w:right w:val="single" w:color="auto" w:sz="4" w:space="0"/>
            </w:tcBorders>
            <w:vAlign w:val="center"/>
          </w:tcPr>
          <w:p w14:paraId="62BE4AAF">
            <w:pPr>
              <w:widowControl/>
              <w:wordWrap w:val="0"/>
              <w:autoSpaceDE w:val="0"/>
              <w:autoSpaceDN w:val="0"/>
              <w:jc w:val="center"/>
              <w:rPr>
                <w:rFonts w:ascii="Calibri" w:hAnsi="Calibri"/>
                <w:sz w:val="21"/>
                <w:szCs w:val="21"/>
              </w:rPr>
            </w:pPr>
            <w:r>
              <w:rPr>
                <w:rFonts w:hint="eastAsia"/>
                <w:sz w:val="21"/>
                <w:szCs w:val="21"/>
              </w:rPr>
              <w:t>2</w:t>
            </w:r>
          </w:p>
        </w:tc>
      </w:tr>
      <w:tr w14:paraId="00199450">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130EEC7B">
            <w:pPr>
              <w:widowControl/>
              <w:wordWrap w:val="0"/>
              <w:autoSpaceDE w:val="0"/>
              <w:autoSpaceDN w:val="0"/>
              <w:jc w:val="center"/>
              <w:rPr>
                <w:rFonts w:ascii="Calibri" w:hAnsi="Calibri"/>
                <w:sz w:val="21"/>
                <w:szCs w:val="21"/>
                <w:lang w:eastAsia="en-US"/>
              </w:rPr>
            </w:pPr>
            <w:r>
              <w:rPr>
                <w:rFonts w:ascii="宋体" w:hAnsi="宋体"/>
                <w:b/>
                <w:color w:val="000000"/>
                <w:w w:val="101"/>
                <w:sz w:val="21"/>
                <w:szCs w:val="21"/>
              </w:rPr>
              <w:t>33</w:t>
            </w:r>
          </w:p>
        </w:tc>
        <w:tc>
          <w:tcPr>
            <w:tcW w:w="2140" w:type="dxa"/>
            <w:tcBorders>
              <w:top w:val="single" w:color="auto" w:sz="4" w:space="0"/>
              <w:left w:val="single" w:color="auto" w:sz="4" w:space="0"/>
              <w:bottom w:val="single" w:color="auto" w:sz="4" w:space="0"/>
              <w:right w:val="single" w:color="auto" w:sz="4" w:space="0"/>
            </w:tcBorders>
            <w:vAlign w:val="center"/>
          </w:tcPr>
          <w:p w14:paraId="0E26C967">
            <w:pPr>
              <w:widowControl/>
              <w:wordWrap w:val="0"/>
              <w:autoSpaceDE w:val="0"/>
              <w:autoSpaceDN w:val="0"/>
              <w:jc w:val="center"/>
              <w:rPr>
                <w:rFonts w:ascii="Calibri" w:hAnsi="Calibri"/>
                <w:sz w:val="21"/>
                <w:szCs w:val="21"/>
              </w:rPr>
            </w:pPr>
            <w:r>
              <w:rPr>
                <w:rFonts w:ascii="宋体" w:hAnsi="宋体"/>
                <w:color w:val="000000"/>
                <w:sz w:val="21"/>
                <w:szCs w:val="21"/>
              </w:rPr>
              <w:t>地沟泵</w:t>
            </w:r>
          </w:p>
        </w:tc>
        <w:tc>
          <w:tcPr>
            <w:tcW w:w="3800" w:type="dxa"/>
            <w:tcBorders>
              <w:top w:val="single" w:color="auto" w:sz="4" w:space="0"/>
              <w:left w:val="single" w:color="auto" w:sz="4" w:space="0"/>
              <w:bottom w:val="single" w:color="auto" w:sz="4" w:space="0"/>
              <w:right w:val="single" w:color="auto" w:sz="4" w:space="0"/>
            </w:tcBorders>
            <w:vAlign w:val="center"/>
          </w:tcPr>
          <w:p w14:paraId="736464B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待定</w:t>
            </w:r>
          </w:p>
        </w:tc>
        <w:tc>
          <w:tcPr>
            <w:tcW w:w="1468" w:type="dxa"/>
            <w:tcBorders>
              <w:top w:val="single" w:color="auto" w:sz="4" w:space="0"/>
              <w:left w:val="single" w:color="auto" w:sz="4" w:space="0"/>
              <w:bottom w:val="single" w:color="auto" w:sz="4" w:space="0"/>
              <w:right w:val="single" w:color="auto" w:sz="4" w:space="0"/>
            </w:tcBorders>
            <w:vAlign w:val="center"/>
          </w:tcPr>
          <w:p w14:paraId="12C35312">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3CBEC945">
        <w:tblPrEx>
          <w:tblCellMar>
            <w:top w:w="0" w:type="dxa"/>
            <w:left w:w="108" w:type="dxa"/>
            <w:bottom w:w="0" w:type="dxa"/>
            <w:right w:w="108" w:type="dxa"/>
          </w:tblCellMar>
        </w:tblPrEx>
        <w:trPr>
          <w:trHeight w:val="802" w:hRule="atLeast"/>
        </w:trPr>
        <w:tc>
          <w:tcPr>
            <w:tcW w:w="1689" w:type="dxa"/>
            <w:tcBorders>
              <w:top w:val="single" w:color="auto" w:sz="4" w:space="0"/>
              <w:left w:val="single" w:color="auto" w:sz="4" w:space="0"/>
              <w:bottom w:val="single" w:color="auto" w:sz="4" w:space="0"/>
              <w:right w:val="single" w:color="auto" w:sz="4" w:space="0"/>
            </w:tcBorders>
            <w:vAlign w:val="center"/>
          </w:tcPr>
          <w:p w14:paraId="41FDA154">
            <w:pPr>
              <w:widowControl/>
              <w:wordWrap w:val="0"/>
              <w:autoSpaceDE w:val="0"/>
              <w:autoSpaceDN w:val="0"/>
              <w:jc w:val="center"/>
              <w:rPr>
                <w:rFonts w:ascii="宋体" w:hAnsi="宋体"/>
                <w:b/>
                <w:color w:val="000000"/>
                <w:w w:val="101"/>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6DBD165C">
            <w:pPr>
              <w:widowControl/>
              <w:wordWrap w:val="0"/>
              <w:autoSpaceDE w:val="0"/>
              <w:autoSpaceDN w:val="0"/>
              <w:jc w:val="center"/>
              <w:rPr>
                <w:rFonts w:ascii="宋体" w:hAnsi="宋体"/>
                <w:color w:val="000000"/>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2AE682AC">
            <w:pPr>
              <w:widowControl/>
              <w:wordWrap w:val="0"/>
              <w:autoSpaceDE w:val="0"/>
              <w:autoSpaceDN w:val="0"/>
              <w:jc w:val="center"/>
              <w:rPr>
                <w:rFonts w:ascii="Times New Roman" w:hAnsi="Times New Roman"/>
                <w:color w:val="000000"/>
                <w:sz w:val="21"/>
                <w:szCs w:val="21"/>
              </w:rPr>
            </w:pPr>
            <w:r>
              <w:rPr>
                <w:rFonts w:hint="eastAsia" w:ascii="Times New Roman" w:hAnsi="Times New Roman"/>
                <w:color w:val="000000"/>
                <w:sz w:val="21"/>
                <w:szCs w:val="21"/>
              </w:rPr>
              <w:t>以上工艺泵的流量扬程参数按最终设计参数为准</w:t>
            </w:r>
          </w:p>
        </w:tc>
        <w:tc>
          <w:tcPr>
            <w:tcW w:w="1468" w:type="dxa"/>
            <w:tcBorders>
              <w:top w:val="single" w:color="auto" w:sz="4" w:space="0"/>
              <w:left w:val="single" w:color="auto" w:sz="4" w:space="0"/>
              <w:bottom w:val="single" w:color="auto" w:sz="4" w:space="0"/>
              <w:right w:val="single" w:color="auto" w:sz="4" w:space="0"/>
            </w:tcBorders>
            <w:vAlign w:val="center"/>
          </w:tcPr>
          <w:p w14:paraId="581DAB6F">
            <w:pPr>
              <w:widowControl/>
              <w:wordWrap w:val="0"/>
              <w:autoSpaceDE w:val="0"/>
              <w:autoSpaceDN w:val="0"/>
              <w:jc w:val="center"/>
              <w:rPr>
                <w:rFonts w:ascii="宋体" w:hAnsi="宋体"/>
                <w:color w:val="000000"/>
                <w:sz w:val="21"/>
                <w:szCs w:val="21"/>
              </w:rPr>
            </w:pPr>
          </w:p>
        </w:tc>
      </w:tr>
      <w:tr w14:paraId="5DFAE886">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72700E3">
            <w:pPr>
              <w:widowControl/>
              <w:wordWrap w:val="0"/>
              <w:autoSpaceDE w:val="0"/>
              <w:autoSpaceDN w:val="0"/>
              <w:jc w:val="center"/>
              <w:rPr>
                <w:rFonts w:ascii="Calibri" w:hAnsi="Calibri"/>
                <w:sz w:val="21"/>
                <w:szCs w:val="21"/>
                <w:lang w:eastAsia="en-US"/>
              </w:rPr>
            </w:pPr>
            <w:r>
              <w:rPr>
                <w:rFonts w:ascii="宋体" w:hAnsi="宋体"/>
                <w:b/>
                <w:color w:val="000000"/>
                <w:spacing w:val="2"/>
                <w:sz w:val="21"/>
                <w:szCs w:val="21"/>
              </w:rPr>
              <w:t>六</w:t>
            </w:r>
            <w:r>
              <w:rPr>
                <w:rFonts w:ascii="宋体" w:hAnsi="宋体"/>
                <w:b/>
                <w:color w:val="000000"/>
                <w:sz w:val="21"/>
                <w:szCs w:val="21"/>
              </w:rPr>
              <w:t>、</w:t>
            </w:r>
            <w:r>
              <w:rPr>
                <w:rFonts w:hint="eastAsia" w:ascii="宋体" w:hAnsi="宋体"/>
                <w:b/>
                <w:color w:val="000000"/>
                <w:sz w:val="21"/>
                <w:szCs w:val="21"/>
              </w:rPr>
              <w:t>其他设备</w:t>
            </w:r>
          </w:p>
        </w:tc>
        <w:tc>
          <w:tcPr>
            <w:tcW w:w="2140" w:type="dxa"/>
            <w:tcBorders>
              <w:top w:val="single" w:color="auto" w:sz="4" w:space="0"/>
              <w:left w:val="single" w:color="auto" w:sz="4" w:space="0"/>
              <w:bottom w:val="single" w:color="auto" w:sz="4" w:space="0"/>
              <w:right w:val="single" w:color="auto" w:sz="4" w:space="0"/>
            </w:tcBorders>
            <w:vAlign w:val="center"/>
          </w:tcPr>
          <w:p w14:paraId="102921FE">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159BA6DC">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17C99408">
            <w:pPr>
              <w:widowControl/>
              <w:jc w:val="center"/>
              <w:rPr>
                <w:rFonts w:ascii="Calibri" w:hAnsi="Calibri"/>
                <w:sz w:val="21"/>
                <w:szCs w:val="21"/>
                <w:lang w:eastAsia="en-US"/>
              </w:rPr>
            </w:pPr>
          </w:p>
        </w:tc>
      </w:tr>
      <w:tr w14:paraId="24B89F50">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2756987D">
            <w:pPr>
              <w:widowControl/>
              <w:wordWrap w:val="0"/>
              <w:autoSpaceDE w:val="0"/>
              <w:autoSpaceDN w:val="0"/>
              <w:jc w:val="center"/>
              <w:rPr>
                <w:rFonts w:ascii="Calibri" w:hAnsi="Calibri"/>
                <w:sz w:val="21"/>
                <w:szCs w:val="21"/>
                <w:lang w:eastAsia="en-US"/>
              </w:rPr>
            </w:pPr>
            <w:r>
              <w:rPr>
                <w:rFonts w:ascii="宋体" w:hAnsi="宋体"/>
                <w:b/>
                <w:color w:val="000000"/>
                <w:w w:val="101"/>
                <w:sz w:val="21"/>
                <w:szCs w:val="21"/>
              </w:rPr>
              <w:t>34</w:t>
            </w:r>
          </w:p>
        </w:tc>
        <w:tc>
          <w:tcPr>
            <w:tcW w:w="2140" w:type="dxa"/>
            <w:tcBorders>
              <w:top w:val="single" w:color="auto" w:sz="4" w:space="0"/>
              <w:left w:val="single" w:color="auto" w:sz="4" w:space="0"/>
              <w:bottom w:val="single" w:color="auto" w:sz="4" w:space="0"/>
              <w:right w:val="single" w:color="auto" w:sz="4" w:space="0"/>
            </w:tcBorders>
            <w:vAlign w:val="center"/>
          </w:tcPr>
          <w:p w14:paraId="73EE6013">
            <w:pPr>
              <w:widowControl/>
              <w:wordWrap w:val="0"/>
              <w:autoSpaceDE w:val="0"/>
              <w:autoSpaceDN w:val="0"/>
              <w:jc w:val="center"/>
              <w:rPr>
                <w:rFonts w:ascii="Calibri" w:hAnsi="Calibri"/>
                <w:sz w:val="21"/>
                <w:szCs w:val="21"/>
              </w:rPr>
            </w:pPr>
            <w:r>
              <w:rPr>
                <w:rFonts w:ascii="宋体" w:hAnsi="宋体"/>
                <w:color w:val="000000"/>
                <w:sz w:val="21"/>
                <w:szCs w:val="21"/>
              </w:rPr>
              <w:t>黑液过滤机</w:t>
            </w:r>
          </w:p>
        </w:tc>
        <w:tc>
          <w:tcPr>
            <w:tcW w:w="3800" w:type="dxa"/>
            <w:tcBorders>
              <w:top w:val="single" w:color="auto" w:sz="4" w:space="0"/>
              <w:left w:val="single" w:color="auto" w:sz="4" w:space="0"/>
              <w:bottom w:val="single" w:color="auto" w:sz="4" w:space="0"/>
              <w:right w:val="single" w:color="auto" w:sz="4" w:space="0"/>
            </w:tcBorders>
            <w:vAlign w:val="center"/>
          </w:tcPr>
          <w:p w14:paraId="5D6BC1DA">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结构：压力式</w:t>
            </w:r>
          </w:p>
        </w:tc>
        <w:tc>
          <w:tcPr>
            <w:tcW w:w="1468" w:type="dxa"/>
            <w:tcBorders>
              <w:top w:val="single" w:color="auto" w:sz="4" w:space="0"/>
              <w:left w:val="single" w:color="auto" w:sz="4" w:space="0"/>
              <w:bottom w:val="single" w:color="auto" w:sz="4" w:space="0"/>
              <w:right w:val="single" w:color="auto" w:sz="4" w:space="0"/>
            </w:tcBorders>
            <w:vAlign w:val="center"/>
          </w:tcPr>
          <w:p w14:paraId="5524B313">
            <w:pPr>
              <w:widowControl/>
              <w:wordWrap w:val="0"/>
              <w:autoSpaceDE w:val="0"/>
              <w:autoSpaceDN w:val="0"/>
              <w:jc w:val="center"/>
              <w:rPr>
                <w:rFonts w:ascii="Calibri" w:hAnsi="Calibri"/>
                <w:sz w:val="21"/>
                <w:szCs w:val="21"/>
              </w:rPr>
            </w:pPr>
            <w:r>
              <w:rPr>
                <w:rFonts w:hint="eastAsia"/>
                <w:sz w:val="21"/>
                <w:szCs w:val="21"/>
              </w:rPr>
              <w:t>2</w:t>
            </w:r>
          </w:p>
        </w:tc>
      </w:tr>
      <w:tr w14:paraId="0361656C">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23EDD20">
            <w:pPr>
              <w:widowControl/>
              <w:jc w:val="center"/>
              <w:rPr>
                <w:rFonts w:ascii="Calibri" w:hAnsi="Calibri"/>
                <w:sz w:val="21"/>
                <w:szCs w:val="21"/>
                <w:lang w:eastAsia="en-US"/>
              </w:rPr>
            </w:pPr>
          </w:p>
        </w:tc>
        <w:tc>
          <w:tcPr>
            <w:tcW w:w="2140" w:type="dxa"/>
            <w:tcBorders>
              <w:top w:val="single" w:color="auto" w:sz="4" w:space="0"/>
              <w:left w:val="single" w:color="auto" w:sz="4" w:space="0"/>
              <w:bottom w:val="single" w:color="auto" w:sz="4" w:space="0"/>
              <w:right w:val="single" w:color="auto" w:sz="4" w:space="0"/>
            </w:tcBorders>
            <w:vAlign w:val="center"/>
          </w:tcPr>
          <w:p w14:paraId="03338B4C">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58A711E6">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湿部材质：SS3</w:t>
            </w:r>
            <w:r>
              <w:rPr>
                <w:rFonts w:hint="eastAsia" w:ascii="Times New Roman" w:hAnsi="Times New Roman"/>
                <w:color w:val="000000"/>
                <w:sz w:val="21"/>
                <w:szCs w:val="21"/>
              </w:rPr>
              <w:t>04L+SS316L</w:t>
            </w:r>
          </w:p>
        </w:tc>
        <w:tc>
          <w:tcPr>
            <w:tcW w:w="1468" w:type="dxa"/>
            <w:tcBorders>
              <w:top w:val="single" w:color="auto" w:sz="4" w:space="0"/>
              <w:left w:val="single" w:color="auto" w:sz="4" w:space="0"/>
              <w:bottom w:val="single" w:color="auto" w:sz="4" w:space="0"/>
              <w:right w:val="single" w:color="auto" w:sz="4" w:space="0"/>
            </w:tcBorders>
            <w:vAlign w:val="center"/>
          </w:tcPr>
          <w:p w14:paraId="0232B4CE">
            <w:pPr>
              <w:widowControl/>
              <w:jc w:val="center"/>
              <w:rPr>
                <w:rFonts w:ascii="Calibri" w:hAnsi="Calibri"/>
                <w:sz w:val="21"/>
                <w:szCs w:val="21"/>
              </w:rPr>
            </w:pPr>
          </w:p>
        </w:tc>
      </w:tr>
      <w:tr w14:paraId="34C3BAF4">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4805A5E0">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4A555B8B">
            <w:pPr>
              <w:widowControl/>
              <w:jc w:val="center"/>
              <w:rPr>
                <w:rFonts w:ascii="Calibri" w:hAnsi="Calibri"/>
                <w:sz w:val="21"/>
                <w:szCs w:val="21"/>
              </w:rPr>
            </w:pPr>
          </w:p>
        </w:tc>
        <w:tc>
          <w:tcPr>
            <w:tcW w:w="3800" w:type="dxa"/>
            <w:tcBorders>
              <w:top w:val="single" w:color="auto" w:sz="4" w:space="0"/>
              <w:left w:val="single" w:color="auto" w:sz="4" w:space="0"/>
              <w:bottom w:val="single" w:color="auto" w:sz="4" w:space="0"/>
              <w:right w:val="single" w:color="auto" w:sz="4" w:space="0"/>
            </w:tcBorders>
            <w:vAlign w:val="center"/>
          </w:tcPr>
          <w:p w14:paraId="44FA863D">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滤后黑液纤维含量：≤</w:t>
            </w:r>
            <w:r>
              <w:rPr>
                <w:rFonts w:hint="eastAsia" w:ascii="Times New Roman" w:hAnsi="Times New Roman"/>
                <w:color w:val="000000"/>
                <w:sz w:val="21"/>
                <w:szCs w:val="21"/>
              </w:rPr>
              <w:t>4</w:t>
            </w:r>
            <w:r>
              <w:rPr>
                <w:rFonts w:ascii="Times New Roman" w:hAnsi="Times New Roman"/>
                <w:color w:val="000000"/>
                <w:sz w:val="21"/>
                <w:szCs w:val="21"/>
              </w:rPr>
              <w:t>0ppm</w:t>
            </w:r>
          </w:p>
        </w:tc>
        <w:tc>
          <w:tcPr>
            <w:tcW w:w="1468" w:type="dxa"/>
            <w:tcBorders>
              <w:top w:val="single" w:color="auto" w:sz="4" w:space="0"/>
              <w:left w:val="single" w:color="auto" w:sz="4" w:space="0"/>
              <w:bottom w:val="single" w:color="auto" w:sz="4" w:space="0"/>
              <w:right w:val="single" w:color="auto" w:sz="4" w:space="0"/>
            </w:tcBorders>
            <w:vAlign w:val="center"/>
          </w:tcPr>
          <w:p w14:paraId="31683056">
            <w:pPr>
              <w:widowControl/>
              <w:jc w:val="center"/>
              <w:rPr>
                <w:rFonts w:ascii="Calibri" w:hAnsi="Calibri"/>
                <w:sz w:val="21"/>
                <w:szCs w:val="21"/>
              </w:rPr>
            </w:pPr>
          </w:p>
        </w:tc>
      </w:tr>
      <w:tr w14:paraId="79B93C41">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A62CA9A">
            <w:pPr>
              <w:widowControl/>
              <w:jc w:val="center"/>
              <w:rPr>
                <w:rFonts w:ascii="Calibri" w:hAnsi="Calibri"/>
                <w:sz w:val="21"/>
                <w:szCs w:val="21"/>
              </w:rPr>
            </w:pPr>
          </w:p>
        </w:tc>
        <w:tc>
          <w:tcPr>
            <w:tcW w:w="2140" w:type="dxa"/>
            <w:tcBorders>
              <w:top w:val="single" w:color="auto" w:sz="4" w:space="0"/>
              <w:left w:val="single" w:color="auto" w:sz="4" w:space="0"/>
              <w:bottom w:val="single" w:color="auto" w:sz="4" w:space="0"/>
              <w:right w:val="single" w:color="auto" w:sz="4" w:space="0"/>
            </w:tcBorders>
            <w:vAlign w:val="center"/>
          </w:tcPr>
          <w:p w14:paraId="58E5CEAA">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38D1D53F">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01798123">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2451B1F0">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091B68F1">
            <w:pPr>
              <w:widowControl/>
              <w:wordWrap w:val="0"/>
              <w:autoSpaceDE w:val="0"/>
              <w:autoSpaceDN w:val="0"/>
              <w:jc w:val="center"/>
              <w:rPr>
                <w:rFonts w:ascii="Calibri" w:hAnsi="Calibri"/>
                <w:sz w:val="21"/>
                <w:szCs w:val="21"/>
                <w:lang w:eastAsia="en-US"/>
              </w:rPr>
            </w:pPr>
            <w:r>
              <w:rPr>
                <w:rFonts w:ascii="宋体" w:hAnsi="宋体"/>
                <w:color w:val="000000"/>
                <w:sz w:val="21"/>
                <w:szCs w:val="21"/>
              </w:rPr>
              <w:t>35</w:t>
            </w:r>
          </w:p>
        </w:tc>
        <w:tc>
          <w:tcPr>
            <w:tcW w:w="2140" w:type="dxa"/>
            <w:tcBorders>
              <w:top w:val="single" w:color="auto" w:sz="4" w:space="0"/>
              <w:left w:val="single" w:color="auto" w:sz="4" w:space="0"/>
              <w:bottom w:val="single" w:color="auto" w:sz="4" w:space="0"/>
              <w:right w:val="single" w:color="auto" w:sz="4" w:space="0"/>
            </w:tcBorders>
            <w:vAlign w:val="center"/>
          </w:tcPr>
          <w:p w14:paraId="45268770">
            <w:pPr>
              <w:widowControl/>
              <w:wordWrap w:val="0"/>
              <w:autoSpaceDE w:val="0"/>
              <w:autoSpaceDN w:val="0"/>
              <w:jc w:val="center"/>
              <w:rPr>
                <w:rFonts w:ascii="Calibri" w:hAnsi="Calibri"/>
                <w:sz w:val="21"/>
                <w:szCs w:val="21"/>
              </w:rPr>
            </w:pPr>
            <w:r>
              <w:rPr>
                <w:rFonts w:ascii="宋体" w:hAnsi="宋体"/>
                <w:color w:val="000000"/>
                <w:sz w:val="21"/>
                <w:szCs w:val="21"/>
              </w:rPr>
              <w:t>抽气风机</w:t>
            </w:r>
          </w:p>
        </w:tc>
        <w:tc>
          <w:tcPr>
            <w:tcW w:w="3800" w:type="dxa"/>
            <w:tcBorders>
              <w:top w:val="single" w:color="auto" w:sz="4" w:space="0"/>
              <w:left w:val="single" w:color="auto" w:sz="4" w:space="0"/>
              <w:bottom w:val="single" w:color="auto" w:sz="4" w:space="0"/>
              <w:right w:val="single" w:color="auto" w:sz="4" w:space="0"/>
            </w:tcBorders>
            <w:vAlign w:val="center"/>
          </w:tcPr>
          <w:p w14:paraId="2CC04E97">
            <w:pPr>
              <w:widowControl/>
              <w:wordWrap w:val="0"/>
              <w:autoSpaceDE w:val="0"/>
              <w:autoSpaceDN w:val="0"/>
              <w:jc w:val="center"/>
              <w:rPr>
                <w:rFonts w:ascii="Times New Roman" w:hAnsi="Times New Roman"/>
                <w:sz w:val="21"/>
                <w:szCs w:val="21"/>
              </w:rPr>
            </w:pPr>
            <w:r>
              <w:rPr>
                <w:rFonts w:ascii="Times New Roman" w:hAnsi="Times New Roman"/>
                <w:color w:val="000000"/>
                <w:sz w:val="21"/>
                <w:szCs w:val="21"/>
              </w:rPr>
              <w:t>材质</w:t>
            </w:r>
            <w:r>
              <w:rPr>
                <w:rFonts w:ascii="Times New Roman" w:hAnsi="Times New Roman" w:eastAsia="Times New Roman"/>
                <w:color w:val="000000"/>
                <w:spacing w:val="-1"/>
                <w:sz w:val="21"/>
                <w:szCs w:val="21"/>
              </w:rPr>
              <w:t xml:space="preserve"> </w:t>
            </w:r>
            <w:r>
              <w:rPr>
                <w:rFonts w:ascii="Times New Roman" w:hAnsi="Times New Roman"/>
                <w:color w:val="000000"/>
                <w:sz w:val="21"/>
                <w:szCs w:val="21"/>
              </w:rPr>
              <w:t>SS304L</w:t>
            </w:r>
            <w:r>
              <w:rPr>
                <w:rFonts w:ascii="Times New Roman" w:hAnsi="Times New Roman" w:eastAsia="Times New Roman"/>
                <w:color w:val="000000"/>
                <w:sz w:val="21"/>
                <w:szCs w:val="21"/>
              </w:rPr>
              <w:t xml:space="preserve"> </w:t>
            </w:r>
            <w:r>
              <w:rPr>
                <w:rFonts w:ascii="Times New Roman" w:hAnsi="Times New Roman"/>
                <w:color w:val="000000"/>
                <w:sz w:val="21"/>
                <w:szCs w:val="21"/>
              </w:rPr>
              <w:t>或更好</w:t>
            </w:r>
          </w:p>
        </w:tc>
        <w:tc>
          <w:tcPr>
            <w:tcW w:w="1468" w:type="dxa"/>
            <w:tcBorders>
              <w:top w:val="single" w:color="auto" w:sz="4" w:space="0"/>
              <w:left w:val="single" w:color="auto" w:sz="4" w:space="0"/>
              <w:bottom w:val="single" w:color="auto" w:sz="4" w:space="0"/>
              <w:right w:val="single" w:color="auto" w:sz="4" w:space="0"/>
            </w:tcBorders>
            <w:vAlign w:val="center"/>
          </w:tcPr>
          <w:p w14:paraId="318DA6F4">
            <w:pPr>
              <w:widowControl/>
              <w:wordWrap w:val="0"/>
              <w:autoSpaceDE w:val="0"/>
              <w:autoSpaceDN w:val="0"/>
              <w:jc w:val="center"/>
              <w:rPr>
                <w:rFonts w:ascii="Calibri" w:hAnsi="Calibri"/>
                <w:sz w:val="21"/>
                <w:szCs w:val="21"/>
                <w:lang w:eastAsia="en-US"/>
              </w:rPr>
            </w:pPr>
            <w:r>
              <w:rPr>
                <w:rFonts w:ascii="宋体" w:hAnsi="宋体"/>
                <w:color w:val="000000"/>
                <w:sz w:val="21"/>
                <w:szCs w:val="21"/>
              </w:rPr>
              <w:t>1</w:t>
            </w:r>
          </w:p>
        </w:tc>
      </w:tr>
      <w:tr w14:paraId="2BECEE8E">
        <w:tblPrEx>
          <w:tblCellMar>
            <w:top w:w="0" w:type="dxa"/>
            <w:left w:w="108" w:type="dxa"/>
            <w:bottom w:w="0" w:type="dxa"/>
            <w:right w:w="108" w:type="dxa"/>
          </w:tblCellMar>
        </w:tblPrEx>
        <w:trPr>
          <w:trHeight w:val="764" w:hRule="atLeast"/>
        </w:trPr>
        <w:tc>
          <w:tcPr>
            <w:tcW w:w="1689" w:type="dxa"/>
            <w:tcBorders>
              <w:top w:val="single" w:color="auto" w:sz="4" w:space="0"/>
              <w:left w:val="single" w:color="auto" w:sz="4" w:space="0"/>
              <w:bottom w:val="single" w:color="auto" w:sz="4" w:space="0"/>
              <w:right w:val="single" w:color="auto" w:sz="4" w:space="0"/>
            </w:tcBorders>
            <w:vAlign w:val="center"/>
          </w:tcPr>
          <w:p w14:paraId="6C0613C0">
            <w:pPr>
              <w:widowControl/>
              <w:jc w:val="center"/>
              <w:rPr>
                <w:rFonts w:ascii="Calibri" w:hAnsi="Calibri"/>
                <w:sz w:val="21"/>
                <w:szCs w:val="21"/>
                <w:lang w:eastAsia="en-US"/>
              </w:rPr>
            </w:pPr>
          </w:p>
        </w:tc>
        <w:tc>
          <w:tcPr>
            <w:tcW w:w="2140" w:type="dxa"/>
            <w:tcBorders>
              <w:top w:val="single" w:color="auto" w:sz="4" w:space="0"/>
              <w:left w:val="single" w:color="auto" w:sz="4" w:space="0"/>
              <w:bottom w:val="single" w:color="auto" w:sz="4" w:space="0"/>
              <w:right w:val="single" w:color="auto" w:sz="4" w:space="0"/>
            </w:tcBorders>
            <w:vAlign w:val="center"/>
          </w:tcPr>
          <w:p w14:paraId="1C5244C1">
            <w:pPr>
              <w:widowControl/>
              <w:wordWrap w:val="0"/>
              <w:autoSpaceDE w:val="0"/>
              <w:autoSpaceDN w:val="0"/>
              <w:jc w:val="center"/>
              <w:rPr>
                <w:rFonts w:ascii="Calibri" w:hAnsi="Calibri"/>
                <w:sz w:val="21"/>
                <w:szCs w:val="21"/>
              </w:rPr>
            </w:pPr>
            <w:r>
              <w:rPr>
                <w:rFonts w:ascii="宋体" w:hAnsi="宋体"/>
                <w:color w:val="000000"/>
                <w:sz w:val="21"/>
                <w:szCs w:val="21"/>
              </w:rPr>
              <w:t>附电机</w:t>
            </w:r>
          </w:p>
        </w:tc>
        <w:tc>
          <w:tcPr>
            <w:tcW w:w="3800" w:type="dxa"/>
            <w:tcBorders>
              <w:top w:val="single" w:color="auto" w:sz="4" w:space="0"/>
              <w:left w:val="single" w:color="auto" w:sz="4" w:space="0"/>
              <w:bottom w:val="single" w:color="auto" w:sz="4" w:space="0"/>
              <w:right w:val="single" w:color="auto" w:sz="4" w:space="0"/>
            </w:tcBorders>
            <w:vAlign w:val="center"/>
          </w:tcPr>
          <w:p w14:paraId="0D2CBD95">
            <w:pPr>
              <w:widowControl/>
              <w:jc w:val="center"/>
              <w:rPr>
                <w:rFonts w:ascii="Times New Roman" w:hAnsi="Times New Roman"/>
                <w:sz w:val="21"/>
                <w:szCs w:val="21"/>
              </w:rPr>
            </w:pPr>
          </w:p>
        </w:tc>
        <w:tc>
          <w:tcPr>
            <w:tcW w:w="1468" w:type="dxa"/>
            <w:tcBorders>
              <w:top w:val="single" w:color="auto" w:sz="4" w:space="0"/>
              <w:left w:val="single" w:color="auto" w:sz="4" w:space="0"/>
              <w:bottom w:val="single" w:color="auto" w:sz="4" w:space="0"/>
              <w:right w:val="single" w:color="auto" w:sz="4" w:space="0"/>
            </w:tcBorders>
            <w:vAlign w:val="center"/>
          </w:tcPr>
          <w:p w14:paraId="1A513E97">
            <w:pPr>
              <w:widowControl/>
              <w:jc w:val="center"/>
              <w:rPr>
                <w:rFonts w:ascii="Calibri" w:hAnsi="Calibri"/>
                <w:sz w:val="21"/>
                <w:szCs w:val="21"/>
                <w:lang w:eastAsia="en-US"/>
              </w:rPr>
            </w:pPr>
          </w:p>
        </w:tc>
      </w:tr>
    </w:tbl>
    <w:p w14:paraId="22F4B7D9">
      <w:pPr>
        <w:pStyle w:val="17"/>
        <w:ind w:left="0" w:leftChars="0" w:firstLine="240" w:firstLineChars="100"/>
        <w:rPr>
          <w:sz w:val="24"/>
          <w:szCs w:val="24"/>
        </w:rPr>
      </w:pPr>
      <w:r>
        <w:rPr>
          <w:rFonts w:hint="eastAsia"/>
          <w:sz w:val="24"/>
          <w:szCs w:val="24"/>
        </w:rPr>
        <w:t>注：上述主体设备清单及其他辅助设备清单以最终设计为准。</w:t>
      </w:r>
    </w:p>
    <w:p w14:paraId="0FE8442A">
      <w:pPr>
        <w:pStyle w:val="5"/>
        <w:ind w:firstLine="480"/>
      </w:pPr>
      <w:r>
        <w:rPr>
          <w:rFonts w:hint="eastAsia"/>
        </w:rPr>
        <w:t>9.2洗选工段区主体设备主要配置技术要求</w:t>
      </w:r>
    </w:p>
    <w:p w14:paraId="6D85DE6A">
      <w:pPr>
        <w:pStyle w:val="23"/>
        <w:ind w:firstLine="720"/>
        <w:rPr>
          <w:rFonts w:hint="default"/>
        </w:rPr>
      </w:pPr>
      <w:r>
        <w:rPr>
          <w:lang w:val="en-US"/>
        </w:rPr>
        <w:t>9</w:t>
      </w:r>
      <w:r>
        <w:t>.2.1供货主体设备明细：</w:t>
      </w:r>
    </w:p>
    <w:tbl>
      <w:tblPr>
        <w:tblStyle w:val="18"/>
        <w:tblW w:w="9691" w:type="dxa"/>
        <w:tblInd w:w="0" w:type="dxa"/>
        <w:tblLayout w:type="fixed"/>
        <w:tblCellMar>
          <w:top w:w="0" w:type="dxa"/>
          <w:left w:w="0" w:type="dxa"/>
          <w:bottom w:w="0" w:type="dxa"/>
          <w:right w:w="0" w:type="dxa"/>
        </w:tblCellMar>
      </w:tblPr>
      <w:tblGrid>
        <w:gridCol w:w="871"/>
        <w:gridCol w:w="1789"/>
        <w:gridCol w:w="2410"/>
        <w:gridCol w:w="1786"/>
        <w:gridCol w:w="840"/>
        <w:gridCol w:w="840"/>
        <w:gridCol w:w="1155"/>
      </w:tblGrid>
      <w:tr w14:paraId="32481F1B">
        <w:tblPrEx>
          <w:tblCellMar>
            <w:top w:w="0" w:type="dxa"/>
            <w:left w:w="0" w:type="dxa"/>
            <w:bottom w:w="0" w:type="dxa"/>
            <w:right w:w="0" w:type="dxa"/>
          </w:tblCellMar>
        </w:tblPrEx>
        <w:trPr>
          <w:trHeight w:val="766"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5BC3001">
            <w:pPr>
              <w:widowControl/>
              <w:spacing w:line="360" w:lineRule="auto"/>
              <w:jc w:val="center"/>
              <w:rPr>
                <w:rFonts w:ascii="宋体" w:hAnsi="宋体" w:cs="宋体"/>
                <w:b/>
                <w:sz w:val="21"/>
                <w:szCs w:val="21"/>
              </w:rPr>
            </w:pPr>
            <w:r>
              <w:rPr>
                <w:rFonts w:hint="eastAsia" w:ascii="宋体" w:hAnsi="宋体" w:cs="宋体"/>
                <w:b/>
                <w:sz w:val="21"/>
                <w:szCs w:val="21"/>
              </w:rPr>
              <w:t>序号</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74AA0">
            <w:pPr>
              <w:widowControl/>
              <w:spacing w:line="360" w:lineRule="auto"/>
              <w:jc w:val="center"/>
              <w:rPr>
                <w:rFonts w:ascii="宋体" w:hAnsi="宋体" w:cs="宋体"/>
                <w:b/>
                <w:sz w:val="21"/>
                <w:szCs w:val="21"/>
              </w:rPr>
            </w:pPr>
            <w:r>
              <w:rPr>
                <w:rFonts w:hint="eastAsia" w:ascii="宋体" w:hAnsi="宋体" w:cs="宋体"/>
                <w:b/>
                <w:sz w:val="21"/>
                <w:szCs w:val="21"/>
              </w:rPr>
              <w:t>设备名称</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AFCF9">
            <w:pPr>
              <w:widowControl/>
              <w:spacing w:line="360" w:lineRule="auto"/>
              <w:jc w:val="center"/>
              <w:rPr>
                <w:rFonts w:ascii="宋体" w:hAnsi="宋体" w:cs="宋体"/>
                <w:b/>
                <w:sz w:val="21"/>
                <w:szCs w:val="21"/>
              </w:rPr>
            </w:pPr>
            <w:r>
              <w:rPr>
                <w:rFonts w:hint="eastAsia" w:ascii="宋体" w:hAnsi="宋体" w:cs="宋体"/>
                <w:b/>
                <w:sz w:val="21"/>
                <w:szCs w:val="21"/>
              </w:rPr>
              <w:t>设备性能参数</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72BB31D">
            <w:pPr>
              <w:widowControl/>
              <w:spacing w:line="360" w:lineRule="auto"/>
              <w:jc w:val="center"/>
              <w:rPr>
                <w:rFonts w:ascii="宋体" w:hAnsi="宋体" w:cs="宋体"/>
                <w:b/>
                <w:sz w:val="21"/>
                <w:szCs w:val="21"/>
              </w:rPr>
            </w:pPr>
            <w:r>
              <w:rPr>
                <w:rFonts w:hint="eastAsia" w:ascii="宋体" w:hAnsi="宋体" w:cs="宋体"/>
                <w:b/>
                <w:sz w:val="21"/>
                <w:szCs w:val="21"/>
              </w:rPr>
              <w:t>选型型号</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2B15DF">
            <w:pPr>
              <w:widowControl/>
              <w:spacing w:line="360" w:lineRule="auto"/>
              <w:jc w:val="center"/>
              <w:rPr>
                <w:rFonts w:ascii="宋体" w:hAnsi="宋体" w:cs="宋体"/>
                <w:b/>
                <w:sz w:val="21"/>
                <w:szCs w:val="21"/>
              </w:rPr>
            </w:pPr>
            <w:r>
              <w:rPr>
                <w:rFonts w:hint="eastAsia" w:ascii="宋体" w:hAnsi="宋体" w:cs="宋体"/>
                <w:b/>
                <w:sz w:val="21"/>
                <w:szCs w:val="21"/>
              </w:rPr>
              <w:t>数量</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4D41479">
            <w:pPr>
              <w:widowControl/>
              <w:spacing w:line="360" w:lineRule="auto"/>
              <w:jc w:val="center"/>
              <w:rPr>
                <w:rFonts w:ascii="宋体" w:hAnsi="宋体" w:cs="宋体"/>
                <w:b/>
                <w:sz w:val="21"/>
                <w:szCs w:val="21"/>
              </w:rPr>
            </w:pPr>
            <w:r>
              <w:rPr>
                <w:rFonts w:hint="eastAsia" w:ascii="宋体" w:hAnsi="宋体" w:cs="宋体"/>
                <w:b/>
                <w:sz w:val="21"/>
                <w:szCs w:val="21"/>
              </w:rPr>
              <w:t>单位</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544F4D">
            <w:pPr>
              <w:widowControl/>
              <w:spacing w:line="360" w:lineRule="auto"/>
              <w:jc w:val="center"/>
              <w:rPr>
                <w:rFonts w:ascii="宋体" w:hAnsi="宋体" w:cs="宋体"/>
                <w:b/>
                <w:sz w:val="21"/>
                <w:szCs w:val="21"/>
              </w:rPr>
            </w:pPr>
            <w:r>
              <w:rPr>
                <w:rFonts w:hint="eastAsia" w:ascii="宋体" w:hAnsi="宋体" w:cs="宋体"/>
                <w:b/>
                <w:sz w:val="21"/>
                <w:szCs w:val="21"/>
              </w:rPr>
              <w:t>功率</w:t>
            </w:r>
          </w:p>
        </w:tc>
      </w:tr>
      <w:tr w14:paraId="7D584745">
        <w:tblPrEx>
          <w:tblCellMar>
            <w:top w:w="0" w:type="dxa"/>
            <w:left w:w="0" w:type="dxa"/>
            <w:bottom w:w="0" w:type="dxa"/>
            <w:right w:w="0" w:type="dxa"/>
          </w:tblCellMar>
        </w:tblPrEx>
        <w:trPr>
          <w:trHeight w:val="854"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41C30">
            <w:pPr>
              <w:widowControl/>
              <w:spacing w:line="360" w:lineRule="auto"/>
              <w:jc w:val="center"/>
              <w:rPr>
                <w:rFonts w:ascii="Times New Roman" w:hAnsi="Times New Roman"/>
                <w:sz w:val="21"/>
                <w:szCs w:val="21"/>
              </w:rPr>
            </w:pPr>
            <w:r>
              <w:rPr>
                <w:rFonts w:ascii="Times New Roman" w:hAnsi="Times New Roman"/>
                <w:sz w:val="21"/>
                <w:szCs w:val="21"/>
              </w:rPr>
              <w:t>1</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9C4E66">
            <w:pPr>
              <w:widowControl/>
              <w:spacing w:line="360" w:lineRule="auto"/>
              <w:jc w:val="center"/>
              <w:rPr>
                <w:rFonts w:ascii="Times New Roman" w:hAnsi="Times New Roman"/>
                <w:sz w:val="21"/>
                <w:szCs w:val="21"/>
              </w:rPr>
            </w:pPr>
            <w:r>
              <w:rPr>
                <w:rFonts w:ascii="Times New Roman" w:hAnsi="Times New Roman"/>
                <w:sz w:val="21"/>
                <w:szCs w:val="21"/>
              </w:rPr>
              <w:t>高浓除渣器</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5425AC8">
            <w:pPr>
              <w:widowControl/>
              <w:spacing w:line="360" w:lineRule="auto"/>
              <w:jc w:val="center"/>
              <w:rPr>
                <w:rFonts w:ascii="Times New Roman" w:hAnsi="Times New Roman"/>
                <w:sz w:val="21"/>
                <w:szCs w:val="21"/>
              </w:rPr>
            </w:pPr>
            <w:r>
              <w:rPr>
                <w:rFonts w:hint="eastAsia" w:ascii="Times New Roman" w:hAnsi="Times New Roman"/>
                <w:sz w:val="21"/>
                <w:szCs w:val="21"/>
              </w:rPr>
              <w:t>按设计</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686C76">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02E143">
            <w:pPr>
              <w:widowControl/>
              <w:spacing w:line="360" w:lineRule="auto"/>
              <w:jc w:val="center"/>
              <w:rPr>
                <w:rFonts w:ascii="Times New Roman" w:hAnsi="Times New Roman"/>
                <w:sz w:val="21"/>
                <w:szCs w:val="21"/>
              </w:rPr>
            </w:pPr>
            <w:r>
              <w:rPr>
                <w:rFonts w:hint="eastAsia" w:ascii="Times New Roman" w:hAnsi="Times New Roman"/>
                <w:sz w:val="21"/>
                <w:szCs w:val="21"/>
              </w:rPr>
              <w:t>2</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2A6B59">
            <w:pPr>
              <w:widowControl/>
              <w:spacing w:line="360" w:lineRule="auto"/>
              <w:jc w:val="center"/>
              <w:rPr>
                <w:rFonts w:ascii="Times New Roman" w:hAnsi="Times New Roman"/>
                <w:sz w:val="21"/>
                <w:szCs w:val="21"/>
              </w:rPr>
            </w:pPr>
            <w:r>
              <w:rPr>
                <w:rFonts w:hint="eastAsia" w:ascii="Times New Roman" w:hAnsi="Times New Roman"/>
                <w:sz w:val="21"/>
                <w:szCs w:val="21"/>
              </w:rPr>
              <w:t>处</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C34DFA">
            <w:pPr>
              <w:widowControl/>
              <w:spacing w:line="360" w:lineRule="auto"/>
              <w:jc w:val="center"/>
              <w:rPr>
                <w:rFonts w:ascii="Times New Roman" w:hAnsi="Times New Roman"/>
                <w:sz w:val="21"/>
                <w:szCs w:val="21"/>
              </w:rPr>
            </w:pPr>
          </w:p>
        </w:tc>
      </w:tr>
      <w:tr w14:paraId="5BADF9F2">
        <w:tblPrEx>
          <w:tblCellMar>
            <w:top w:w="0" w:type="dxa"/>
            <w:left w:w="0" w:type="dxa"/>
            <w:bottom w:w="0" w:type="dxa"/>
            <w:right w:w="0" w:type="dxa"/>
          </w:tblCellMar>
        </w:tblPrEx>
        <w:trPr>
          <w:trHeight w:val="899"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8140D3">
            <w:pPr>
              <w:widowControl/>
              <w:spacing w:line="360" w:lineRule="auto"/>
              <w:jc w:val="center"/>
              <w:rPr>
                <w:rFonts w:ascii="Times New Roman" w:hAnsi="Times New Roman"/>
                <w:sz w:val="21"/>
                <w:szCs w:val="21"/>
              </w:rPr>
            </w:pPr>
            <w:r>
              <w:rPr>
                <w:rFonts w:ascii="Times New Roman" w:hAnsi="Times New Roman"/>
                <w:sz w:val="21"/>
                <w:szCs w:val="21"/>
              </w:rPr>
              <w:t>2</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72E55E">
            <w:pPr>
              <w:widowControl/>
              <w:spacing w:line="360" w:lineRule="auto"/>
              <w:jc w:val="center"/>
              <w:rPr>
                <w:rFonts w:ascii="Times New Roman" w:hAnsi="Times New Roman"/>
                <w:sz w:val="21"/>
                <w:szCs w:val="21"/>
              </w:rPr>
            </w:pPr>
            <w:r>
              <w:rPr>
                <w:rFonts w:ascii="Times New Roman" w:hAnsi="Times New Roman"/>
                <w:sz w:val="21"/>
                <w:szCs w:val="21"/>
              </w:rPr>
              <w:t>除节机</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F6E6E3">
            <w:pPr>
              <w:widowControl/>
              <w:spacing w:line="360" w:lineRule="auto"/>
              <w:jc w:val="center"/>
              <w:rPr>
                <w:rFonts w:ascii="Times New Roman" w:hAnsi="Times New Roman"/>
                <w:sz w:val="21"/>
                <w:szCs w:val="21"/>
              </w:rPr>
            </w:pPr>
            <w:r>
              <w:rPr>
                <w:rFonts w:hint="eastAsia" w:ascii="Times New Roman" w:hAnsi="Times New Roman"/>
                <w:sz w:val="21"/>
                <w:szCs w:val="21"/>
              </w:rPr>
              <w:t>按设计</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096843">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A38649">
            <w:pPr>
              <w:widowControl/>
              <w:spacing w:line="360" w:lineRule="auto"/>
              <w:jc w:val="center"/>
              <w:rPr>
                <w:rFonts w:ascii="Times New Roman" w:hAnsi="Times New Roman"/>
                <w:sz w:val="21"/>
                <w:szCs w:val="21"/>
              </w:rPr>
            </w:pPr>
            <w:r>
              <w:rPr>
                <w:rFonts w:ascii="Times New Roman" w:hAnsi="Times New Roman"/>
                <w:sz w:val="21"/>
                <w:szCs w:val="21"/>
              </w:rPr>
              <w:t>1</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FF8177">
            <w:pPr>
              <w:widowControl/>
              <w:spacing w:line="360" w:lineRule="auto"/>
              <w:jc w:val="center"/>
              <w:rPr>
                <w:rFonts w:ascii="Times New Roman" w:hAnsi="Times New Roman"/>
                <w:sz w:val="21"/>
                <w:szCs w:val="21"/>
              </w:rPr>
            </w:pPr>
            <w:r>
              <w:rPr>
                <w:rFonts w:ascii="Times New Roman" w:hAnsi="Times New Roman"/>
                <w:sz w:val="21"/>
                <w:szCs w:val="21"/>
              </w:rPr>
              <w:t>台</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5C5C6E">
            <w:pPr>
              <w:widowControl/>
              <w:spacing w:line="360" w:lineRule="auto"/>
              <w:jc w:val="center"/>
              <w:rPr>
                <w:rFonts w:ascii="Times New Roman" w:hAnsi="Times New Roman"/>
                <w:sz w:val="21"/>
                <w:szCs w:val="21"/>
              </w:rPr>
            </w:pPr>
          </w:p>
        </w:tc>
      </w:tr>
      <w:tr w14:paraId="0B90E0A6">
        <w:tblPrEx>
          <w:tblCellMar>
            <w:top w:w="0" w:type="dxa"/>
            <w:left w:w="0" w:type="dxa"/>
            <w:bottom w:w="0" w:type="dxa"/>
            <w:right w:w="0" w:type="dxa"/>
          </w:tblCellMar>
        </w:tblPrEx>
        <w:trPr>
          <w:trHeight w:val="779"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49AD25">
            <w:pPr>
              <w:widowControl/>
              <w:spacing w:line="360" w:lineRule="auto"/>
              <w:jc w:val="center"/>
              <w:rPr>
                <w:rFonts w:ascii="Times New Roman" w:hAnsi="Times New Roman"/>
                <w:sz w:val="21"/>
                <w:szCs w:val="21"/>
              </w:rPr>
            </w:pPr>
            <w:r>
              <w:rPr>
                <w:rFonts w:ascii="Times New Roman" w:hAnsi="Times New Roman"/>
                <w:sz w:val="21"/>
                <w:szCs w:val="21"/>
              </w:rPr>
              <w:t>3</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189073">
            <w:pPr>
              <w:widowControl/>
              <w:spacing w:line="360" w:lineRule="auto"/>
              <w:jc w:val="center"/>
              <w:rPr>
                <w:rFonts w:ascii="Times New Roman" w:hAnsi="Times New Roman"/>
                <w:sz w:val="21"/>
                <w:szCs w:val="21"/>
              </w:rPr>
            </w:pPr>
            <w:r>
              <w:rPr>
                <w:rFonts w:ascii="Times New Roman" w:hAnsi="Times New Roman"/>
                <w:sz w:val="21"/>
                <w:szCs w:val="21"/>
              </w:rPr>
              <w:t>洗节机</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B07B77E">
            <w:pPr>
              <w:widowControl/>
              <w:spacing w:line="360" w:lineRule="auto"/>
              <w:jc w:val="center"/>
              <w:rPr>
                <w:rFonts w:ascii="Times New Roman" w:hAnsi="Times New Roman"/>
                <w:sz w:val="21"/>
                <w:szCs w:val="21"/>
              </w:rPr>
            </w:pPr>
            <w:r>
              <w:rPr>
                <w:rFonts w:hint="eastAsia" w:ascii="Times New Roman" w:hAnsi="Times New Roman"/>
                <w:sz w:val="21"/>
                <w:szCs w:val="21"/>
              </w:rPr>
              <w:t>按设计</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BEA167">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A67665">
            <w:pPr>
              <w:widowControl/>
              <w:spacing w:line="360" w:lineRule="auto"/>
              <w:jc w:val="center"/>
              <w:rPr>
                <w:rFonts w:ascii="Times New Roman" w:hAnsi="Times New Roman"/>
                <w:sz w:val="21"/>
                <w:szCs w:val="21"/>
              </w:rPr>
            </w:pPr>
            <w:r>
              <w:rPr>
                <w:rFonts w:ascii="Times New Roman" w:hAnsi="Times New Roman"/>
                <w:sz w:val="21"/>
                <w:szCs w:val="21"/>
              </w:rPr>
              <w:t>1</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7EE7E6">
            <w:pPr>
              <w:widowControl/>
              <w:spacing w:line="360" w:lineRule="auto"/>
              <w:jc w:val="center"/>
              <w:rPr>
                <w:rFonts w:ascii="Times New Roman" w:hAnsi="Times New Roman"/>
                <w:sz w:val="21"/>
                <w:szCs w:val="21"/>
              </w:rPr>
            </w:pPr>
            <w:r>
              <w:rPr>
                <w:rFonts w:ascii="Times New Roman" w:hAnsi="Times New Roman"/>
                <w:sz w:val="21"/>
                <w:szCs w:val="21"/>
              </w:rPr>
              <w:t>台</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7AA22C">
            <w:pPr>
              <w:widowControl/>
              <w:spacing w:line="360" w:lineRule="auto"/>
              <w:jc w:val="center"/>
              <w:rPr>
                <w:rFonts w:ascii="Times New Roman" w:hAnsi="Times New Roman"/>
                <w:sz w:val="21"/>
                <w:szCs w:val="21"/>
              </w:rPr>
            </w:pPr>
          </w:p>
        </w:tc>
      </w:tr>
      <w:tr w14:paraId="32A0B58B">
        <w:tblPrEx>
          <w:tblCellMar>
            <w:top w:w="0" w:type="dxa"/>
            <w:left w:w="0" w:type="dxa"/>
            <w:bottom w:w="0" w:type="dxa"/>
            <w:right w:w="0" w:type="dxa"/>
          </w:tblCellMar>
        </w:tblPrEx>
        <w:trPr>
          <w:trHeight w:val="934"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9FFD48">
            <w:pPr>
              <w:widowControl/>
              <w:spacing w:line="360" w:lineRule="auto"/>
              <w:jc w:val="center"/>
              <w:rPr>
                <w:rFonts w:ascii="Times New Roman" w:hAnsi="Times New Roman"/>
                <w:sz w:val="21"/>
                <w:szCs w:val="21"/>
              </w:rPr>
            </w:pPr>
            <w:r>
              <w:rPr>
                <w:rFonts w:ascii="Times New Roman" w:hAnsi="Times New Roman"/>
                <w:sz w:val="21"/>
                <w:szCs w:val="21"/>
              </w:rPr>
              <w:t>4</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D39AF0">
            <w:pPr>
              <w:widowControl/>
              <w:spacing w:line="360" w:lineRule="auto"/>
              <w:jc w:val="center"/>
              <w:rPr>
                <w:rFonts w:ascii="Times New Roman" w:hAnsi="Times New Roman"/>
                <w:sz w:val="21"/>
                <w:szCs w:val="21"/>
              </w:rPr>
            </w:pPr>
            <w:r>
              <w:rPr>
                <w:rFonts w:ascii="Times New Roman" w:hAnsi="Times New Roman"/>
                <w:sz w:val="21"/>
                <w:szCs w:val="21"/>
              </w:rPr>
              <w:t>一段压力筛</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CC231D">
            <w:pPr>
              <w:widowControl/>
              <w:spacing w:line="360" w:lineRule="auto"/>
              <w:jc w:val="center"/>
              <w:rPr>
                <w:rFonts w:ascii="Times New Roman" w:hAnsi="Times New Roman"/>
                <w:sz w:val="21"/>
                <w:szCs w:val="21"/>
              </w:rPr>
            </w:pPr>
            <w:r>
              <w:rPr>
                <w:rFonts w:hint="eastAsia" w:ascii="Times New Roman" w:hAnsi="Times New Roman"/>
                <w:sz w:val="21"/>
                <w:szCs w:val="21"/>
              </w:rPr>
              <w:t>（按设计）</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260FF8">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7E1D10">
            <w:pPr>
              <w:widowControl/>
              <w:spacing w:line="360" w:lineRule="auto"/>
              <w:jc w:val="center"/>
              <w:rPr>
                <w:rFonts w:ascii="Times New Roman" w:hAnsi="Times New Roman"/>
                <w:sz w:val="21"/>
                <w:szCs w:val="21"/>
              </w:rPr>
            </w:pPr>
            <w:r>
              <w:rPr>
                <w:rFonts w:ascii="Times New Roman" w:hAnsi="Times New Roman"/>
                <w:sz w:val="21"/>
                <w:szCs w:val="21"/>
              </w:rPr>
              <w:t>1</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D60628">
            <w:pPr>
              <w:widowControl/>
              <w:spacing w:line="360" w:lineRule="auto"/>
              <w:jc w:val="center"/>
              <w:rPr>
                <w:rFonts w:ascii="Times New Roman" w:hAnsi="Times New Roman"/>
                <w:sz w:val="21"/>
                <w:szCs w:val="21"/>
              </w:rPr>
            </w:pPr>
            <w:r>
              <w:rPr>
                <w:rFonts w:ascii="Times New Roman" w:hAnsi="Times New Roman"/>
                <w:sz w:val="21"/>
                <w:szCs w:val="21"/>
              </w:rPr>
              <w:t>台</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DFD625">
            <w:pPr>
              <w:widowControl/>
              <w:spacing w:line="360" w:lineRule="auto"/>
              <w:jc w:val="center"/>
              <w:rPr>
                <w:rFonts w:ascii="Times New Roman" w:hAnsi="Times New Roman"/>
                <w:sz w:val="21"/>
                <w:szCs w:val="21"/>
              </w:rPr>
            </w:pPr>
          </w:p>
        </w:tc>
      </w:tr>
      <w:tr w14:paraId="0525BFDE">
        <w:tblPrEx>
          <w:tblCellMar>
            <w:top w:w="0" w:type="dxa"/>
            <w:left w:w="0" w:type="dxa"/>
            <w:bottom w:w="0" w:type="dxa"/>
            <w:right w:w="0" w:type="dxa"/>
          </w:tblCellMar>
        </w:tblPrEx>
        <w:trPr>
          <w:trHeight w:val="929"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9ED1DC">
            <w:pPr>
              <w:widowControl/>
              <w:spacing w:line="360" w:lineRule="auto"/>
              <w:jc w:val="center"/>
              <w:rPr>
                <w:rFonts w:ascii="Times New Roman" w:hAnsi="Times New Roman"/>
                <w:sz w:val="21"/>
                <w:szCs w:val="21"/>
              </w:rPr>
            </w:pPr>
            <w:r>
              <w:rPr>
                <w:rFonts w:ascii="Times New Roman" w:hAnsi="Times New Roman"/>
                <w:sz w:val="21"/>
                <w:szCs w:val="21"/>
              </w:rPr>
              <w:t>5</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78C2A2B">
            <w:pPr>
              <w:widowControl/>
              <w:spacing w:line="360" w:lineRule="auto"/>
              <w:jc w:val="center"/>
              <w:rPr>
                <w:rFonts w:ascii="Times New Roman" w:hAnsi="Times New Roman"/>
                <w:sz w:val="21"/>
                <w:szCs w:val="21"/>
              </w:rPr>
            </w:pPr>
            <w:r>
              <w:rPr>
                <w:rFonts w:ascii="Times New Roman" w:hAnsi="Times New Roman"/>
                <w:sz w:val="21"/>
                <w:szCs w:val="21"/>
              </w:rPr>
              <w:t>二段压力筛</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C29DE9">
            <w:pPr>
              <w:widowControl/>
              <w:spacing w:line="360" w:lineRule="auto"/>
              <w:jc w:val="center"/>
              <w:rPr>
                <w:rFonts w:ascii="Times New Roman" w:hAnsi="Times New Roman"/>
                <w:sz w:val="21"/>
                <w:szCs w:val="21"/>
              </w:rPr>
            </w:pPr>
            <w:r>
              <w:rPr>
                <w:rFonts w:hint="eastAsia" w:ascii="Times New Roman" w:hAnsi="Times New Roman"/>
                <w:sz w:val="21"/>
                <w:szCs w:val="21"/>
              </w:rPr>
              <w:t>（按设计）</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0DE099">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4E7ACC">
            <w:pPr>
              <w:widowControl/>
              <w:spacing w:line="360" w:lineRule="auto"/>
              <w:jc w:val="center"/>
              <w:rPr>
                <w:rFonts w:ascii="Times New Roman" w:hAnsi="Times New Roman"/>
                <w:sz w:val="21"/>
                <w:szCs w:val="21"/>
              </w:rPr>
            </w:pPr>
            <w:r>
              <w:rPr>
                <w:rFonts w:ascii="Times New Roman" w:hAnsi="Times New Roman"/>
                <w:sz w:val="21"/>
                <w:szCs w:val="21"/>
              </w:rPr>
              <w:t>1</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C62D230">
            <w:pPr>
              <w:widowControl/>
              <w:spacing w:line="360" w:lineRule="auto"/>
              <w:jc w:val="center"/>
              <w:rPr>
                <w:rFonts w:ascii="Times New Roman" w:hAnsi="Times New Roman"/>
                <w:sz w:val="21"/>
                <w:szCs w:val="21"/>
              </w:rPr>
            </w:pPr>
            <w:r>
              <w:rPr>
                <w:rFonts w:ascii="Times New Roman" w:hAnsi="Times New Roman"/>
                <w:sz w:val="21"/>
                <w:szCs w:val="21"/>
              </w:rPr>
              <w:t>台</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799DE6">
            <w:pPr>
              <w:widowControl/>
              <w:spacing w:line="360" w:lineRule="auto"/>
              <w:jc w:val="center"/>
              <w:rPr>
                <w:rFonts w:ascii="Times New Roman" w:hAnsi="Times New Roman"/>
                <w:sz w:val="21"/>
                <w:szCs w:val="21"/>
              </w:rPr>
            </w:pPr>
          </w:p>
        </w:tc>
      </w:tr>
      <w:tr w14:paraId="603FEB6F">
        <w:tblPrEx>
          <w:tblCellMar>
            <w:top w:w="0" w:type="dxa"/>
            <w:left w:w="0" w:type="dxa"/>
            <w:bottom w:w="0" w:type="dxa"/>
            <w:right w:w="0" w:type="dxa"/>
          </w:tblCellMar>
        </w:tblPrEx>
        <w:trPr>
          <w:trHeight w:val="796"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5B9008">
            <w:pPr>
              <w:widowControl/>
              <w:spacing w:line="360" w:lineRule="auto"/>
              <w:jc w:val="center"/>
              <w:rPr>
                <w:rFonts w:ascii="Times New Roman" w:hAnsi="Times New Roman"/>
                <w:sz w:val="21"/>
                <w:szCs w:val="21"/>
              </w:rPr>
            </w:pPr>
            <w:r>
              <w:rPr>
                <w:rFonts w:hint="eastAsia" w:ascii="Times New Roman" w:hAnsi="Times New Roman"/>
                <w:sz w:val="21"/>
                <w:szCs w:val="21"/>
              </w:rPr>
              <w:t>6</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2AF8F5D">
            <w:pPr>
              <w:widowControl/>
              <w:spacing w:line="360" w:lineRule="auto"/>
              <w:jc w:val="center"/>
              <w:rPr>
                <w:rFonts w:ascii="Times New Roman" w:hAnsi="Times New Roman"/>
                <w:sz w:val="21"/>
                <w:szCs w:val="21"/>
              </w:rPr>
            </w:pPr>
            <w:r>
              <w:rPr>
                <w:rFonts w:hint="eastAsia" w:ascii="Times New Roman" w:hAnsi="Times New Roman"/>
                <w:sz w:val="21"/>
                <w:szCs w:val="21"/>
              </w:rPr>
              <w:t>螺旋压榨机</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F295A0">
            <w:pPr>
              <w:widowControl/>
              <w:spacing w:line="360" w:lineRule="auto"/>
              <w:jc w:val="center"/>
              <w:rPr>
                <w:rFonts w:ascii="Times New Roman" w:hAnsi="Times New Roman"/>
                <w:sz w:val="21"/>
                <w:szCs w:val="21"/>
              </w:rPr>
            </w:pPr>
            <w:r>
              <w:rPr>
                <w:rFonts w:hint="eastAsia" w:ascii="Times New Roman" w:hAnsi="Times New Roman"/>
                <w:sz w:val="21"/>
                <w:szCs w:val="21"/>
              </w:rPr>
              <w:t>（按设计）</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A93F5E">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BCF9F5D">
            <w:pPr>
              <w:widowControl/>
              <w:spacing w:line="360" w:lineRule="auto"/>
              <w:jc w:val="center"/>
              <w:rPr>
                <w:rFonts w:ascii="Times New Roman" w:hAnsi="Times New Roman"/>
                <w:sz w:val="21"/>
                <w:szCs w:val="21"/>
              </w:rPr>
            </w:pPr>
            <w:r>
              <w:rPr>
                <w:rFonts w:hint="eastAsia" w:ascii="Times New Roman" w:hAnsi="Times New Roman"/>
                <w:sz w:val="21"/>
                <w:szCs w:val="21"/>
              </w:rPr>
              <w:t>1</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D031B1D">
            <w:pPr>
              <w:widowControl/>
              <w:spacing w:line="360" w:lineRule="auto"/>
              <w:jc w:val="center"/>
              <w:rPr>
                <w:rFonts w:ascii="Times New Roman" w:hAnsi="Times New Roman"/>
                <w:sz w:val="21"/>
                <w:szCs w:val="21"/>
              </w:rPr>
            </w:pPr>
            <w:r>
              <w:rPr>
                <w:rFonts w:hint="eastAsia" w:ascii="Times New Roman" w:hAnsi="Times New Roman"/>
                <w:sz w:val="21"/>
                <w:szCs w:val="21"/>
              </w:rPr>
              <w:t>台</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007551">
            <w:pPr>
              <w:widowControl/>
              <w:spacing w:line="360" w:lineRule="auto"/>
              <w:jc w:val="center"/>
              <w:rPr>
                <w:rFonts w:ascii="Times New Roman" w:hAnsi="Times New Roman"/>
                <w:sz w:val="21"/>
                <w:szCs w:val="21"/>
              </w:rPr>
            </w:pPr>
          </w:p>
        </w:tc>
      </w:tr>
      <w:tr w14:paraId="399396E4">
        <w:tblPrEx>
          <w:tblCellMar>
            <w:top w:w="0" w:type="dxa"/>
            <w:left w:w="0" w:type="dxa"/>
            <w:bottom w:w="0" w:type="dxa"/>
            <w:right w:w="0" w:type="dxa"/>
          </w:tblCellMar>
        </w:tblPrEx>
        <w:trPr>
          <w:trHeight w:val="877"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D792E4">
            <w:pPr>
              <w:widowControl/>
              <w:spacing w:line="360" w:lineRule="auto"/>
              <w:jc w:val="center"/>
              <w:rPr>
                <w:rFonts w:ascii="Times New Roman" w:hAnsi="Times New Roman"/>
                <w:sz w:val="21"/>
                <w:szCs w:val="21"/>
              </w:rPr>
            </w:pPr>
            <w:r>
              <w:rPr>
                <w:rFonts w:hint="eastAsia" w:ascii="Times New Roman" w:hAnsi="Times New Roman"/>
                <w:sz w:val="21"/>
                <w:szCs w:val="21"/>
              </w:rPr>
              <w:t>7</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62F732">
            <w:pPr>
              <w:widowControl/>
              <w:spacing w:line="360" w:lineRule="auto"/>
              <w:jc w:val="center"/>
              <w:rPr>
                <w:rFonts w:ascii="Times New Roman" w:hAnsi="Times New Roman"/>
                <w:sz w:val="21"/>
                <w:szCs w:val="21"/>
              </w:rPr>
            </w:pPr>
            <w:r>
              <w:rPr>
                <w:rFonts w:ascii="Times New Roman" w:hAnsi="Times New Roman"/>
                <w:sz w:val="21"/>
                <w:szCs w:val="21"/>
              </w:rPr>
              <w:t>黑液过滤机</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4E5BB9">
            <w:pPr>
              <w:widowControl/>
              <w:spacing w:line="360" w:lineRule="auto"/>
              <w:jc w:val="center"/>
              <w:rPr>
                <w:rFonts w:ascii="Times New Roman" w:hAnsi="Times New Roman"/>
                <w:sz w:val="21"/>
                <w:szCs w:val="21"/>
              </w:rPr>
            </w:pPr>
            <w:r>
              <w:rPr>
                <w:rFonts w:hint="eastAsia" w:ascii="Times New Roman" w:hAnsi="Times New Roman"/>
                <w:sz w:val="21"/>
                <w:szCs w:val="21"/>
              </w:rPr>
              <w:t>（按设计）</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B7A847C">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B7338F">
            <w:pPr>
              <w:widowControl/>
              <w:spacing w:line="360" w:lineRule="auto"/>
              <w:jc w:val="center"/>
              <w:rPr>
                <w:rFonts w:ascii="Times New Roman" w:hAnsi="Times New Roman"/>
                <w:sz w:val="21"/>
                <w:szCs w:val="21"/>
              </w:rPr>
            </w:pPr>
            <w:r>
              <w:rPr>
                <w:rFonts w:ascii="Times New Roman" w:hAnsi="Times New Roman"/>
                <w:sz w:val="21"/>
                <w:szCs w:val="21"/>
              </w:rPr>
              <w:t>1</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C610E8">
            <w:pPr>
              <w:widowControl/>
              <w:spacing w:line="360" w:lineRule="auto"/>
              <w:jc w:val="center"/>
              <w:rPr>
                <w:rFonts w:ascii="Times New Roman" w:hAnsi="Times New Roman"/>
                <w:sz w:val="21"/>
                <w:szCs w:val="21"/>
              </w:rPr>
            </w:pPr>
            <w:r>
              <w:rPr>
                <w:rFonts w:ascii="Times New Roman" w:hAnsi="Times New Roman"/>
                <w:sz w:val="21"/>
                <w:szCs w:val="21"/>
              </w:rPr>
              <w:t>台</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5F0747">
            <w:pPr>
              <w:widowControl/>
              <w:spacing w:line="360" w:lineRule="auto"/>
              <w:jc w:val="center"/>
              <w:rPr>
                <w:rFonts w:ascii="Times New Roman" w:hAnsi="Times New Roman"/>
                <w:sz w:val="21"/>
                <w:szCs w:val="21"/>
              </w:rPr>
            </w:pPr>
          </w:p>
        </w:tc>
      </w:tr>
      <w:tr w14:paraId="3A573EDB">
        <w:tblPrEx>
          <w:tblCellMar>
            <w:top w:w="0" w:type="dxa"/>
            <w:left w:w="0" w:type="dxa"/>
            <w:bottom w:w="0" w:type="dxa"/>
            <w:right w:w="0" w:type="dxa"/>
          </w:tblCellMar>
        </w:tblPrEx>
        <w:trPr>
          <w:trHeight w:val="743"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59CDC2">
            <w:pPr>
              <w:widowControl/>
              <w:spacing w:line="360" w:lineRule="auto"/>
              <w:jc w:val="center"/>
              <w:rPr>
                <w:rFonts w:ascii="Times New Roman" w:hAnsi="Times New Roman"/>
                <w:sz w:val="21"/>
                <w:szCs w:val="21"/>
              </w:rPr>
            </w:pPr>
            <w:r>
              <w:rPr>
                <w:rFonts w:hint="eastAsia" w:ascii="Times New Roman" w:hAnsi="Times New Roman"/>
                <w:sz w:val="21"/>
                <w:szCs w:val="21"/>
              </w:rPr>
              <w:t>8</w:t>
            </w:r>
          </w:p>
        </w:tc>
        <w:tc>
          <w:tcPr>
            <w:tcW w:w="17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A5BBE0">
            <w:pPr>
              <w:widowControl/>
              <w:spacing w:line="360" w:lineRule="auto"/>
              <w:jc w:val="center"/>
              <w:rPr>
                <w:rFonts w:ascii="Times New Roman" w:hAnsi="Times New Roman"/>
                <w:sz w:val="21"/>
                <w:szCs w:val="21"/>
              </w:rPr>
            </w:pPr>
            <w:r>
              <w:rPr>
                <w:rFonts w:ascii="Times New Roman" w:hAnsi="Times New Roman"/>
                <w:sz w:val="21"/>
                <w:szCs w:val="21"/>
              </w:rPr>
              <w:t>砂水分离器</w:t>
            </w:r>
          </w:p>
        </w:tc>
        <w:tc>
          <w:tcPr>
            <w:tcW w:w="241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0E756C">
            <w:pPr>
              <w:widowControl/>
              <w:spacing w:line="360" w:lineRule="auto"/>
              <w:jc w:val="center"/>
              <w:rPr>
                <w:rFonts w:ascii="Times New Roman" w:hAnsi="Times New Roman"/>
                <w:sz w:val="21"/>
                <w:szCs w:val="21"/>
              </w:rPr>
            </w:pPr>
            <w:r>
              <w:rPr>
                <w:rFonts w:ascii="Times New Roman" w:hAnsi="Times New Roman"/>
                <w:sz w:val="21"/>
                <w:szCs w:val="21"/>
              </w:rPr>
              <w:t>无轴螺旋</w:t>
            </w:r>
          </w:p>
        </w:tc>
        <w:tc>
          <w:tcPr>
            <w:tcW w:w="178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D6CA2C">
            <w:pPr>
              <w:widowControl/>
              <w:spacing w:line="360" w:lineRule="auto"/>
              <w:jc w:val="center"/>
              <w:rPr>
                <w:rFonts w:ascii="Times New Roman" w:hAnsi="Times New Roman"/>
                <w:sz w:val="21"/>
                <w:szCs w:val="21"/>
              </w:rPr>
            </w:pP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F70642">
            <w:pPr>
              <w:widowControl/>
              <w:spacing w:line="360" w:lineRule="auto"/>
              <w:jc w:val="center"/>
              <w:rPr>
                <w:rFonts w:ascii="Times New Roman" w:hAnsi="Times New Roman"/>
                <w:sz w:val="21"/>
                <w:szCs w:val="21"/>
              </w:rPr>
            </w:pPr>
            <w:r>
              <w:rPr>
                <w:rFonts w:ascii="Times New Roman" w:hAnsi="Times New Roman"/>
                <w:sz w:val="21"/>
                <w:szCs w:val="21"/>
              </w:rPr>
              <w:t>1</w:t>
            </w:r>
          </w:p>
        </w:tc>
        <w:tc>
          <w:tcPr>
            <w:tcW w:w="84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1419F9">
            <w:pPr>
              <w:widowControl/>
              <w:spacing w:line="360" w:lineRule="auto"/>
              <w:jc w:val="center"/>
              <w:rPr>
                <w:rFonts w:ascii="Times New Roman" w:hAnsi="Times New Roman"/>
                <w:sz w:val="21"/>
                <w:szCs w:val="21"/>
              </w:rPr>
            </w:pPr>
            <w:r>
              <w:rPr>
                <w:rFonts w:ascii="Times New Roman" w:hAnsi="Times New Roman"/>
                <w:sz w:val="21"/>
                <w:szCs w:val="21"/>
              </w:rPr>
              <w:t>台</w:t>
            </w:r>
          </w:p>
        </w:tc>
        <w:tc>
          <w:tcPr>
            <w:tcW w:w="11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67162E">
            <w:pPr>
              <w:widowControl/>
              <w:spacing w:line="360" w:lineRule="auto"/>
              <w:jc w:val="center"/>
              <w:rPr>
                <w:rFonts w:ascii="Times New Roman" w:hAnsi="Times New Roman"/>
                <w:sz w:val="21"/>
                <w:szCs w:val="21"/>
              </w:rPr>
            </w:pPr>
          </w:p>
        </w:tc>
      </w:tr>
      <w:tr w14:paraId="044566DE">
        <w:tblPrEx>
          <w:tblCellMar>
            <w:top w:w="0" w:type="dxa"/>
            <w:left w:w="0" w:type="dxa"/>
            <w:bottom w:w="0" w:type="dxa"/>
            <w:right w:w="0" w:type="dxa"/>
          </w:tblCellMar>
        </w:tblPrEx>
        <w:trPr>
          <w:trHeight w:val="3710" w:hRule="exact"/>
        </w:trPr>
        <w:tc>
          <w:tcPr>
            <w:tcW w:w="87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11961">
            <w:pPr>
              <w:widowControl/>
              <w:spacing w:line="360" w:lineRule="auto"/>
              <w:jc w:val="center"/>
              <w:rPr>
                <w:rFonts w:ascii="Times New Roman" w:hAnsi="Times New Roman"/>
                <w:sz w:val="21"/>
                <w:szCs w:val="21"/>
              </w:rPr>
            </w:pPr>
            <w:r>
              <w:rPr>
                <w:rFonts w:hint="eastAsia" w:ascii="Times New Roman" w:hAnsi="Times New Roman"/>
                <w:sz w:val="21"/>
                <w:szCs w:val="21"/>
              </w:rPr>
              <w:t>9</w:t>
            </w:r>
          </w:p>
        </w:tc>
        <w:tc>
          <w:tcPr>
            <w:tcW w:w="8820" w:type="dxa"/>
            <w:gridSpan w:val="6"/>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8A94CB">
            <w:pPr>
              <w:widowControl/>
              <w:spacing w:line="360" w:lineRule="auto"/>
              <w:rPr>
                <w:rFonts w:ascii="宋体" w:hAnsi="宋体" w:cs="宋体"/>
                <w:sz w:val="24"/>
                <w:szCs w:val="24"/>
              </w:rPr>
            </w:pPr>
            <w:r>
              <w:rPr>
                <w:rFonts w:hint="eastAsia" w:ascii="宋体" w:hAnsi="宋体" w:cs="宋体"/>
                <w:sz w:val="24"/>
                <w:szCs w:val="24"/>
              </w:rPr>
              <w:t>以上设备中，一段压力筛、二段压力筛、除节机、黑液过滤机轴承位均加装三轴振动温度智能传感器，可通过modbus协议方式接入dcs实现温度和振动的数据监控和预警。传感器量程：1.振动加速度：±16g ；2.</w:t>
            </w:r>
            <w:r>
              <w:rPr>
                <w:rFonts w:ascii="宋体" w:hAnsi="宋体" w:cs="宋体"/>
                <w:sz w:val="24"/>
                <w:szCs w:val="24"/>
              </w:rPr>
              <w:t>振动速度：0-300mm/s</w:t>
            </w:r>
            <w:r>
              <w:rPr>
                <w:rFonts w:hint="eastAsia" w:ascii="宋体" w:hAnsi="宋体" w:cs="宋体"/>
                <w:sz w:val="24"/>
                <w:szCs w:val="24"/>
              </w:rPr>
              <w:t xml:space="preserve"> ；3.振动位移速度：0-30000um；4.温度：-40</w:t>
            </w:r>
            <w:r>
              <w:rPr>
                <w:rFonts w:ascii="宋体" w:hAnsi="宋体" w:cs="宋体"/>
                <w:sz w:val="24"/>
                <w:szCs w:val="24"/>
              </w:rPr>
              <w:t>℃</w:t>
            </w:r>
            <w:r>
              <w:rPr>
                <w:rFonts w:ascii="Times New Roman" w:hAnsi="Times New Roman"/>
                <w:sz w:val="24"/>
                <w:szCs w:val="24"/>
              </w:rPr>
              <w:t>~</w:t>
            </w:r>
            <w:r>
              <w:rPr>
                <w:rFonts w:ascii="宋体" w:hAnsi="宋体" w:cs="宋体"/>
                <w:sz w:val="24"/>
                <w:szCs w:val="24"/>
              </w:rPr>
              <w:t>125℃</w:t>
            </w:r>
            <w:r>
              <w:rPr>
                <w:rFonts w:hint="eastAsia" w:ascii="宋体" w:hAnsi="宋体" w:cs="宋体"/>
                <w:sz w:val="24"/>
                <w:szCs w:val="24"/>
              </w:rPr>
              <w:t>。响应频率范围及精度满足上列设备的使用工况。</w:t>
            </w:r>
          </w:p>
          <w:p w14:paraId="652C843F">
            <w:pPr>
              <w:widowControl/>
              <w:spacing w:line="360" w:lineRule="auto"/>
              <w:rPr>
                <w:rFonts w:ascii="宋体" w:hAnsi="宋体" w:cs="宋体"/>
                <w:sz w:val="24"/>
                <w:szCs w:val="24"/>
              </w:rPr>
            </w:pPr>
            <w:r>
              <w:rPr>
                <w:rFonts w:hint="eastAsia" w:ascii="宋体" w:hAnsi="宋体" w:cs="宋体"/>
                <w:sz w:val="24"/>
                <w:szCs w:val="24"/>
              </w:rPr>
              <w:t>传感器应具备后期接入上位计算机使用频谱分析诊断软件进行数据采集实现故障诊断分析功能。传感器选用国内上海骅鹰、东测仪表、湖南纬拓等同类品质品牌产品。</w:t>
            </w:r>
          </w:p>
          <w:p w14:paraId="5261C76A">
            <w:pPr>
              <w:widowControl/>
            </w:pPr>
          </w:p>
          <w:p w14:paraId="562E7950">
            <w:pPr>
              <w:widowControl/>
            </w:pPr>
            <w:r>
              <w:rPr>
                <w:rFonts w:ascii="Comic Sans MS" w:hAnsi="Comic Sans MS" w:eastAsia="Comic Sans MS" w:cs="Comic Sans MS"/>
                <w:color w:val="000000"/>
                <w:kern w:val="0"/>
                <w:sz w:val="24"/>
                <w:szCs w:val="24"/>
                <w:lang w:bidi="ar"/>
              </w:rPr>
              <w:t xml:space="preserve"> </w:t>
            </w:r>
          </w:p>
          <w:p w14:paraId="4764C92A">
            <w:pPr>
              <w:widowControl/>
            </w:pPr>
            <w:r>
              <w:rPr>
                <w:rFonts w:ascii="绛夌嚎" w:hAnsi="绛夌嚎" w:eastAsia="绛夌嚎" w:cs="绛夌嚎"/>
                <w:color w:val="000000"/>
                <w:kern w:val="0"/>
                <w:sz w:val="24"/>
                <w:szCs w:val="24"/>
                <w:lang w:bidi="ar"/>
              </w:rPr>
              <w:t>振动位移速度：</w:t>
            </w:r>
            <w:r>
              <w:rPr>
                <w:rFonts w:ascii="Comic Sans MS" w:hAnsi="Comic Sans MS" w:eastAsia="Comic Sans MS" w:cs="Comic Sans MS"/>
                <w:color w:val="000000"/>
                <w:kern w:val="0"/>
                <w:sz w:val="24"/>
                <w:szCs w:val="24"/>
                <w:lang w:bidi="ar"/>
              </w:rPr>
              <w:t xml:space="preserve">0-30000um </w:t>
            </w:r>
          </w:p>
          <w:p w14:paraId="1F3EE774">
            <w:pPr>
              <w:widowControl/>
            </w:pPr>
            <w:r>
              <w:rPr>
                <w:rFonts w:ascii="绛夌嚎" w:hAnsi="绛夌嚎" w:eastAsia="绛夌嚎" w:cs="绛夌嚎"/>
                <w:color w:val="000000"/>
                <w:kern w:val="0"/>
                <w:sz w:val="24"/>
                <w:szCs w:val="24"/>
                <w:lang w:bidi="ar"/>
              </w:rPr>
              <w:t>温度：</w:t>
            </w:r>
            <w:r>
              <w:rPr>
                <w:rFonts w:ascii="Comic Sans MS" w:hAnsi="Comic Sans MS" w:eastAsia="Comic Sans MS" w:cs="Comic Sans MS"/>
                <w:color w:val="000000"/>
                <w:kern w:val="0"/>
                <w:sz w:val="24"/>
                <w:szCs w:val="24"/>
                <w:lang w:bidi="ar"/>
              </w:rPr>
              <w:t>-40</w:t>
            </w:r>
            <w:r>
              <w:rPr>
                <w:rFonts w:ascii="绛夌嚎" w:hAnsi="绛夌嚎" w:eastAsia="绛夌嚎" w:cs="绛夌嚎"/>
                <w:color w:val="000000"/>
                <w:kern w:val="0"/>
                <w:sz w:val="24"/>
                <w:szCs w:val="24"/>
                <w:lang w:bidi="ar"/>
              </w:rPr>
              <w:t>℃</w:t>
            </w:r>
            <w:r>
              <w:rPr>
                <w:rFonts w:ascii="Comic Sans MS" w:hAnsi="Comic Sans MS" w:eastAsia="Comic Sans MS" w:cs="Comic Sans MS"/>
                <w:color w:val="000000"/>
                <w:kern w:val="0"/>
                <w:sz w:val="24"/>
                <w:szCs w:val="24"/>
                <w:lang w:bidi="ar"/>
              </w:rPr>
              <w:t>~125</w:t>
            </w:r>
            <w:r>
              <w:rPr>
                <w:rFonts w:ascii="绛夌嚎" w:hAnsi="绛夌嚎" w:eastAsia="绛夌嚎" w:cs="绛夌嚎"/>
                <w:color w:val="000000"/>
                <w:kern w:val="0"/>
                <w:sz w:val="24"/>
                <w:szCs w:val="24"/>
                <w:lang w:bidi="ar"/>
              </w:rPr>
              <w:t>℃</w:t>
            </w:r>
          </w:p>
          <w:p w14:paraId="0FC22376">
            <w:pPr>
              <w:pStyle w:val="17"/>
              <w:spacing w:line="460" w:lineRule="exact"/>
              <w:ind w:left="0" w:leftChars="0" w:firstLine="480"/>
              <w:rPr>
                <w:rStyle w:val="22"/>
                <w:rFonts w:hint="default"/>
                <w:lang w:val="en-US"/>
              </w:rPr>
            </w:pPr>
          </w:p>
          <w:p w14:paraId="3D26A2A5">
            <w:pPr>
              <w:pStyle w:val="17"/>
              <w:spacing w:line="460" w:lineRule="exact"/>
              <w:ind w:left="0" w:leftChars="0" w:firstLine="480"/>
              <w:rPr>
                <w:rStyle w:val="22"/>
                <w:rFonts w:hint="default"/>
                <w:lang w:val="en-US"/>
              </w:rPr>
            </w:pPr>
          </w:p>
          <w:p w14:paraId="02D2FABB">
            <w:pPr>
              <w:widowControl/>
              <w:spacing w:line="360" w:lineRule="auto"/>
              <w:rPr>
                <w:rFonts w:ascii="Times New Roman" w:hAnsi="Times New Roman"/>
                <w:sz w:val="21"/>
                <w:szCs w:val="21"/>
              </w:rPr>
            </w:pPr>
          </w:p>
        </w:tc>
      </w:tr>
    </w:tbl>
    <w:p w14:paraId="0AC83F7D">
      <w:pPr>
        <w:pStyle w:val="17"/>
        <w:ind w:left="0" w:leftChars="0" w:firstLine="0" w:firstLineChars="0"/>
        <w:rPr>
          <w:sz w:val="24"/>
          <w:szCs w:val="24"/>
        </w:rPr>
      </w:pPr>
      <w:r>
        <w:rPr>
          <w:rFonts w:hint="eastAsia"/>
          <w:sz w:val="24"/>
          <w:szCs w:val="24"/>
        </w:rPr>
        <w:t>注：以上设备型号及性能参数以最终设计为准。</w:t>
      </w:r>
    </w:p>
    <w:p w14:paraId="4845A8E9">
      <w:pPr>
        <w:pStyle w:val="17"/>
        <w:spacing w:line="460" w:lineRule="exact"/>
        <w:ind w:left="0" w:leftChars="0" w:firstLine="480"/>
      </w:pPr>
      <w:r>
        <w:rPr>
          <w:rStyle w:val="22"/>
          <w:rFonts w:hint="default"/>
          <w:lang w:val="en-US"/>
        </w:rPr>
        <w:t>9</w:t>
      </w:r>
      <w:r>
        <w:rPr>
          <w:rStyle w:val="22"/>
          <w:rFonts w:hint="default"/>
        </w:rPr>
        <w:t>.2.2 高浓除渣器</w:t>
      </w:r>
      <w:r>
        <w:rPr>
          <w:rStyle w:val="22"/>
          <w:rFonts w:hint="default"/>
          <w:lang w:val="en-US"/>
        </w:rPr>
        <w:t xml:space="preserve"> </w:t>
      </w:r>
    </w:p>
    <w:p w14:paraId="4065906A">
      <w:pPr>
        <w:pStyle w:val="32"/>
        <w:spacing w:line="520" w:lineRule="exact"/>
        <w:ind w:left="960" w:firstLine="0" w:firstLineChars="0"/>
        <w:jc w:val="both"/>
        <w:rPr>
          <w:rFonts w:hint="default"/>
        </w:rPr>
      </w:pPr>
      <w:r>
        <w:t>供货范围：带有两个除砂器单元，包含喂料管头、上锥体、下锥体、集渣管、密封件、自动卸渣闸阀（2件）、洗涤排气阀、球阀2件、支架、地脚螺栓。</w:t>
      </w:r>
    </w:p>
    <w:p w14:paraId="543D48CE">
      <w:pPr>
        <w:pStyle w:val="32"/>
        <w:spacing w:line="520" w:lineRule="exact"/>
        <w:ind w:left="960" w:firstLine="0" w:firstLineChars="0"/>
        <w:jc w:val="both"/>
        <w:rPr>
          <w:rFonts w:hint="default"/>
        </w:rPr>
      </w:pPr>
      <w:r>
        <w:t>材质：与浆料接触的部分304（内衬无压烧结氧化铝陶瓷）法兰304，支架为碳素钢表面喷漆。</w:t>
      </w:r>
    </w:p>
    <w:p w14:paraId="3D8F55F7">
      <w:pPr>
        <w:pStyle w:val="23"/>
        <w:ind w:firstLine="720"/>
        <w:jc w:val="both"/>
        <w:rPr>
          <w:rFonts w:hint="default"/>
        </w:rPr>
      </w:pPr>
      <w:r>
        <w:rPr>
          <w:lang w:val="en-US"/>
        </w:rPr>
        <w:t>9</w:t>
      </w:r>
      <w:r>
        <w:t>.2.3除节机</w:t>
      </w:r>
    </w:p>
    <w:p w14:paraId="45965A49">
      <w:pPr>
        <w:pStyle w:val="32"/>
        <w:spacing w:line="520" w:lineRule="exact"/>
        <w:ind w:firstLine="960"/>
        <w:jc w:val="both"/>
        <w:rPr>
          <w:rFonts w:hint="default"/>
        </w:rPr>
      </w:pPr>
      <w:r>
        <w:t>除节机选用内流式结构，旋转波纹型孔筛鼓固定式旋翼。</w:t>
      </w:r>
    </w:p>
    <w:p w14:paraId="32661593">
      <w:pPr>
        <w:pStyle w:val="32"/>
        <w:spacing w:line="520" w:lineRule="exact"/>
        <w:ind w:left="960" w:firstLine="0" w:firstLineChars="0"/>
        <w:jc w:val="both"/>
        <w:rPr>
          <w:rFonts w:hint="default"/>
        </w:rPr>
      </w:pPr>
      <w:r>
        <w:t>壳体：包含筛壳主体及上盖，材质3</w:t>
      </w:r>
      <w:r>
        <w:rPr>
          <w:lang w:val="en-US"/>
        </w:rPr>
        <w:t>04</w:t>
      </w:r>
      <w:r>
        <w:t>L</w:t>
      </w:r>
      <w:r>
        <w:rPr>
          <w:lang w:val="en-US"/>
        </w:rPr>
        <w:t>以上材质</w:t>
      </w:r>
      <w:r>
        <w:t>，筛盖提升装置为碳素钢，表面镀锌和表面喷漆。</w:t>
      </w:r>
    </w:p>
    <w:p w14:paraId="57BD6E2B">
      <w:pPr>
        <w:pStyle w:val="32"/>
        <w:spacing w:line="520" w:lineRule="exact"/>
        <w:ind w:firstLine="960"/>
        <w:jc w:val="both"/>
        <w:rPr>
          <w:rFonts w:hint="default"/>
        </w:rPr>
      </w:pPr>
      <w:r>
        <w:t>定子：刀片式旋翼的定子材质316L</w:t>
      </w:r>
      <w:r>
        <w:rPr>
          <w:lang w:val="en-US"/>
        </w:rPr>
        <w:t>或以上材质</w:t>
      </w:r>
      <w:r>
        <w:t>。</w:t>
      </w:r>
    </w:p>
    <w:p w14:paraId="6C9A147A">
      <w:pPr>
        <w:pStyle w:val="32"/>
        <w:spacing w:line="520" w:lineRule="exact"/>
        <w:ind w:firstLine="960"/>
        <w:jc w:val="both"/>
        <w:rPr>
          <w:rFonts w:hint="default"/>
        </w:rPr>
      </w:pPr>
      <w:r>
        <w:t>筛鼓：工作面镀硬铬0.18-0.22mm，筛板材质316L。</w:t>
      </w:r>
    </w:p>
    <w:p w14:paraId="16326D49">
      <w:pPr>
        <w:pStyle w:val="32"/>
        <w:spacing w:line="520" w:lineRule="exact"/>
        <w:ind w:left="2152" w:leftChars="340" w:hanging="1200" w:hangingChars="500"/>
        <w:jc w:val="both"/>
        <w:rPr>
          <w:rFonts w:hint="default"/>
          <w:lang w:val="en-US"/>
        </w:rPr>
      </w:pPr>
      <w:r>
        <w:t>机械密封：双端面平衡型机械密封，品牌为约翰克兰Johncrane、</w:t>
      </w:r>
      <w:r>
        <w:rPr>
          <w:lang w:val="en-US"/>
        </w:rPr>
        <w:t>博格曼、AES或同品质其他品牌。</w:t>
      </w:r>
    </w:p>
    <w:p w14:paraId="60761ECC">
      <w:pPr>
        <w:pStyle w:val="32"/>
        <w:spacing w:line="520" w:lineRule="exact"/>
        <w:ind w:firstLine="960"/>
        <w:jc w:val="both"/>
        <w:rPr>
          <w:rFonts w:hint="default"/>
          <w:lang w:val="en-US"/>
        </w:rPr>
      </w:pPr>
      <w:r>
        <w:t>机封水流量计：</w:t>
      </w:r>
      <w:r>
        <w:rPr>
          <w:lang w:val="en-US"/>
        </w:rPr>
        <w:t>配备，参数要求参见4.11要求。</w:t>
      </w:r>
    </w:p>
    <w:p w14:paraId="5AEF7960">
      <w:pPr>
        <w:pStyle w:val="32"/>
        <w:spacing w:line="520" w:lineRule="exact"/>
        <w:ind w:left="2153" w:hanging="1193" w:firstLineChars="0"/>
        <w:jc w:val="both"/>
        <w:rPr>
          <w:rFonts w:hint="default"/>
        </w:rPr>
      </w:pPr>
      <w:r>
        <w:t>传动单元：包含传动支架、轴承座、轴、轴承（SKF/FAG）、机封水连接座、主机皮带轮、电机皮带轮、V带和防护罩等。</w:t>
      </w:r>
    </w:p>
    <w:p w14:paraId="1C35D592">
      <w:pPr>
        <w:pStyle w:val="32"/>
        <w:spacing w:line="520" w:lineRule="exact"/>
        <w:ind w:left="960" w:firstLine="0" w:firstLineChars="0"/>
        <w:jc w:val="both"/>
        <w:rPr>
          <w:rFonts w:hint="default"/>
        </w:rPr>
      </w:pPr>
      <w:r>
        <w:t>机座：主机座、电机连接架、基础板、地脚螺栓，主机座材质为碳素钢，表面喷漆。</w:t>
      </w:r>
    </w:p>
    <w:p w14:paraId="6044FED0">
      <w:pPr>
        <w:pStyle w:val="32"/>
        <w:spacing w:line="520" w:lineRule="exact"/>
        <w:ind w:firstLine="960"/>
        <w:jc w:val="both"/>
        <w:rPr>
          <w:rFonts w:hint="default"/>
          <w:lang w:val="en-US"/>
        </w:rPr>
      </w:pPr>
      <w:r>
        <w:t>材质：与浆料接触壳体部分：3</w:t>
      </w:r>
      <w:r>
        <w:rPr>
          <w:lang w:val="en-US"/>
        </w:rPr>
        <w:t>04</w:t>
      </w:r>
      <w:r>
        <w:t>L或</w:t>
      </w:r>
      <w:r>
        <w:rPr>
          <w:lang w:val="en-US"/>
        </w:rPr>
        <w:t>以上材质。</w:t>
      </w:r>
    </w:p>
    <w:p w14:paraId="7B33AFEC">
      <w:pPr>
        <w:pStyle w:val="23"/>
        <w:ind w:firstLine="720"/>
        <w:jc w:val="both"/>
        <w:rPr>
          <w:rFonts w:hint="default"/>
        </w:rPr>
      </w:pPr>
      <w:r>
        <w:rPr>
          <w:lang w:val="en-US"/>
        </w:rPr>
        <w:t>9</w:t>
      </w:r>
      <w:r>
        <w:t>.2.4洗节机</w:t>
      </w:r>
    </w:p>
    <w:p w14:paraId="6160F1AD">
      <w:pPr>
        <w:pStyle w:val="32"/>
        <w:spacing w:line="520" w:lineRule="exact"/>
        <w:ind w:firstLine="960"/>
        <w:jc w:val="both"/>
        <w:rPr>
          <w:rFonts w:hint="default"/>
        </w:rPr>
      </w:pPr>
      <w:r>
        <w:t>结构：立式螺旋结构。</w:t>
      </w:r>
    </w:p>
    <w:p w14:paraId="322A7ABF">
      <w:pPr>
        <w:pStyle w:val="32"/>
        <w:spacing w:line="520" w:lineRule="exact"/>
        <w:ind w:left="1680" w:hanging="720" w:firstLineChars="0"/>
        <w:jc w:val="both"/>
        <w:rPr>
          <w:rFonts w:hint="default"/>
        </w:rPr>
      </w:pPr>
      <w:r>
        <w:t>外壳：包含上壳体、中段壳体、下段壳体、良浆排口气体分离腔和尾渣排口，材质304。</w:t>
      </w:r>
    </w:p>
    <w:p w14:paraId="676A9061">
      <w:pPr>
        <w:pStyle w:val="32"/>
        <w:spacing w:line="520" w:lineRule="exact"/>
        <w:ind w:firstLine="960"/>
        <w:jc w:val="both"/>
        <w:rPr>
          <w:rFonts w:hint="default"/>
        </w:rPr>
      </w:pPr>
      <w:r>
        <w:t>转子：提升螺旋式转子，包含冲洗水喷头（含手动阀），材质304。</w:t>
      </w:r>
    </w:p>
    <w:p w14:paraId="486842C6">
      <w:pPr>
        <w:pStyle w:val="32"/>
        <w:spacing w:line="520" w:lineRule="exact"/>
        <w:ind w:firstLine="960"/>
        <w:jc w:val="both"/>
        <w:rPr>
          <w:rFonts w:hint="default"/>
        </w:rPr>
      </w:pPr>
      <w:r>
        <w:t>筛鼓：工作面镀硬铬0.18-0.22mm，主体材质304。</w:t>
      </w:r>
    </w:p>
    <w:p w14:paraId="3CD15965">
      <w:pPr>
        <w:pStyle w:val="32"/>
        <w:spacing w:line="520" w:lineRule="exact"/>
        <w:ind w:left="2148" w:hanging="1188" w:firstLineChars="0"/>
        <w:jc w:val="both"/>
        <w:rPr>
          <w:rFonts w:hint="default"/>
        </w:rPr>
      </w:pPr>
      <w:r>
        <w:t>传动单元：轴承座，轴承（SKF/FAG）、下部轴瓦选用劳士领或等同</w:t>
      </w:r>
      <w:r>
        <w:rPr>
          <w:lang w:val="en-US"/>
        </w:rPr>
        <w:t>品质</w:t>
      </w:r>
      <w:r>
        <w:t>品牌出厂的超高分子UPE材料制作。减速机（品牌SEW、KUMERA、MOVENTAS或同</w:t>
      </w:r>
      <w:r>
        <w:rPr>
          <w:lang w:val="en-US"/>
        </w:rPr>
        <w:t>品质</w:t>
      </w:r>
      <w:r>
        <w:t>品牌）、主机皮带轮、电机皮带轮、V带和防护罩等。</w:t>
      </w:r>
    </w:p>
    <w:p w14:paraId="58F5E713">
      <w:pPr>
        <w:pStyle w:val="32"/>
        <w:spacing w:line="520" w:lineRule="exact"/>
        <w:ind w:left="1680" w:hanging="720" w:firstLineChars="0"/>
        <w:jc w:val="both"/>
        <w:rPr>
          <w:rFonts w:hint="default"/>
        </w:rPr>
      </w:pPr>
      <w:r>
        <w:t>机座：主机座、电机连接架、基础板、地脚螺栓，主机座材质为碳素钢，表面喷漆。</w:t>
      </w:r>
    </w:p>
    <w:p w14:paraId="6FD503FC">
      <w:pPr>
        <w:pStyle w:val="32"/>
        <w:spacing w:line="520" w:lineRule="exact"/>
        <w:ind w:firstLine="960"/>
        <w:jc w:val="both"/>
        <w:rPr>
          <w:rFonts w:hint="default"/>
        </w:rPr>
      </w:pPr>
      <w:r>
        <w:t>材质：与浆料接触壳体部分：304或更高等级。</w:t>
      </w:r>
    </w:p>
    <w:p w14:paraId="361D8230">
      <w:pPr>
        <w:pStyle w:val="23"/>
        <w:ind w:firstLine="720"/>
        <w:jc w:val="both"/>
        <w:rPr>
          <w:rFonts w:hint="default"/>
        </w:rPr>
      </w:pPr>
      <w:r>
        <w:rPr>
          <w:lang w:val="en-US"/>
        </w:rPr>
        <w:t>9</w:t>
      </w:r>
      <w:r>
        <w:t>.2.5 压力筛</w:t>
      </w:r>
    </w:p>
    <w:p w14:paraId="3A5DE0AD">
      <w:pPr>
        <w:pStyle w:val="32"/>
        <w:spacing w:line="520" w:lineRule="exact"/>
        <w:ind w:left="1653" w:hanging="693" w:firstLineChars="0"/>
        <w:jc w:val="both"/>
        <w:rPr>
          <w:rFonts w:hint="default"/>
        </w:rPr>
      </w:pPr>
      <w:r>
        <w:t>壳体：包含筛壳主体及上盖，材质3</w:t>
      </w:r>
      <w:r>
        <w:rPr>
          <w:lang w:val="en-US"/>
        </w:rPr>
        <w:t>04</w:t>
      </w:r>
      <w:r>
        <w:t>L</w:t>
      </w:r>
      <w:r>
        <w:rPr>
          <w:lang w:val="en-US"/>
        </w:rPr>
        <w:t>或以上材质</w:t>
      </w:r>
      <w:r>
        <w:t>，筛盖提升装置为碳素钢，表面镀锌和表面喷漆。</w:t>
      </w:r>
    </w:p>
    <w:p w14:paraId="76482E3C">
      <w:pPr>
        <w:pStyle w:val="32"/>
        <w:spacing w:line="520" w:lineRule="exact"/>
        <w:ind w:firstLine="960"/>
        <w:jc w:val="both"/>
        <w:rPr>
          <w:rFonts w:hint="default"/>
        </w:rPr>
      </w:pPr>
      <w:r>
        <w:t>转子：平衡后的台阶海豚型转子，材质316L。</w:t>
      </w:r>
    </w:p>
    <w:p w14:paraId="7B61C3AD">
      <w:pPr>
        <w:pStyle w:val="32"/>
        <w:spacing w:line="520" w:lineRule="exact"/>
        <w:ind w:firstLine="960"/>
        <w:jc w:val="both"/>
        <w:rPr>
          <w:rFonts w:hint="default"/>
        </w:rPr>
      </w:pPr>
      <w:r>
        <w:t>筛鼓：楔形条波纹筛鼓，工作面镀铬0.18-0.22mm，棒条材质316L。</w:t>
      </w:r>
    </w:p>
    <w:p w14:paraId="53977800">
      <w:pPr>
        <w:pStyle w:val="32"/>
        <w:spacing w:line="520" w:lineRule="exact"/>
        <w:ind w:left="2152" w:leftChars="340" w:hanging="1200" w:hangingChars="500"/>
        <w:jc w:val="both"/>
        <w:rPr>
          <w:rFonts w:hint="default"/>
          <w:lang w:val="en-US"/>
        </w:rPr>
      </w:pPr>
      <w:r>
        <w:t>机械密封：双端面平衡型机械密封，品牌为约翰克兰Johncrane、</w:t>
      </w:r>
      <w:r>
        <w:rPr>
          <w:lang w:val="en-US"/>
        </w:rPr>
        <w:t>博格曼、AES或同品质其他品牌。</w:t>
      </w:r>
    </w:p>
    <w:p w14:paraId="5D451FB9">
      <w:pPr>
        <w:pStyle w:val="32"/>
        <w:spacing w:line="520" w:lineRule="exact"/>
        <w:ind w:firstLine="960"/>
        <w:jc w:val="both"/>
        <w:rPr>
          <w:rFonts w:hint="default"/>
          <w:lang w:val="en-US"/>
        </w:rPr>
      </w:pPr>
      <w:r>
        <w:t>机封水流量计：</w:t>
      </w:r>
      <w:r>
        <w:rPr>
          <w:lang w:val="en-US"/>
        </w:rPr>
        <w:t>配备，参数要求参见4.11要求。</w:t>
      </w:r>
    </w:p>
    <w:p w14:paraId="5D02FA80">
      <w:pPr>
        <w:pStyle w:val="32"/>
        <w:spacing w:line="520" w:lineRule="exact"/>
        <w:ind w:left="2153" w:hanging="1193" w:firstLineChars="0"/>
        <w:jc w:val="both"/>
        <w:rPr>
          <w:rFonts w:hint="default"/>
        </w:rPr>
      </w:pPr>
      <w:r>
        <w:t>传动单元：包含传动支架、轴承座、轴、轴承（SKF/FAG</w:t>
      </w:r>
      <w:r>
        <w:rPr>
          <w:lang w:val="en-US"/>
        </w:rPr>
        <w:t>/NSK</w:t>
      </w:r>
      <w:r>
        <w:t>）、机封水连接座、主机皮带轮、电机皮带轮、V带和防护罩等。</w:t>
      </w:r>
    </w:p>
    <w:p w14:paraId="3EED166F">
      <w:pPr>
        <w:pStyle w:val="32"/>
        <w:spacing w:line="520" w:lineRule="exact"/>
        <w:ind w:left="1672" w:hanging="712" w:firstLineChars="0"/>
        <w:jc w:val="both"/>
        <w:rPr>
          <w:rFonts w:hint="default"/>
        </w:rPr>
      </w:pPr>
      <w:r>
        <w:t>机座：主机座、电机连接架、基础板、地脚螺栓，主机座材质为碳素钢，表面喷漆。</w:t>
      </w:r>
    </w:p>
    <w:p w14:paraId="0AFF69E8">
      <w:pPr>
        <w:pStyle w:val="32"/>
        <w:spacing w:line="520" w:lineRule="exact"/>
        <w:ind w:firstLine="960"/>
        <w:jc w:val="both"/>
        <w:rPr>
          <w:rFonts w:hint="default"/>
        </w:rPr>
      </w:pPr>
      <w:r>
        <w:t>材质：与浆料接触壳体部分：3</w:t>
      </w:r>
      <w:r>
        <w:rPr>
          <w:lang w:val="en-US"/>
        </w:rPr>
        <w:t>04</w:t>
      </w:r>
      <w:r>
        <w:t>L或更高等级。</w:t>
      </w:r>
    </w:p>
    <w:p w14:paraId="0C52AC93">
      <w:pPr>
        <w:pStyle w:val="23"/>
        <w:ind w:firstLine="720"/>
        <w:jc w:val="both"/>
        <w:rPr>
          <w:rFonts w:hint="default"/>
        </w:rPr>
      </w:pPr>
      <w:r>
        <w:rPr>
          <w:lang w:val="en-US"/>
        </w:rPr>
        <w:t>9</w:t>
      </w:r>
      <w:r>
        <w:t>.2.6 黑液过滤机</w:t>
      </w:r>
    </w:p>
    <w:p w14:paraId="123C12C5">
      <w:pPr>
        <w:pStyle w:val="32"/>
        <w:spacing w:line="520" w:lineRule="exact"/>
        <w:ind w:left="1653" w:hanging="693" w:firstLineChars="0"/>
        <w:jc w:val="both"/>
        <w:rPr>
          <w:rFonts w:hint="default"/>
        </w:rPr>
      </w:pPr>
      <w:r>
        <w:t>壳体：包含筛壳主体及上盖，材质3</w:t>
      </w:r>
      <w:r>
        <w:rPr>
          <w:lang w:val="en-US"/>
        </w:rPr>
        <w:t>04</w:t>
      </w:r>
      <w:r>
        <w:t>L</w:t>
      </w:r>
      <w:r>
        <w:rPr>
          <w:lang w:val="en-US"/>
        </w:rPr>
        <w:t>或以上材质</w:t>
      </w:r>
      <w:r>
        <w:t>。筛盖提升装置为碳素钢，表面镀锌和表面喷漆。</w:t>
      </w:r>
    </w:p>
    <w:p w14:paraId="7B38A703">
      <w:pPr>
        <w:pStyle w:val="32"/>
        <w:spacing w:line="520" w:lineRule="exact"/>
        <w:ind w:firstLine="960"/>
        <w:jc w:val="both"/>
        <w:rPr>
          <w:rFonts w:hint="default"/>
        </w:rPr>
      </w:pPr>
      <w:r>
        <w:t>转子：平衡后的节能型球头转子，材质316L。</w:t>
      </w:r>
    </w:p>
    <w:p w14:paraId="3221F8D8">
      <w:pPr>
        <w:pStyle w:val="32"/>
        <w:spacing w:line="520" w:lineRule="exact"/>
        <w:ind w:left="1680" w:hanging="720" w:firstLineChars="0"/>
        <w:jc w:val="both"/>
        <w:rPr>
          <w:rFonts w:hint="default"/>
        </w:rPr>
      </w:pPr>
      <w:r>
        <w:t>筛鼓：激光微孔筛鼓孔径0.1，工作面镀硬铬0.18-0.22mm，筛板材质316L。</w:t>
      </w:r>
    </w:p>
    <w:p w14:paraId="3AA26DE9">
      <w:pPr>
        <w:pStyle w:val="32"/>
        <w:spacing w:line="520" w:lineRule="exact"/>
        <w:ind w:left="2160" w:hanging="1200" w:firstLineChars="0"/>
        <w:jc w:val="both"/>
        <w:rPr>
          <w:rFonts w:hint="default"/>
        </w:rPr>
      </w:pPr>
      <w:r>
        <w:t>机械密封：集装式双端面平衡型机械密封，品牌为约翰克兰Johncrane、博格曼、AES或同品质其他品牌。</w:t>
      </w:r>
    </w:p>
    <w:p w14:paraId="0EABA5A8">
      <w:pPr>
        <w:pStyle w:val="32"/>
        <w:spacing w:line="520" w:lineRule="exact"/>
        <w:ind w:firstLine="960"/>
        <w:jc w:val="both"/>
        <w:rPr>
          <w:rFonts w:hint="default"/>
        </w:rPr>
      </w:pPr>
      <w:r>
        <w:t>机封水流量计：</w:t>
      </w:r>
      <w:r>
        <w:rPr>
          <w:lang w:val="en-US"/>
        </w:rPr>
        <w:t>配备，参数要求参见</w:t>
      </w:r>
      <w:r>
        <w:rPr>
          <w:rFonts w:hint="default"/>
          <w:lang w:val="en-US"/>
        </w:rPr>
        <w:t>4</w:t>
      </w:r>
      <w:r>
        <w:rPr>
          <w:lang w:val="en-US"/>
        </w:rPr>
        <w:t>.11要求。</w:t>
      </w:r>
    </w:p>
    <w:p w14:paraId="192E4D55">
      <w:pPr>
        <w:pStyle w:val="32"/>
        <w:spacing w:line="520" w:lineRule="exact"/>
        <w:ind w:left="2153" w:hanging="1193" w:firstLineChars="0"/>
        <w:jc w:val="both"/>
        <w:rPr>
          <w:rFonts w:hint="default"/>
        </w:rPr>
      </w:pPr>
      <w:r>
        <w:t>传动单元：包含传动支架、轴承座、轴、轴承（SKF/FAG</w:t>
      </w:r>
      <w:r>
        <w:rPr>
          <w:lang w:val="en-US"/>
        </w:rPr>
        <w:t>/NSK</w:t>
      </w:r>
      <w:r>
        <w:t>）、机封水连接座、主机皮带轮、电机皮带轮、V带和防护罩等。</w:t>
      </w:r>
    </w:p>
    <w:p w14:paraId="1B06EE7F">
      <w:pPr>
        <w:pStyle w:val="32"/>
        <w:spacing w:line="520" w:lineRule="exact"/>
        <w:ind w:left="1672" w:hanging="712" w:firstLineChars="0"/>
        <w:jc w:val="both"/>
        <w:rPr>
          <w:rFonts w:hint="default"/>
        </w:rPr>
      </w:pPr>
      <w:r>
        <w:t>机座：主机座、电机连接架、基础板、地脚螺栓。主机座材质为碳素钢，表面喷漆。</w:t>
      </w:r>
    </w:p>
    <w:p w14:paraId="236FCCC2">
      <w:pPr>
        <w:pStyle w:val="32"/>
        <w:spacing w:line="520" w:lineRule="exact"/>
        <w:ind w:left="1658" w:hanging="698" w:firstLineChars="0"/>
        <w:jc w:val="both"/>
        <w:rPr>
          <w:rFonts w:hint="default"/>
        </w:rPr>
      </w:pPr>
      <w:r>
        <w:t>材质：与浆料接触壳体部分：3</w:t>
      </w:r>
      <w:r>
        <w:rPr>
          <w:lang w:val="en-US"/>
        </w:rPr>
        <w:t>04</w:t>
      </w:r>
      <w:r>
        <w:t>L或更高等级。</w:t>
      </w:r>
    </w:p>
    <w:p w14:paraId="622E1467">
      <w:pPr>
        <w:pStyle w:val="32"/>
        <w:spacing w:line="520" w:lineRule="exact"/>
        <w:ind w:firstLine="960"/>
        <w:jc w:val="both"/>
        <w:rPr>
          <w:rFonts w:hint="default"/>
        </w:rPr>
      </w:pPr>
      <w:r>
        <w:t>传动形式为三角皮带传动。</w:t>
      </w:r>
    </w:p>
    <w:p w14:paraId="34B66CDF">
      <w:pPr>
        <w:pStyle w:val="32"/>
        <w:spacing w:line="520" w:lineRule="exact"/>
        <w:ind w:left="960" w:firstLine="0" w:firstLineChars="0"/>
        <w:jc w:val="both"/>
        <w:rPr>
          <w:rFonts w:hint="default"/>
        </w:rPr>
      </w:pPr>
      <w:r>
        <w:t>以上筛选类设备选用</w:t>
      </w:r>
      <w:r>
        <w:rPr>
          <w:lang w:val="en-US"/>
        </w:rPr>
        <w:t>VALMET、ANDRITZ、</w:t>
      </w:r>
      <w:r>
        <w:t>新乡市新平航空机械有限公司或其他</w:t>
      </w:r>
      <w:r>
        <w:rPr>
          <w:lang w:val="en-US"/>
        </w:rPr>
        <w:t>高品质</w:t>
      </w:r>
      <w:r>
        <w:t>品牌产品。</w:t>
      </w:r>
    </w:p>
    <w:p w14:paraId="7D6DE19C">
      <w:pPr>
        <w:pStyle w:val="23"/>
        <w:ind w:firstLine="720"/>
        <w:jc w:val="both"/>
        <w:rPr>
          <w:rFonts w:hint="default"/>
        </w:rPr>
      </w:pPr>
      <w:r>
        <w:rPr>
          <w:lang w:val="en-US"/>
        </w:rPr>
        <w:t>9</w:t>
      </w:r>
      <w:r>
        <w:t>.2.7双辊挤浆机</w:t>
      </w:r>
    </w:p>
    <w:p w14:paraId="2012C73F">
      <w:pPr>
        <w:pStyle w:val="32"/>
        <w:ind w:left="958" w:firstLine="480" w:firstLineChars="200"/>
        <w:jc w:val="both"/>
        <w:rPr>
          <w:rFonts w:hint="default"/>
        </w:rPr>
      </w:pPr>
      <w:r>
        <w:t>双辊挤浆机选用国内外最新型高效的双辊挤浆机，选用机型能充分满足本项目</w:t>
      </w:r>
      <w:r>
        <w:rPr>
          <w:lang w:val="en-US"/>
        </w:rPr>
        <w:t>用浆</w:t>
      </w:r>
      <w:r>
        <w:t>的设计产量及各项工艺招标要求。各项设备特性要求：</w:t>
      </w:r>
    </w:p>
    <w:p w14:paraId="2CAF0B54">
      <w:pPr>
        <w:pStyle w:val="32"/>
        <w:ind w:firstLine="960"/>
        <w:jc w:val="both"/>
        <w:rPr>
          <w:rFonts w:hint="default"/>
        </w:rPr>
      </w:pPr>
      <w:r>
        <w:t>（</w:t>
      </w:r>
      <w:r>
        <w:rPr>
          <w:lang w:val="en-US"/>
        </w:rPr>
        <w:t>1</w:t>
      </w:r>
      <w:r>
        <w:t>）采用螺旋布浆，两根布浆螺旋位于双辊挤浆机两侧的顶部。</w:t>
      </w:r>
    </w:p>
    <w:p w14:paraId="603EBF21">
      <w:pPr>
        <w:pStyle w:val="32"/>
        <w:ind w:left="1548" w:hanging="588" w:firstLineChars="0"/>
        <w:jc w:val="both"/>
        <w:rPr>
          <w:rFonts w:hint="default"/>
        </w:rPr>
      </w:pPr>
      <w:r>
        <w:rPr>
          <w:lang w:val="en-US"/>
        </w:rPr>
        <w:t>（2）</w:t>
      </w:r>
      <w:r>
        <w:t>侧翼、中底一键打开技术：方便检修和更换密封件，侧翼和中底可打开，省力又省时，维修方便，侧翼打开角度可达约40°，便于辊子及密封件的维护和检修。</w:t>
      </w:r>
    </w:p>
    <w:p w14:paraId="2E92B7D4">
      <w:pPr>
        <w:pStyle w:val="32"/>
        <w:ind w:left="1566" w:hanging="606" w:firstLineChars="0"/>
        <w:jc w:val="both"/>
        <w:rPr>
          <w:rFonts w:hint="default"/>
        </w:rPr>
      </w:pPr>
      <w:r>
        <w:rPr>
          <w:lang w:val="en-US"/>
        </w:rPr>
        <w:t>（3）</w:t>
      </w:r>
      <w:r>
        <w:t>在线调节辊子间隙：双辊挤浆机辊子加压方式采用伺服缸加压，采用在线伺服控制，在线调节辊子间隙（运行中即可调节），双辊挤浆机底部中底停机时可升降，便于底部楔形区浆料的清理。</w:t>
      </w:r>
    </w:p>
    <w:p w14:paraId="13840FDC">
      <w:pPr>
        <w:pStyle w:val="32"/>
        <w:ind w:left="1566" w:hanging="606" w:firstLineChars="0"/>
        <w:jc w:val="both"/>
        <w:rPr>
          <w:rFonts w:hint="default"/>
        </w:rPr>
      </w:pPr>
      <w:r>
        <w:rPr>
          <w:lang w:val="en-US"/>
        </w:rPr>
        <w:t>（4）</w:t>
      </w:r>
      <w:r>
        <w:t>双辊挤浆机驱动形式采用电机减速机传动：电机为标准通用型，</w:t>
      </w:r>
      <w:r>
        <w:rPr>
          <w:lang w:val="en-US"/>
        </w:rPr>
        <w:t>品牌选用</w:t>
      </w:r>
      <w:r>
        <w:t>ABB、</w:t>
      </w:r>
      <w:r>
        <w:rPr>
          <w:lang w:val="en-US"/>
        </w:rPr>
        <w:t>SEW、住友、三菱或同品质其他品牌。</w:t>
      </w:r>
      <w:r>
        <w:t>减速机</w:t>
      </w:r>
      <w:r>
        <w:rPr>
          <w:lang w:val="en-US"/>
        </w:rPr>
        <w:t>选用</w:t>
      </w:r>
      <w:r>
        <w:t>SEW、住友、MOVENTAS、FLENDER、Rossi等同</w:t>
      </w:r>
      <w:r>
        <w:rPr>
          <w:lang w:val="en-US"/>
        </w:rPr>
        <w:t>品质</w:t>
      </w:r>
      <w:r>
        <w:t>品牌，在3-14转/分之间实现无级调速，运转稳定，启动方便，要求：电机减速机控制技术成熟先进，采用主动辊、从动辊控制方式。主动辊速度控制，从动辊扭矩控制，主动辊电机和从动辊电机采用变频器辅助系统，主从变频器之间通信，实现同步控制。</w:t>
      </w:r>
    </w:p>
    <w:p w14:paraId="1D846CCF">
      <w:pPr>
        <w:pStyle w:val="32"/>
        <w:ind w:left="1566" w:hanging="606" w:firstLineChars="0"/>
        <w:jc w:val="both"/>
        <w:rPr>
          <w:rFonts w:hint="default"/>
        </w:rPr>
      </w:pPr>
      <w:r>
        <w:t>（</w:t>
      </w:r>
      <w:r>
        <w:rPr>
          <w:lang w:val="en-US"/>
        </w:rPr>
        <w:t>5</w:t>
      </w:r>
      <w:r>
        <w:t>）辅助系统包含辊子摆动用伺服液压系统和侧翼驱动液压系统，提供辊子摆动及侧翼开合的驱动；中底驱动采用丝杆升降机提供中底升降的动力。</w:t>
      </w:r>
    </w:p>
    <w:p w14:paraId="215E33CE">
      <w:pPr>
        <w:pStyle w:val="32"/>
        <w:ind w:left="1560" w:hanging="600" w:firstLineChars="0"/>
        <w:jc w:val="both"/>
        <w:rPr>
          <w:rFonts w:hint="default"/>
        </w:rPr>
      </w:pPr>
      <w:r>
        <w:t>（</w:t>
      </w:r>
      <w:r>
        <w:rPr>
          <w:lang w:val="en-US"/>
        </w:rPr>
        <w:t>6</w:t>
      </w:r>
      <w:r>
        <w:t>）供货范围及技术描述：</w:t>
      </w:r>
    </w:p>
    <w:p w14:paraId="2366FA91">
      <w:pPr>
        <w:pStyle w:val="32"/>
        <w:ind w:left="958" w:firstLine="480" w:firstLineChars="200"/>
        <w:jc w:val="both"/>
        <w:rPr>
          <w:rFonts w:hint="default"/>
        </w:rPr>
      </w:pPr>
      <w:r>
        <w:t>双辊挤浆机包括主体设备、液压辅助系统、设备本体上需要安装的仪表（如零速开关、压力传感器等）、现场按钮箱、电机减速机。供货范围设备规格型号及技术要求，材质要求必须符合国家标准。</w:t>
      </w:r>
    </w:p>
    <w:p w14:paraId="5C4D30A8">
      <w:pPr>
        <w:pStyle w:val="32"/>
        <w:ind w:left="958" w:firstLine="480" w:firstLineChars="200"/>
        <w:jc w:val="both"/>
        <w:rPr>
          <w:rFonts w:hint="default"/>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3375"/>
        <w:gridCol w:w="3624"/>
        <w:gridCol w:w="698"/>
      </w:tblGrid>
      <w:tr w14:paraId="4B059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586" w:type="dxa"/>
            <w:vMerge w:val="restart"/>
            <w:vAlign w:val="center"/>
          </w:tcPr>
          <w:p w14:paraId="2AED1F8A">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供货范围描述</w:t>
            </w:r>
          </w:p>
        </w:tc>
        <w:tc>
          <w:tcPr>
            <w:tcW w:w="6999" w:type="dxa"/>
            <w:gridSpan w:val="2"/>
            <w:vAlign w:val="center"/>
          </w:tcPr>
          <w:p w14:paraId="48491715">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规格及技术参数</w:t>
            </w:r>
          </w:p>
        </w:tc>
        <w:tc>
          <w:tcPr>
            <w:tcW w:w="698" w:type="dxa"/>
            <w:vMerge w:val="restart"/>
            <w:vAlign w:val="center"/>
          </w:tcPr>
          <w:p w14:paraId="3B6342CD">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数量/台</w:t>
            </w:r>
          </w:p>
        </w:tc>
      </w:tr>
      <w:tr w14:paraId="3B29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586" w:type="dxa"/>
            <w:vMerge w:val="continue"/>
            <w:vAlign w:val="center"/>
          </w:tcPr>
          <w:p w14:paraId="477DD60A">
            <w:pPr>
              <w:widowControl/>
              <w:spacing w:line="360" w:lineRule="auto"/>
              <w:jc w:val="center"/>
              <w:rPr>
                <w:rFonts w:ascii="宋体" w:hAnsi="宋体" w:cs="宋体"/>
                <w:color w:val="000000"/>
                <w:kern w:val="0"/>
                <w:sz w:val="22"/>
              </w:rPr>
            </w:pPr>
          </w:p>
        </w:tc>
        <w:tc>
          <w:tcPr>
            <w:tcW w:w="3375" w:type="dxa"/>
            <w:vAlign w:val="center"/>
          </w:tcPr>
          <w:p w14:paraId="5A7BD777">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材质描述</w:t>
            </w:r>
          </w:p>
        </w:tc>
        <w:tc>
          <w:tcPr>
            <w:tcW w:w="3624" w:type="dxa"/>
            <w:vAlign w:val="center"/>
          </w:tcPr>
          <w:p w14:paraId="13251705">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品牌要求</w:t>
            </w:r>
          </w:p>
        </w:tc>
        <w:tc>
          <w:tcPr>
            <w:tcW w:w="698" w:type="dxa"/>
            <w:vMerge w:val="continue"/>
            <w:vAlign w:val="center"/>
          </w:tcPr>
          <w:p w14:paraId="0F8D3B41">
            <w:pPr>
              <w:widowControl/>
              <w:spacing w:line="360" w:lineRule="auto"/>
              <w:jc w:val="center"/>
              <w:rPr>
                <w:rFonts w:ascii="宋体" w:hAnsi="宋体" w:cs="宋体"/>
                <w:color w:val="000000"/>
                <w:kern w:val="0"/>
                <w:sz w:val="24"/>
                <w:szCs w:val="24"/>
              </w:rPr>
            </w:pPr>
          </w:p>
        </w:tc>
      </w:tr>
      <w:tr w14:paraId="56B0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1586" w:type="dxa"/>
            <w:vAlign w:val="center"/>
          </w:tcPr>
          <w:p w14:paraId="5BBE2CBB">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槽体</w:t>
            </w:r>
          </w:p>
        </w:tc>
        <w:tc>
          <w:tcPr>
            <w:tcW w:w="3375" w:type="dxa"/>
            <w:vAlign w:val="center"/>
          </w:tcPr>
          <w:p w14:paraId="5DF8BD9C">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与浆料接触部分材质为SS</w:t>
            </w:r>
            <w:r>
              <w:rPr>
                <w:rFonts w:ascii="宋体" w:hAnsi="宋体" w:cs="宋体"/>
                <w:color w:val="000000"/>
                <w:kern w:val="0"/>
                <w:sz w:val="22"/>
              </w:rPr>
              <w:t>304</w:t>
            </w:r>
            <w:r>
              <w:rPr>
                <w:rFonts w:hint="eastAsia" w:ascii="宋体" w:hAnsi="宋体" w:cs="宋体"/>
                <w:color w:val="000000"/>
                <w:kern w:val="0"/>
                <w:sz w:val="22"/>
              </w:rPr>
              <w:t>；</w:t>
            </w:r>
          </w:p>
        </w:tc>
        <w:tc>
          <w:tcPr>
            <w:tcW w:w="3624" w:type="dxa"/>
            <w:vAlign w:val="center"/>
          </w:tcPr>
          <w:p w14:paraId="6105FBEA">
            <w:pPr>
              <w:widowControl/>
              <w:spacing w:line="360" w:lineRule="auto"/>
              <w:jc w:val="center"/>
              <w:rPr>
                <w:rFonts w:ascii="宋体" w:hAnsi="宋体" w:cs="宋体"/>
                <w:color w:val="000000"/>
                <w:kern w:val="0"/>
                <w:sz w:val="22"/>
              </w:rPr>
            </w:pPr>
            <w:r>
              <w:rPr>
                <w:rFonts w:hint="eastAsia" w:ascii="宋体" w:hAnsi="宋体"/>
                <w:bCs/>
                <w:sz w:val="22"/>
              </w:rPr>
              <w:t>卖方制</w:t>
            </w:r>
          </w:p>
        </w:tc>
        <w:tc>
          <w:tcPr>
            <w:tcW w:w="698" w:type="dxa"/>
            <w:vAlign w:val="center"/>
          </w:tcPr>
          <w:p w14:paraId="68E41411">
            <w:pPr>
              <w:widowControl/>
              <w:spacing w:line="360" w:lineRule="auto"/>
              <w:jc w:val="center"/>
              <w:rPr>
                <w:rFonts w:ascii="宋体" w:hAnsi="宋体" w:cs="宋体"/>
                <w:color w:val="000000"/>
                <w:kern w:val="0"/>
                <w:sz w:val="22"/>
              </w:rPr>
            </w:pPr>
            <w:r>
              <w:rPr>
                <w:rFonts w:ascii="宋体" w:hAnsi="宋体" w:cs="宋体"/>
                <w:color w:val="000000"/>
                <w:kern w:val="0"/>
                <w:sz w:val="22"/>
              </w:rPr>
              <w:t>1</w:t>
            </w:r>
          </w:p>
        </w:tc>
      </w:tr>
      <w:tr w14:paraId="584AE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1586" w:type="dxa"/>
            <w:vAlign w:val="center"/>
          </w:tcPr>
          <w:p w14:paraId="30E6958E">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侧翼</w:t>
            </w:r>
          </w:p>
        </w:tc>
        <w:tc>
          <w:tcPr>
            <w:tcW w:w="3375" w:type="dxa"/>
            <w:vAlign w:val="center"/>
          </w:tcPr>
          <w:p w14:paraId="1F69D116">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与浆料接触部分材质为SS</w:t>
            </w:r>
            <w:r>
              <w:rPr>
                <w:rFonts w:ascii="宋体" w:hAnsi="宋体" w:cs="宋体"/>
                <w:color w:val="000000"/>
                <w:kern w:val="0"/>
                <w:sz w:val="22"/>
              </w:rPr>
              <w:t>304</w:t>
            </w:r>
            <w:r>
              <w:rPr>
                <w:rFonts w:hint="eastAsia" w:ascii="宋体" w:hAnsi="宋体" w:cs="宋体"/>
                <w:color w:val="000000"/>
                <w:kern w:val="0"/>
                <w:sz w:val="22"/>
              </w:rPr>
              <w:t>；</w:t>
            </w:r>
          </w:p>
        </w:tc>
        <w:tc>
          <w:tcPr>
            <w:tcW w:w="3624" w:type="dxa"/>
            <w:vAlign w:val="center"/>
          </w:tcPr>
          <w:p w14:paraId="1B131632">
            <w:pPr>
              <w:widowControl/>
              <w:spacing w:line="360" w:lineRule="auto"/>
              <w:jc w:val="center"/>
              <w:rPr>
                <w:rFonts w:ascii="宋体" w:hAnsi="宋体" w:cs="宋体"/>
                <w:color w:val="000000"/>
                <w:kern w:val="0"/>
                <w:sz w:val="22"/>
              </w:rPr>
            </w:pPr>
            <w:r>
              <w:rPr>
                <w:rFonts w:hint="eastAsia" w:ascii="宋体" w:hAnsi="宋体"/>
                <w:bCs/>
                <w:sz w:val="22"/>
              </w:rPr>
              <w:t>卖方制</w:t>
            </w:r>
          </w:p>
        </w:tc>
        <w:tc>
          <w:tcPr>
            <w:tcW w:w="698" w:type="dxa"/>
            <w:vAlign w:val="center"/>
          </w:tcPr>
          <w:p w14:paraId="4098EAF7">
            <w:pPr>
              <w:widowControl/>
              <w:spacing w:line="360" w:lineRule="auto"/>
              <w:jc w:val="center"/>
              <w:rPr>
                <w:rFonts w:ascii="宋体" w:hAnsi="宋体" w:cs="宋体"/>
                <w:color w:val="000000"/>
                <w:kern w:val="0"/>
                <w:sz w:val="22"/>
              </w:rPr>
            </w:pPr>
            <w:r>
              <w:rPr>
                <w:rFonts w:ascii="宋体" w:hAnsi="宋体" w:cs="宋体"/>
                <w:color w:val="000000"/>
                <w:kern w:val="0"/>
                <w:sz w:val="22"/>
              </w:rPr>
              <w:t>2</w:t>
            </w:r>
          </w:p>
        </w:tc>
      </w:tr>
      <w:tr w14:paraId="73ED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586" w:type="dxa"/>
            <w:vAlign w:val="center"/>
          </w:tcPr>
          <w:p w14:paraId="1B161D5D">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固定挤浆辊</w:t>
            </w:r>
          </w:p>
        </w:tc>
        <w:tc>
          <w:tcPr>
            <w:tcW w:w="3375" w:type="dxa"/>
            <w:vAlign w:val="center"/>
          </w:tcPr>
          <w:p w14:paraId="3EB84265">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与浆料接触部分材质为SS</w:t>
            </w:r>
            <w:r>
              <w:rPr>
                <w:rFonts w:ascii="宋体" w:hAnsi="宋体" w:cs="宋体"/>
                <w:color w:val="000000"/>
                <w:kern w:val="0"/>
                <w:sz w:val="22"/>
              </w:rPr>
              <w:t>304</w:t>
            </w:r>
            <w:r>
              <w:rPr>
                <w:rFonts w:hint="eastAsia" w:ascii="宋体" w:hAnsi="宋体" w:cs="宋体"/>
                <w:color w:val="000000"/>
                <w:kern w:val="0"/>
                <w:sz w:val="22"/>
              </w:rPr>
              <w:t>，筛板材质SS</w:t>
            </w:r>
            <w:r>
              <w:rPr>
                <w:rFonts w:ascii="宋体" w:hAnsi="宋体" w:cs="宋体"/>
                <w:color w:val="000000"/>
                <w:kern w:val="0"/>
                <w:sz w:val="22"/>
              </w:rPr>
              <w:t>304</w:t>
            </w:r>
            <w:r>
              <w:rPr>
                <w:rFonts w:hint="eastAsia" w:ascii="宋体" w:hAnsi="宋体" w:cs="宋体"/>
                <w:color w:val="000000"/>
                <w:kern w:val="0"/>
                <w:sz w:val="22"/>
              </w:rPr>
              <w:t>；筛板厚度4mm，筛孔加工方式：钻孔筛板两面去毛刺，抛光处理，棉纱测试不挂丝；</w:t>
            </w:r>
          </w:p>
        </w:tc>
        <w:tc>
          <w:tcPr>
            <w:tcW w:w="3624" w:type="dxa"/>
            <w:vAlign w:val="center"/>
          </w:tcPr>
          <w:p w14:paraId="6E28F9D2">
            <w:pPr>
              <w:widowControl/>
              <w:spacing w:line="360" w:lineRule="auto"/>
              <w:jc w:val="center"/>
              <w:rPr>
                <w:rFonts w:ascii="宋体" w:hAnsi="宋体" w:cs="宋体"/>
                <w:color w:val="000000"/>
                <w:kern w:val="0"/>
                <w:sz w:val="22"/>
              </w:rPr>
            </w:pPr>
            <w:r>
              <w:rPr>
                <w:rFonts w:hint="eastAsia" w:ascii="宋体" w:hAnsi="宋体" w:cs="宋体"/>
                <w:color w:val="000000"/>
                <w:kern w:val="0"/>
                <w:sz w:val="22"/>
              </w:rPr>
              <w:t>辊体</w:t>
            </w:r>
            <w:r>
              <w:rPr>
                <w:rFonts w:hint="eastAsia" w:ascii="宋体" w:hAnsi="宋体"/>
                <w:bCs/>
                <w:sz w:val="22"/>
              </w:rPr>
              <w:t>卖方制</w:t>
            </w:r>
            <w:r>
              <w:rPr>
                <w:rFonts w:hint="eastAsia" w:ascii="宋体" w:hAnsi="宋体" w:cs="宋体"/>
                <w:color w:val="000000"/>
                <w:kern w:val="0"/>
                <w:sz w:val="22"/>
              </w:rPr>
              <w:t>，轴承</w:t>
            </w:r>
            <w:r>
              <w:rPr>
                <w:rFonts w:ascii="宋体" w:hAnsi="宋体" w:cs="宋体"/>
                <w:color w:val="000000"/>
                <w:kern w:val="0"/>
                <w:sz w:val="22"/>
              </w:rPr>
              <w:t>SKF</w:t>
            </w:r>
            <w:r>
              <w:rPr>
                <w:rFonts w:hint="eastAsia" w:ascii="宋体" w:hAnsi="宋体" w:cs="宋体"/>
                <w:color w:val="000000"/>
                <w:kern w:val="0"/>
                <w:sz w:val="22"/>
              </w:rPr>
              <w:t>、</w:t>
            </w:r>
            <w:r>
              <w:rPr>
                <w:rFonts w:ascii="宋体" w:hAnsi="宋体" w:cs="宋体"/>
                <w:color w:val="000000"/>
                <w:kern w:val="0"/>
                <w:sz w:val="22"/>
              </w:rPr>
              <w:t>FAG</w:t>
            </w:r>
          </w:p>
        </w:tc>
        <w:tc>
          <w:tcPr>
            <w:tcW w:w="698" w:type="dxa"/>
            <w:vAlign w:val="center"/>
          </w:tcPr>
          <w:p w14:paraId="08930B13">
            <w:pPr>
              <w:widowControl/>
              <w:spacing w:line="360" w:lineRule="auto"/>
              <w:jc w:val="center"/>
              <w:rPr>
                <w:rFonts w:ascii="宋体" w:hAnsi="宋体" w:cs="宋体"/>
                <w:color w:val="000000"/>
                <w:kern w:val="0"/>
                <w:sz w:val="22"/>
              </w:rPr>
            </w:pPr>
            <w:r>
              <w:rPr>
                <w:rFonts w:ascii="宋体" w:hAnsi="宋体" w:cs="宋体"/>
                <w:color w:val="000000"/>
                <w:kern w:val="0"/>
                <w:sz w:val="22"/>
              </w:rPr>
              <w:t>1</w:t>
            </w:r>
          </w:p>
        </w:tc>
      </w:tr>
      <w:tr w14:paraId="5929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1586" w:type="dxa"/>
            <w:vAlign w:val="center"/>
          </w:tcPr>
          <w:p w14:paraId="51186EFB">
            <w:pPr>
              <w:widowControl/>
              <w:spacing w:line="360" w:lineRule="auto"/>
              <w:jc w:val="center"/>
              <w:rPr>
                <w:rFonts w:ascii="宋体" w:hAnsi="宋体" w:cs="宋体"/>
                <w:sz w:val="22"/>
              </w:rPr>
            </w:pPr>
            <w:r>
              <w:rPr>
                <w:rFonts w:hint="eastAsia" w:ascii="宋体" w:hAnsi="宋体" w:cs="宋体"/>
                <w:sz w:val="22"/>
              </w:rPr>
              <w:t>随动挤浆辊</w:t>
            </w:r>
          </w:p>
        </w:tc>
        <w:tc>
          <w:tcPr>
            <w:tcW w:w="3375" w:type="dxa"/>
            <w:vAlign w:val="center"/>
          </w:tcPr>
          <w:p w14:paraId="54DD9179">
            <w:pPr>
              <w:widowControl/>
              <w:spacing w:line="360" w:lineRule="auto"/>
              <w:jc w:val="center"/>
              <w:rPr>
                <w:rFonts w:ascii="宋体" w:hAnsi="宋体" w:cs="宋体"/>
                <w:sz w:val="22"/>
              </w:rPr>
            </w:pPr>
            <w:r>
              <w:rPr>
                <w:rFonts w:hint="eastAsia" w:ascii="宋体" w:hAnsi="宋体" w:cs="宋体"/>
                <w:sz w:val="22"/>
              </w:rPr>
              <w:t>与浆料接触部分材质为SS</w:t>
            </w:r>
            <w:r>
              <w:rPr>
                <w:rFonts w:ascii="宋体" w:hAnsi="宋体" w:cs="宋体"/>
                <w:sz w:val="22"/>
              </w:rPr>
              <w:t>304</w:t>
            </w:r>
            <w:r>
              <w:rPr>
                <w:rFonts w:hint="eastAsia" w:ascii="宋体" w:hAnsi="宋体" w:cs="宋体"/>
                <w:sz w:val="22"/>
              </w:rPr>
              <w:t>，筛板材质SS</w:t>
            </w:r>
            <w:r>
              <w:rPr>
                <w:rFonts w:ascii="宋体" w:hAnsi="宋体" w:cs="宋体"/>
                <w:sz w:val="22"/>
              </w:rPr>
              <w:t>304</w:t>
            </w:r>
            <w:r>
              <w:rPr>
                <w:rFonts w:hint="eastAsia" w:ascii="宋体" w:hAnsi="宋体" w:cs="宋体"/>
                <w:sz w:val="22"/>
              </w:rPr>
              <w:t>；</w:t>
            </w:r>
            <w:r>
              <w:rPr>
                <w:rFonts w:hint="eastAsia" w:ascii="宋体" w:hAnsi="宋体"/>
                <w:bCs/>
                <w:sz w:val="22"/>
              </w:rPr>
              <w:t>筛板厚度4mm，筛孔加工方式：钻孔</w:t>
            </w:r>
            <w:r>
              <w:rPr>
                <w:rFonts w:hint="eastAsia" w:ascii="宋体" w:hAnsi="宋体" w:cs="宋体"/>
                <w:color w:val="000000"/>
                <w:kern w:val="0"/>
                <w:sz w:val="22"/>
              </w:rPr>
              <w:t>筛板两面去毛刺，抛光处理，棉纱测试不挂丝；</w:t>
            </w:r>
          </w:p>
        </w:tc>
        <w:tc>
          <w:tcPr>
            <w:tcW w:w="3624" w:type="dxa"/>
            <w:vAlign w:val="center"/>
          </w:tcPr>
          <w:p w14:paraId="56A0003F">
            <w:pPr>
              <w:widowControl/>
              <w:spacing w:line="360" w:lineRule="auto"/>
              <w:jc w:val="center"/>
              <w:rPr>
                <w:rFonts w:ascii="宋体" w:hAnsi="宋体"/>
                <w:bCs/>
                <w:sz w:val="22"/>
              </w:rPr>
            </w:pPr>
            <w:r>
              <w:rPr>
                <w:rFonts w:hint="eastAsia" w:ascii="宋体" w:hAnsi="宋体"/>
                <w:bCs/>
                <w:sz w:val="22"/>
              </w:rPr>
              <w:t>辊体卖方制，轴承</w:t>
            </w:r>
            <w:r>
              <w:rPr>
                <w:rFonts w:ascii="宋体" w:hAnsi="宋体"/>
                <w:bCs/>
                <w:sz w:val="22"/>
              </w:rPr>
              <w:t>SKF</w:t>
            </w:r>
            <w:r>
              <w:rPr>
                <w:rFonts w:hint="eastAsia" w:ascii="宋体" w:hAnsi="宋体"/>
                <w:bCs/>
                <w:sz w:val="22"/>
              </w:rPr>
              <w:t>、</w:t>
            </w:r>
            <w:r>
              <w:rPr>
                <w:rFonts w:ascii="宋体" w:hAnsi="宋体"/>
                <w:bCs/>
                <w:sz w:val="22"/>
              </w:rPr>
              <w:t>FAG</w:t>
            </w:r>
          </w:p>
        </w:tc>
        <w:tc>
          <w:tcPr>
            <w:tcW w:w="698" w:type="dxa"/>
            <w:vAlign w:val="center"/>
          </w:tcPr>
          <w:p w14:paraId="56B63783">
            <w:pPr>
              <w:widowControl/>
              <w:spacing w:line="360" w:lineRule="auto"/>
              <w:jc w:val="center"/>
              <w:rPr>
                <w:rFonts w:ascii="宋体" w:hAnsi="宋体" w:cs="宋体"/>
                <w:sz w:val="22"/>
              </w:rPr>
            </w:pPr>
            <w:r>
              <w:rPr>
                <w:rFonts w:ascii="宋体" w:hAnsi="宋体" w:cs="宋体"/>
                <w:sz w:val="22"/>
              </w:rPr>
              <w:t>1</w:t>
            </w:r>
          </w:p>
        </w:tc>
      </w:tr>
      <w:tr w14:paraId="54BE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586" w:type="dxa"/>
            <w:vAlign w:val="center"/>
          </w:tcPr>
          <w:p w14:paraId="5AC137F5">
            <w:pPr>
              <w:widowControl/>
              <w:spacing w:line="360" w:lineRule="auto"/>
              <w:jc w:val="center"/>
              <w:rPr>
                <w:rFonts w:ascii="宋体" w:hAnsi="宋体" w:cs="宋体"/>
                <w:sz w:val="22"/>
              </w:rPr>
            </w:pPr>
            <w:r>
              <w:rPr>
                <w:rFonts w:hint="eastAsia" w:ascii="宋体" w:hAnsi="宋体" w:cs="宋体"/>
                <w:sz w:val="22"/>
              </w:rPr>
              <w:t>布浆装置</w:t>
            </w:r>
          </w:p>
        </w:tc>
        <w:tc>
          <w:tcPr>
            <w:tcW w:w="3375" w:type="dxa"/>
            <w:vAlign w:val="center"/>
          </w:tcPr>
          <w:p w14:paraId="00992ACA">
            <w:pPr>
              <w:widowControl/>
              <w:spacing w:line="360" w:lineRule="auto"/>
              <w:jc w:val="center"/>
              <w:rPr>
                <w:rFonts w:ascii="宋体" w:hAnsi="宋体" w:cs="宋体"/>
                <w:sz w:val="22"/>
              </w:rPr>
            </w:pPr>
            <w:r>
              <w:rPr>
                <w:rFonts w:hint="eastAsia" w:ascii="宋体" w:hAnsi="宋体" w:cs="宋体"/>
                <w:sz w:val="22"/>
              </w:rPr>
              <w:t>与物料接触部分材质SS</w:t>
            </w:r>
            <w:r>
              <w:rPr>
                <w:rFonts w:ascii="宋体" w:hAnsi="宋体" w:cs="宋体"/>
                <w:sz w:val="22"/>
              </w:rPr>
              <w:t>304</w:t>
            </w:r>
            <w:r>
              <w:rPr>
                <w:rFonts w:hint="eastAsia" w:ascii="宋体" w:hAnsi="宋体" w:cs="宋体"/>
                <w:sz w:val="22"/>
              </w:rPr>
              <w:t>；</w:t>
            </w:r>
          </w:p>
        </w:tc>
        <w:tc>
          <w:tcPr>
            <w:tcW w:w="3624" w:type="dxa"/>
            <w:vAlign w:val="center"/>
          </w:tcPr>
          <w:p w14:paraId="0C96ECA1">
            <w:pPr>
              <w:widowControl/>
              <w:spacing w:line="360" w:lineRule="auto"/>
              <w:jc w:val="center"/>
              <w:rPr>
                <w:rFonts w:ascii="宋体" w:hAnsi="宋体"/>
                <w:bCs/>
                <w:sz w:val="22"/>
              </w:rPr>
            </w:pPr>
            <w:r>
              <w:rPr>
                <w:rFonts w:hint="eastAsia" w:ascii="宋体" w:hAnsi="宋体"/>
                <w:bCs/>
                <w:sz w:val="22"/>
              </w:rPr>
              <w:t>卖方制，轴承</w:t>
            </w:r>
            <w:r>
              <w:rPr>
                <w:rFonts w:ascii="宋体" w:hAnsi="宋体"/>
                <w:bCs/>
                <w:sz w:val="22"/>
              </w:rPr>
              <w:t>SKF</w:t>
            </w:r>
            <w:r>
              <w:rPr>
                <w:rFonts w:hint="eastAsia" w:ascii="宋体" w:hAnsi="宋体"/>
                <w:bCs/>
                <w:sz w:val="22"/>
              </w:rPr>
              <w:t>、</w:t>
            </w:r>
            <w:r>
              <w:rPr>
                <w:rFonts w:ascii="宋体" w:hAnsi="宋体"/>
                <w:bCs/>
                <w:sz w:val="22"/>
              </w:rPr>
              <w:t>FAG</w:t>
            </w:r>
            <w:r>
              <w:rPr>
                <w:rFonts w:hint="eastAsia" w:ascii="宋体" w:hAnsi="宋体"/>
                <w:bCs/>
                <w:sz w:val="22"/>
              </w:rPr>
              <w:t>、布浆螺旋电机</w:t>
            </w:r>
            <w:r>
              <w:rPr>
                <w:rFonts w:ascii="宋体" w:hAnsi="宋体"/>
                <w:bCs/>
                <w:sz w:val="22"/>
              </w:rPr>
              <w:t>ABB/SEW</w:t>
            </w:r>
            <w:r>
              <w:rPr>
                <w:rFonts w:hint="eastAsia" w:ascii="宋体" w:hAnsi="宋体"/>
                <w:bCs/>
                <w:sz w:val="22"/>
              </w:rPr>
              <w:t>/住友，电机防护等级IP55，电机能效等级IE</w:t>
            </w:r>
            <w:r>
              <w:rPr>
                <w:rFonts w:ascii="宋体" w:hAnsi="宋体"/>
                <w:bCs/>
                <w:sz w:val="22"/>
              </w:rPr>
              <w:t>4</w:t>
            </w:r>
          </w:p>
        </w:tc>
        <w:tc>
          <w:tcPr>
            <w:tcW w:w="698" w:type="dxa"/>
            <w:vAlign w:val="center"/>
          </w:tcPr>
          <w:p w14:paraId="5468D906">
            <w:pPr>
              <w:widowControl/>
              <w:spacing w:line="360" w:lineRule="auto"/>
              <w:jc w:val="center"/>
              <w:rPr>
                <w:rFonts w:ascii="宋体" w:hAnsi="宋体" w:cs="宋体"/>
                <w:sz w:val="22"/>
              </w:rPr>
            </w:pPr>
            <w:r>
              <w:rPr>
                <w:rFonts w:ascii="宋体" w:hAnsi="宋体" w:cs="宋体"/>
                <w:sz w:val="22"/>
              </w:rPr>
              <w:t>2</w:t>
            </w:r>
          </w:p>
        </w:tc>
      </w:tr>
      <w:tr w14:paraId="3455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586" w:type="dxa"/>
            <w:vAlign w:val="center"/>
          </w:tcPr>
          <w:p w14:paraId="35623347">
            <w:pPr>
              <w:widowControl/>
              <w:spacing w:line="360" w:lineRule="auto"/>
              <w:jc w:val="center"/>
              <w:rPr>
                <w:rFonts w:ascii="宋体" w:hAnsi="宋体" w:cs="宋体"/>
                <w:sz w:val="22"/>
              </w:rPr>
            </w:pPr>
            <w:r>
              <w:rPr>
                <w:rFonts w:hint="eastAsia" w:ascii="宋体" w:hAnsi="宋体" w:cs="宋体"/>
                <w:sz w:val="22"/>
              </w:rPr>
              <w:t>破碎螺旋</w:t>
            </w:r>
          </w:p>
        </w:tc>
        <w:tc>
          <w:tcPr>
            <w:tcW w:w="3375" w:type="dxa"/>
            <w:vAlign w:val="center"/>
          </w:tcPr>
          <w:p w14:paraId="7FE6E058">
            <w:pPr>
              <w:widowControl/>
              <w:spacing w:line="360" w:lineRule="auto"/>
              <w:jc w:val="center"/>
              <w:rPr>
                <w:rFonts w:ascii="宋体" w:hAnsi="宋体" w:cs="宋体"/>
                <w:sz w:val="22"/>
              </w:rPr>
            </w:pPr>
            <w:r>
              <w:rPr>
                <w:rFonts w:hint="eastAsia" w:ascii="宋体" w:hAnsi="宋体" w:cs="宋体"/>
                <w:sz w:val="22"/>
              </w:rPr>
              <w:t>与物料接触部分材质SS</w:t>
            </w:r>
            <w:r>
              <w:rPr>
                <w:rFonts w:ascii="宋体" w:hAnsi="宋体" w:cs="宋体"/>
                <w:sz w:val="22"/>
              </w:rPr>
              <w:t>304</w:t>
            </w:r>
            <w:r>
              <w:rPr>
                <w:rFonts w:hint="eastAsia" w:ascii="宋体" w:hAnsi="宋体" w:cs="宋体"/>
                <w:sz w:val="22"/>
              </w:rPr>
              <w:t>；</w:t>
            </w:r>
          </w:p>
        </w:tc>
        <w:tc>
          <w:tcPr>
            <w:tcW w:w="3624" w:type="dxa"/>
            <w:vAlign w:val="center"/>
          </w:tcPr>
          <w:p w14:paraId="77F25F72">
            <w:pPr>
              <w:widowControl/>
              <w:spacing w:line="360" w:lineRule="auto"/>
              <w:jc w:val="center"/>
              <w:rPr>
                <w:rFonts w:ascii="宋体" w:hAnsi="宋体"/>
                <w:bCs/>
                <w:sz w:val="22"/>
              </w:rPr>
            </w:pPr>
            <w:r>
              <w:rPr>
                <w:rFonts w:hint="eastAsia" w:ascii="宋体" w:hAnsi="宋体"/>
                <w:bCs/>
                <w:sz w:val="22"/>
              </w:rPr>
              <w:t>卖方制，轴承</w:t>
            </w:r>
            <w:r>
              <w:rPr>
                <w:rFonts w:ascii="宋体" w:hAnsi="宋体"/>
                <w:bCs/>
                <w:sz w:val="22"/>
              </w:rPr>
              <w:t>SKF</w:t>
            </w:r>
            <w:r>
              <w:rPr>
                <w:rFonts w:hint="eastAsia" w:ascii="宋体" w:hAnsi="宋体"/>
                <w:bCs/>
                <w:sz w:val="22"/>
              </w:rPr>
              <w:t>、</w:t>
            </w:r>
            <w:r>
              <w:rPr>
                <w:rFonts w:ascii="宋体" w:hAnsi="宋体"/>
                <w:bCs/>
                <w:sz w:val="22"/>
              </w:rPr>
              <w:t>FAG</w:t>
            </w:r>
            <w:r>
              <w:rPr>
                <w:rFonts w:hint="eastAsia" w:ascii="宋体" w:hAnsi="宋体"/>
                <w:bCs/>
                <w:sz w:val="22"/>
              </w:rPr>
              <w:t>、出料螺旋电机</w:t>
            </w:r>
            <w:r>
              <w:rPr>
                <w:rFonts w:ascii="宋体" w:hAnsi="宋体"/>
                <w:bCs/>
                <w:sz w:val="22"/>
              </w:rPr>
              <w:t>ABB/SEW</w:t>
            </w:r>
            <w:r>
              <w:rPr>
                <w:rFonts w:hint="eastAsia" w:ascii="宋体" w:hAnsi="宋体"/>
                <w:bCs/>
                <w:sz w:val="22"/>
              </w:rPr>
              <w:t>/住友，电机防护等级IP55，电机能效等级IE</w:t>
            </w:r>
            <w:r>
              <w:rPr>
                <w:rFonts w:ascii="宋体" w:hAnsi="宋体"/>
                <w:bCs/>
                <w:sz w:val="22"/>
              </w:rPr>
              <w:t>4</w:t>
            </w:r>
          </w:p>
        </w:tc>
        <w:tc>
          <w:tcPr>
            <w:tcW w:w="698" w:type="dxa"/>
            <w:vAlign w:val="center"/>
          </w:tcPr>
          <w:p w14:paraId="7D55FFDD">
            <w:pPr>
              <w:widowControl/>
              <w:spacing w:line="360" w:lineRule="auto"/>
              <w:jc w:val="center"/>
              <w:rPr>
                <w:rFonts w:ascii="宋体" w:hAnsi="宋体" w:cs="宋体"/>
                <w:sz w:val="22"/>
              </w:rPr>
            </w:pPr>
            <w:r>
              <w:rPr>
                <w:rFonts w:ascii="宋体" w:hAnsi="宋体" w:cs="宋体"/>
                <w:sz w:val="22"/>
              </w:rPr>
              <w:t>1</w:t>
            </w:r>
          </w:p>
        </w:tc>
      </w:tr>
      <w:tr w14:paraId="3A4F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586" w:type="dxa"/>
            <w:vAlign w:val="center"/>
          </w:tcPr>
          <w:p w14:paraId="4D390418">
            <w:pPr>
              <w:widowControl/>
              <w:spacing w:line="360" w:lineRule="auto"/>
              <w:jc w:val="center"/>
              <w:rPr>
                <w:rFonts w:ascii="宋体" w:hAnsi="宋体" w:cs="宋体"/>
                <w:sz w:val="22"/>
              </w:rPr>
            </w:pPr>
            <w:r>
              <w:rPr>
                <w:rFonts w:hint="eastAsia" w:ascii="宋体" w:hAnsi="宋体" w:cs="宋体"/>
                <w:sz w:val="22"/>
              </w:rPr>
              <w:t>喷淋管</w:t>
            </w:r>
          </w:p>
        </w:tc>
        <w:tc>
          <w:tcPr>
            <w:tcW w:w="3375" w:type="dxa"/>
            <w:vAlign w:val="center"/>
          </w:tcPr>
          <w:p w14:paraId="28DE16B5">
            <w:pPr>
              <w:widowControl/>
              <w:spacing w:line="360" w:lineRule="auto"/>
              <w:jc w:val="center"/>
              <w:rPr>
                <w:rFonts w:ascii="宋体" w:hAnsi="宋体" w:cs="宋体"/>
                <w:sz w:val="22"/>
              </w:rPr>
            </w:pPr>
            <w:r>
              <w:rPr>
                <w:rFonts w:hint="eastAsia" w:ascii="宋体" w:hAnsi="宋体" w:cs="宋体"/>
                <w:sz w:val="22"/>
              </w:rPr>
              <w:t>与物料接触部分材质SS</w:t>
            </w:r>
            <w:r>
              <w:rPr>
                <w:rFonts w:ascii="宋体" w:hAnsi="宋体" w:cs="宋体"/>
                <w:sz w:val="22"/>
              </w:rPr>
              <w:t>304</w:t>
            </w:r>
            <w:r>
              <w:rPr>
                <w:rFonts w:hint="eastAsia" w:ascii="宋体" w:hAnsi="宋体" w:cs="宋体"/>
                <w:sz w:val="22"/>
              </w:rPr>
              <w:t>；</w:t>
            </w:r>
          </w:p>
        </w:tc>
        <w:tc>
          <w:tcPr>
            <w:tcW w:w="3624" w:type="dxa"/>
            <w:vAlign w:val="center"/>
          </w:tcPr>
          <w:p w14:paraId="352894B0">
            <w:pPr>
              <w:widowControl/>
              <w:spacing w:line="360" w:lineRule="auto"/>
              <w:jc w:val="center"/>
              <w:rPr>
                <w:rFonts w:ascii="宋体" w:hAnsi="宋体"/>
                <w:bCs/>
                <w:sz w:val="22"/>
              </w:rPr>
            </w:pPr>
            <w:r>
              <w:rPr>
                <w:rFonts w:hint="eastAsia" w:ascii="宋体" w:hAnsi="宋体"/>
                <w:bCs/>
                <w:sz w:val="22"/>
              </w:rPr>
              <w:t>卖方制</w:t>
            </w:r>
          </w:p>
        </w:tc>
        <w:tc>
          <w:tcPr>
            <w:tcW w:w="698" w:type="dxa"/>
            <w:vAlign w:val="center"/>
          </w:tcPr>
          <w:p w14:paraId="7E9D5F07">
            <w:pPr>
              <w:widowControl/>
              <w:spacing w:line="360" w:lineRule="auto"/>
              <w:jc w:val="center"/>
              <w:rPr>
                <w:rFonts w:ascii="宋体" w:hAnsi="宋体" w:cs="宋体"/>
                <w:sz w:val="22"/>
              </w:rPr>
            </w:pPr>
            <w:r>
              <w:rPr>
                <w:rFonts w:ascii="宋体" w:hAnsi="宋体" w:cs="宋体"/>
                <w:sz w:val="22"/>
              </w:rPr>
              <w:t>2</w:t>
            </w:r>
          </w:p>
        </w:tc>
      </w:tr>
      <w:tr w14:paraId="3655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3" w:hRule="atLeast"/>
          <w:jc w:val="center"/>
        </w:trPr>
        <w:tc>
          <w:tcPr>
            <w:tcW w:w="1586" w:type="dxa"/>
            <w:vAlign w:val="center"/>
          </w:tcPr>
          <w:p w14:paraId="2F151F48">
            <w:pPr>
              <w:widowControl/>
              <w:spacing w:line="360" w:lineRule="auto"/>
              <w:jc w:val="center"/>
              <w:rPr>
                <w:rFonts w:ascii="宋体" w:hAnsi="宋体" w:cs="宋体"/>
                <w:sz w:val="22"/>
              </w:rPr>
            </w:pPr>
            <w:r>
              <w:rPr>
                <w:rFonts w:hint="eastAsia" w:ascii="宋体" w:hAnsi="宋体" w:cs="宋体"/>
                <w:sz w:val="22"/>
              </w:rPr>
              <w:t>辅助液压</w:t>
            </w:r>
          </w:p>
          <w:p w14:paraId="3A172854">
            <w:pPr>
              <w:widowControl/>
              <w:spacing w:line="360" w:lineRule="auto"/>
              <w:jc w:val="center"/>
              <w:rPr>
                <w:rFonts w:ascii="宋体" w:hAnsi="宋体" w:cs="宋体"/>
                <w:sz w:val="22"/>
              </w:rPr>
            </w:pPr>
            <w:r>
              <w:rPr>
                <w:rFonts w:hint="eastAsia" w:ascii="宋体" w:hAnsi="宋体" w:cs="宋体"/>
                <w:sz w:val="22"/>
              </w:rPr>
              <w:t>系统</w:t>
            </w:r>
          </w:p>
        </w:tc>
        <w:tc>
          <w:tcPr>
            <w:tcW w:w="3375" w:type="dxa"/>
            <w:vAlign w:val="center"/>
          </w:tcPr>
          <w:p w14:paraId="057CADB8">
            <w:pPr>
              <w:widowControl/>
              <w:spacing w:line="360" w:lineRule="auto"/>
              <w:jc w:val="center"/>
              <w:rPr>
                <w:rFonts w:ascii="宋体" w:hAnsi="宋体" w:cs="宋体"/>
                <w:sz w:val="22"/>
              </w:rPr>
            </w:pPr>
            <w:r>
              <w:rPr>
                <w:rFonts w:hint="eastAsia" w:ascii="宋体" w:hAnsi="宋体" w:cs="宋体"/>
                <w:sz w:val="22"/>
              </w:rPr>
              <w:t>含伺服油缸、泵站、管路</w:t>
            </w:r>
          </w:p>
        </w:tc>
        <w:tc>
          <w:tcPr>
            <w:tcW w:w="3624" w:type="dxa"/>
            <w:vAlign w:val="center"/>
          </w:tcPr>
          <w:p w14:paraId="15C34D09">
            <w:pPr>
              <w:widowControl/>
              <w:spacing w:line="360" w:lineRule="auto"/>
              <w:jc w:val="center"/>
              <w:rPr>
                <w:rFonts w:ascii="宋体" w:hAnsi="宋体"/>
                <w:bCs/>
                <w:sz w:val="22"/>
              </w:rPr>
            </w:pPr>
            <w:r>
              <w:rPr>
                <w:rFonts w:hint="eastAsia" w:ascii="宋体" w:hAnsi="宋体"/>
                <w:bCs/>
                <w:sz w:val="22"/>
              </w:rPr>
              <w:t>辅助液压系统选用青岛力沃、广州宝力特、济南拓普，液压泵等关键设备选用力士乐进口产品</w:t>
            </w:r>
            <w:r>
              <w:rPr>
                <w:rFonts w:ascii="宋体" w:hAnsi="宋体"/>
                <w:bCs/>
                <w:sz w:val="22"/>
              </w:rPr>
              <w:t>，辅助液压系统壳体</w:t>
            </w:r>
            <w:r>
              <w:rPr>
                <w:rFonts w:hint="eastAsia" w:ascii="宋体" w:hAnsi="宋体"/>
                <w:bCs/>
                <w:sz w:val="22"/>
              </w:rPr>
              <w:t>304</w:t>
            </w:r>
            <w:r>
              <w:rPr>
                <w:rFonts w:ascii="宋体" w:hAnsi="宋体"/>
                <w:bCs/>
                <w:sz w:val="22"/>
              </w:rPr>
              <w:t>不锈钢材质</w:t>
            </w:r>
            <w:r>
              <w:rPr>
                <w:rFonts w:hint="eastAsia" w:ascii="宋体" w:hAnsi="宋体"/>
                <w:bCs/>
                <w:sz w:val="22"/>
              </w:rPr>
              <w:t>，液压管线（硬管部分）不锈钢304材质，油冷却器是管式、不锈钢304，油泵电机防护等级IP55，电机能效等级IE</w:t>
            </w:r>
            <w:r>
              <w:rPr>
                <w:rFonts w:ascii="宋体" w:hAnsi="宋体"/>
                <w:bCs/>
                <w:sz w:val="22"/>
              </w:rPr>
              <w:t>4</w:t>
            </w:r>
          </w:p>
        </w:tc>
        <w:tc>
          <w:tcPr>
            <w:tcW w:w="698" w:type="dxa"/>
            <w:vAlign w:val="center"/>
          </w:tcPr>
          <w:p w14:paraId="127BA7CF">
            <w:pPr>
              <w:widowControl/>
              <w:spacing w:line="360" w:lineRule="auto"/>
              <w:jc w:val="center"/>
              <w:rPr>
                <w:rFonts w:ascii="宋体" w:hAnsi="宋体" w:cs="宋体"/>
                <w:sz w:val="22"/>
              </w:rPr>
            </w:pPr>
            <w:r>
              <w:rPr>
                <w:rFonts w:ascii="宋体" w:hAnsi="宋体" w:cs="宋体"/>
                <w:sz w:val="22"/>
              </w:rPr>
              <w:t>1</w:t>
            </w:r>
            <w:r>
              <w:rPr>
                <w:rFonts w:hint="eastAsia" w:ascii="宋体" w:hAnsi="宋体" w:cs="宋体"/>
                <w:sz w:val="22"/>
              </w:rPr>
              <w:t>套</w:t>
            </w:r>
          </w:p>
        </w:tc>
      </w:tr>
      <w:tr w14:paraId="4A1C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586" w:type="dxa"/>
            <w:vAlign w:val="center"/>
          </w:tcPr>
          <w:p w14:paraId="19522ACA">
            <w:pPr>
              <w:widowControl/>
              <w:spacing w:line="360" w:lineRule="auto"/>
              <w:jc w:val="center"/>
              <w:rPr>
                <w:rFonts w:ascii="宋体" w:hAnsi="宋体" w:cs="宋体"/>
                <w:sz w:val="22"/>
              </w:rPr>
            </w:pPr>
            <w:r>
              <w:rPr>
                <w:rFonts w:hint="eastAsia" w:ascii="宋体" w:hAnsi="宋体" w:cs="宋体"/>
                <w:sz w:val="22"/>
              </w:rPr>
              <w:t>中底升降装置</w:t>
            </w:r>
          </w:p>
        </w:tc>
        <w:tc>
          <w:tcPr>
            <w:tcW w:w="3375" w:type="dxa"/>
            <w:vAlign w:val="center"/>
          </w:tcPr>
          <w:p w14:paraId="5BEC3531">
            <w:pPr>
              <w:widowControl/>
              <w:spacing w:line="360" w:lineRule="auto"/>
              <w:jc w:val="center"/>
              <w:rPr>
                <w:rFonts w:ascii="宋体" w:hAnsi="宋体" w:cs="宋体"/>
                <w:sz w:val="22"/>
              </w:rPr>
            </w:pPr>
            <w:r>
              <w:rPr>
                <w:rFonts w:hint="eastAsia" w:ascii="宋体" w:hAnsi="宋体" w:cs="宋体"/>
                <w:sz w:val="22"/>
              </w:rPr>
              <w:t>定制升降机、电机</w:t>
            </w:r>
          </w:p>
        </w:tc>
        <w:tc>
          <w:tcPr>
            <w:tcW w:w="3624" w:type="dxa"/>
            <w:vAlign w:val="center"/>
          </w:tcPr>
          <w:p w14:paraId="6B3E3B25">
            <w:pPr>
              <w:widowControl/>
              <w:spacing w:line="360" w:lineRule="auto"/>
              <w:jc w:val="center"/>
              <w:rPr>
                <w:rFonts w:ascii="宋体" w:hAnsi="宋体"/>
                <w:bCs/>
                <w:sz w:val="22"/>
              </w:rPr>
            </w:pPr>
            <w:r>
              <w:rPr>
                <w:rFonts w:hint="eastAsia" w:ascii="宋体" w:hAnsi="宋体"/>
                <w:bCs/>
                <w:sz w:val="22"/>
              </w:rPr>
              <w:t>卖方制</w:t>
            </w:r>
          </w:p>
        </w:tc>
        <w:tc>
          <w:tcPr>
            <w:tcW w:w="698" w:type="dxa"/>
            <w:vAlign w:val="center"/>
          </w:tcPr>
          <w:p w14:paraId="0D6AF520">
            <w:pPr>
              <w:widowControl/>
              <w:spacing w:line="360" w:lineRule="auto"/>
              <w:jc w:val="center"/>
              <w:rPr>
                <w:rFonts w:ascii="宋体" w:hAnsi="宋体" w:cs="宋体"/>
                <w:sz w:val="22"/>
              </w:rPr>
            </w:pPr>
            <w:r>
              <w:rPr>
                <w:rFonts w:ascii="宋体" w:hAnsi="宋体" w:cs="宋体"/>
                <w:sz w:val="22"/>
              </w:rPr>
              <w:t>1</w:t>
            </w:r>
          </w:p>
        </w:tc>
      </w:tr>
      <w:tr w14:paraId="3F08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586" w:type="dxa"/>
            <w:vAlign w:val="center"/>
          </w:tcPr>
          <w:p w14:paraId="1DDEEDEC">
            <w:pPr>
              <w:widowControl/>
              <w:spacing w:line="360" w:lineRule="auto"/>
              <w:jc w:val="center"/>
              <w:rPr>
                <w:rFonts w:ascii="宋体" w:hAnsi="宋体" w:cs="宋体"/>
                <w:sz w:val="22"/>
              </w:rPr>
            </w:pPr>
            <w:r>
              <w:rPr>
                <w:rFonts w:hint="eastAsia" w:ascii="宋体" w:hAnsi="宋体" w:cs="宋体"/>
                <w:sz w:val="22"/>
              </w:rPr>
              <w:t>侧翼驱动装置</w:t>
            </w:r>
          </w:p>
        </w:tc>
        <w:tc>
          <w:tcPr>
            <w:tcW w:w="3375" w:type="dxa"/>
            <w:vAlign w:val="center"/>
          </w:tcPr>
          <w:p w14:paraId="4CE99697">
            <w:pPr>
              <w:widowControl/>
              <w:spacing w:line="360" w:lineRule="auto"/>
              <w:jc w:val="center"/>
              <w:rPr>
                <w:rFonts w:ascii="宋体" w:hAnsi="宋体" w:cs="宋体"/>
                <w:sz w:val="22"/>
              </w:rPr>
            </w:pPr>
            <w:r>
              <w:rPr>
                <w:rFonts w:hint="eastAsia" w:ascii="宋体" w:hAnsi="宋体" w:cs="宋体"/>
                <w:sz w:val="22"/>
              </w:rPr>
              <w:t>定制推杆、电机</w:t>
            </w:r>
          </w:p>
        </w:tc>
        <w:tc>
          <w:tcPr>
            <w:tcW w:w="3624" w:type="dxa"/>
            <w:vAlign w:val="center"/>
          </w:tcPr>
          <w:p w14:paraId="7F0DE392">
            <w:pPr>
              <w:widowControl/>
              <w:spacing w:line="360" w:lineRule="auto"/>
              <w:jc w:val="center"/>
              <w:rPr>
                <w:rFonts w:ascii="宋体" w:hAnsi="宋体"/>
                <w:bCs/>
                <w:sz w:val="22"/>
              </w:rPr>
            </w:pPr>
            <w:r>
              <w:rPr>
                <w:rFonts w:hint="eastAsia" w:ascii="宋体" w:hAnsi="宋体"/>
                <w:bCs/>
                <w:sz w:val="22"/>
              </w:rPr>
              <w:t>卖方制</w:t>
            </w:r>
          </w:p>
        </w:tc>
        <w:tc>
          <w:tcPr>
            <w:tcW w:w="698" w:type="dxa"/>
            <w:vAlign w:val="center"/>
          </w:tcPr>
          <w:p w14:paraId="321D52D0">
            <w:pPr>
              <w:widowControl/>
              <w:spacing w:line="360" w:lineRule="auto"/>
              <w:jc w:val="center"/>
              <w:rPr>
                <w:rFonts w:ascii="宋体" w:hAnsi="宋体" w:cs="宋体"/>
                <w:sz w:val="22"/>
              </w:rPr>
            </w:pPr>
            <w:r>
              <w:rPr>
                <w:rFonts w:hint="eastAsia" w:ascii="宋体" w:hAnsi="宋体" w:cs="宋体"/>
                <w:sz w:val="22"/>
              </w:rPr>
              <w:t>2</w:t>
            </w:r>
          </w:p>
        </w:tc>
      </w:tr>
      <w:tr w14:paraId="18A5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586" w:type="dxa"/>
            <w:vAlign w:val="center"/>
          </w:tcPr>
          <w:p w14:paraId="57C0E055">
            <w:pPr>
              <w:widowControl/>
              <w:spacing w:line="360" w:lineRule="auto"/>
              <w:jc w:val="center"/>
              <w:rPr>
                <w:rFonts w:ascii="宋体" w:hAnsi="宋体" w:cs="宋体"/>
                <w:sz w:val="22"/>
              </w:rPr>
            </w:pPr>
            <w:r>
              <w:rPr>
                <w:rFonts w:hint="eastAsia" w:ascii="宋体" w:hAnsi="宋体" w:cs="宋体"/>
                <w:sz w:val="22"/>
              </w:rPr>
              <w:t>主传动系统</w:t>
            </w:r>
          </w:p>
        </w:tc>
        <w:tc>
          <w:tcPr>
            <w:tcW w:w="3375" w:type="dxa"/>
            <w:vAlign w:val="center"/>
          </w:tcPr>
          <w:p w14:paraId="74BA28C8">
            <w:pPr>
              <w:widowControl/>
              <w:spacing w:line="360" w:lineRule="auto"/>
              <w:jc w:val="center"/>
              <w:rPr>
                <w:rFonts w:ascii="宋体" w:hAnsi="宋体" w:cs="宋体"/>
                <w:sz w:val="22"/>
              </w:rPr>
            </w:pPr>
            <w:r>
              <w:rPr>
                <w:rFonts w:hint="eastAsia" w:ascii="宋体" w:hAnsi="宋体" w:cs="宋体"/>
                <w:sz w:val="22"/>
              </w:rPr>
              <w:t>电机减速机传动</w:t>
            </w:r>
          </w:p>
        </w:tc>
        <w:tc>
          <w:tcPr>
            <w:tcW w:w="3624" w:type="dxa"/>
            <w:vAlign w:val="center"/>
          </w:tcPr>
          <w:p w14:paraId="4F6310AD">
            <w:pPr>
              <w:widowControl/>
              <w:spacing w:line="360" w:lineRule="auto"/>
              <w:jc w:val="center"/>
              <w:rPr>
                <w:rFonts w:ascii="宋体" w:hAnsi="宋体"/>
                <w:bCs/>
                <w:sz w:val="22"/>
              </w:rPr>
            </w:pPr>
            <w:r>
              <w:rPr>
                <w:rFonts w:hint="eastAsia" w:ascii="宋体" w:hAnsi="宋体"/>
                <w:bCs/>
                <w:sz w:val="22"/>
              </w:rPr>
              <w:t>减速机SEW、弗兰德、ROSS，电机</w:t>
            </w:r>
            <w:r>
              <w:rPr>
                <w:rFonts w:ascii="宋体" w:hAnsi="宋体"/>
                <w:bCs/>
                <w:sz w:val="22"/>
              </w:rPr>
              <w:t>ABB/SEW</w:t>
            </w:r>
            <w:r>
              <w:rPr>
                <w:rFonts w:hint="eastAsia" w:ascii="宋体" w:hAnsi="宋体"/>
                <w:bCs/>
                <w:sz w:val="22"/>
              </w:rPr>
              <w:t>/住友品牌，电机防护等级IP55，电机能效等级IE</w:t>
            </w:r>
            <w:r>
              <w:rPr>
                <w:rFonts w:ascii="宋体" w:hAnsi="宋体"/>
                <w:bCs/>
                <w:sz w:val="22"/>
              </w:rPr>
              <w:t>4</w:t>
            </w:r>
          </w:p>
        </w:tc>
        <w:tc>
          <w:tcPr>
            <w:tcW w:w="698" w:type="dxa"/>
            <w:vAlign w:val="center"/>
          </w:tcPr>
          <w:p w14:paraId="112A291A">
            <w:pPr>
              <w:widowControl/>
              <w:spacing w:line="360" w:lineRule="auto"/>
              <w:jc w:val="center"/>
              <w:rPr>
                <w:rFonts w:ascii="宋体" w:hAnsi="宋体" w:cs="宋体"/>
                <w:sz w:val="22"/>
              </w:rPr>
            </w:pPr>
            <w:r>
              <w:rPr>
                <w:rFonts w:hint="eastAsia" w:ascii="宋体" w:hAnsi="宋体" w:cs="宋体"/>
                <w:sz w:val="22"/>
              </w:rPr>
              <w:t>2</w:t>
            </w:r>
          </w:p>
        </w:tc>
      </w:tr>
      <w:tr w14:paraId="1078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1586" w:type="dxa"/>
            <w:vAlign w:val="center"/>
          </w:tcPr>
          <w:p w14:paraId="5B12C2C4">
            <w:pPr>
              <w:widowControl/>
              <w:spacing w:line="360" w:lineRule="auto"/>
              <w:jc w:val="center"/>
              <w:rPr>
                <w:rFonts w:ascii="宋体" w:hAnsi="宋体"/>
                <w:bCs/>
                <w:sz w:val="22"/>
              </w:rPr>
            </w:pPr>
            <w:r>
              <w:rPr>
                <w:rFonts w:hint="eastAsia" w:ascii="宋体" w:hAnsi="宋体"/>
                <w:bCs/>
                <w:sz w:val="22"/>
              </w:rPr>
              <w:t>现场按钮箱</w:t>
            </w:r>
          </w:p>
        </w:tc>
        <w:tc>
          <w:tcPr>
            <w:tcW w:w="3375" w:type="dxa"/>
            <w:vAlign w:val="center"/>
          </w:tcPr>
          <w:p w14:paraId="145B3650">
            <w:pPr>
              <w:widowControl/>
              <w:spacing w:line="360" w:lineRule="auto"/>
              <w:jc w:val="center"/>
              <w:rPr>
                <w:rFonts w:ascii="宋体" w:hAnsi="宋体"/>
                <w:bCs/>
                <w:sz w:val="22"/>
              </w:rPr>
            </w:pPr>
            <w:r>
              <w:rPr>
                <w:rFonts w:hint="eastAsia" w:ascii="宋体" w:hAnsi="宋体"/>
                <w:bCs/>
                <w:sz w:val="22"/>
              </w:rPr>
              <w:t>SS304</w:t>
            </w:r>
          </w:p>
        </w:tc>
        <w:tc>
          <w:tcPr>
            <w:tcW w:w="3624" w:type="dxa"/>
            <w:vAlign w:val="center"/>
          </w:tcPr>
          <w:p w14:paraId="2D190CA4">
            <w:pPr>
              <w:widowControl/>
              <w:spacing w:line="360" w:lineRule="auto"/>
              <w:jc w:val="center"/>
              <w:rPr>
                <w:rFonts w:ascii="宋体" w:hAnsi="宋体"/>
                <w:bCs/>
                <w:sz w:val="22"/>
              </w:rPr>
            </w:pPr>
            <w:r>
              <w:rPr>
                <w:rFonts w:hint="eastAsia" w:ascii="宋体" w:hAnsi="宋体"/>
                <w:bCs/>
                <w:sz w:val="22"/>
              </w:rPr>
              <w:t>用于现场开盖操作</w:t>
            </w:r>
          </w:p>
        </w:tc>
        <w:tc>
          <w:tcPr>
            <w:tcW w:w="698" w:type="dxa"/>
            <w:vAlign w:val="center"/>
          </w:tcPr>
          <w:p w14:paraId="4B6596A4">
            <w:pPr>
              <w:widowControl/>
              <w:spacing w:line="360" w:lineRule="auto"/>
              <w:jc w:val="center"/>
              <w:rPr>
                <w:rFonts w:ascii="宋体" w:hAnsi="宋体"/>
                <w:bCs/>
                <w:sz w:val="22"/>
              </w:rPr>
            </w:pPr>
            <w:r>
              <w:rPr>
                <w:rFonts w:ascii="宋体" w:hAnsi="宋体"/>
                <w:bCs/>
                <w:sz w:val="22"/>
              </w:rPr>
              <w:t>1</w:t>
            </w:r>
            <w:r>
              <w:rPr>
                <w:rFonts w:hint="eastAsia" w:ascii="宋体" w:hAnsi="宋体"/>
                <w:bCs/>
                <w:sz w:val="22"/>
              </w:rPr>
              <w:t>件</w:t>
            </w:r>
          </w:p>
        </w:tc>
      </w:tr>
      <w:tr w14:paraId="265DE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1586" w:type="dxa"/>
            <w:vAlign w:val="center"/>
          </w:tcPr>
          <w:p w14:paraId="233223F8">
            <w:pPr>
              <w:widowControl/>
              <w:spacing w:line="360" w:lineRule="auto"/>
              <w:jc w:val="center"/>
              <w:rPr>
                <w:rFonts w:ascii="宋体" w:hAnsi="宋体" w:cs="宋体"/>
                <w:sz w:val="22"/>
              </w:rPr>
            </w:pPr>
            <w:r>
              <w:rPr>
                <w:rFonts w:hint="eastAsia" w:ascii="宋体" w:hAnsi="宋体" w:cs="宋体"/>
                <w:sz w:val="22"/>
              </w:rPr>
              <w:t>设备本体仪表</w:t>
            </w:r>
          </w:p>
        </w:tc>
        <w:tc>
          <w:tcPr>
            <w:tcW w:w="3375" w:type="dxa"/>
            <w:vAlign w:val="center"/>
          </w:tcPr>
          <w:p w14:paraId="58A11DC4">
            <w:pPr>
              <w:widowControl/>
              <w:spacing w:line="360" w:lineRule="auto"/>
              <w:jc w:val="center"/>
              <w:rPr>
                <w:rFonts w:ascii="宋体" w:hAnsi="宋体" w:cs="宋体"/>
                <w:sz w:val="22"/>
              </w:rPr>
            </w:pPr>
            <w:r>
              <w:rPr>
                <w:rFonts w:hint="eastAsia" w:ascii="宋体" w:hAnsi="宋体" w:cs="宋体"/>
                <w:sz w:val="22"/>
              </w:rPr>
              <w:t>压力传感器、限位开关、接近开关</w:t>
            </w:r>
          </w:p>
        </w:tc>
        <w:tc>
          <w:tcPr>
            <w:tcW w:w="3624" w:type="dxa"/>
            <w:vAlign w:val="center"/>
          </w:tcPr>
          <w:p w14:paraId="6CC7FF52">
            <w:pPr>
              <w:widowControl/>
              <w:spacing w:line="360" w:lineRule="auto"/>
              <w:jc w:val="center"/>
              <w:rPr>
                <w:rFonts w:ascii="宋体" w:hAnsi="宋体"/>
                <w:bCs/>
                <w:sz w:val="22"/>
              </w:rPr>
            </w:pPr>
            <w:r>
              <w:rPr>
                <w:rFonts w:hint="eastAsia" w:ascii="宋体" w:hAnsi="宋体"/>
                <w:bCs/>
                <w:sz w:val="22"/>
              </w:rPr>
              <w:t>罗斯蒙特、横河（进口）、施耐德、IMF</w:t>
            </w:r>
          </w:p>
        </w:tc>
        <w:tc>
          <w:tcPr>
            <w:tcW w:w="698" w:type="dxa"/>
            <w:vAlign w:val="center"/>
          </w:tcPr>
          <w:p w14:paraId="08ABC018">
            <w:pPr>
              <w:widowControl/>
              <w:spacing w:line="360" w:lineRule="auto"/>
              <w:jc w:val="center"/>
              <w:rPr>
                <w:rFonts w:ascii="宋体" w:hAnsi="宋体" w:cs="宋体"/>
                <w:sz w:val="22"/>
              </w:rPr>
            </w:pPr>
            <w:r>
              <w:rPr>
                <w:rFonts w:ascii="宋体" w:hAnsi="宋体" w:cs="宋体"/>
                <w:sz w:val="22"/>
              </w:rPr>
              <w:t>1</w:t>
            </w:r>
            <w:r>
              <w:rPr>
                <w:rFonts w:hint="eastAsia" w:ascii="宋体" w:hAnsi="宋体" w:cs="宋体"/>
                <w:sz w:val="22"/>
              </w:rPr>
              <w:t>套</w:t>
            </w:r>
          </w:p>
        </w:tc>
      </w:tr>
    </w:tbl>
    <w:p w14:paraId="12361265">
      <w:pPr>
        <w:pStyle w:val="17"/>
        <w:ind w:left="560"/>
      </w:pPr>
    </w:p>
    <w:p w14:paraId="7E724098">
      <w:pPr>
        <w:pStyle w:val="23"/>
        <w:ind w:firstLine="720"/>
        <w:jc w:val="both"/>
        <w:rPr>
          <w:rFonts w:hint="default"/>
        </w:rPr>
      </w:pPr>
      <w:r>
        <w:rPr>
          <w:lang w:val="en-US"/>
        </w:rPr>
        <w:t>9</w:t>
      </w:r>
      <w:r>
        <w:t>.2.8搅拌器类</w:t>
      </w:r>
      <w:r>
        <w:rPr>
          <w:lang w:val="en-US"/>
        </w:rPr>
        <w:t>设备技术特点及</w:t>
      </w:r>
      <w:r>
        <w:t>要求</w:t>
      </w:r>
    </w:p>
    <w:p w14:paraId="3747AE1A">
      <w:pPr>
        <w:pStyle w:val="32"/>
        <w:ind w:left="958" w:firstLine="480" w:firstLineChars="200"/>
        <w:jc w:val="both"/>
        <w:rPr>
          <w:rFonts w:hint="default"/>
        </w:rPr>
      </w:pPr>
      <w:r>
        <w:t>搅拌器材料、材质须满足工艺、生产安全及耐腐蚀要求，过流部件材料由厂家根据工艺介质要求进行选配。投标时提供主要部件材料、材质明细表。搅拌器的电机采用背负式设计。搅拌器的两个传动轴承设计在槽罐外部，即可以在不把槽子或池子放空的情况下拆除轴承的搅拌器形式。</w:t>
      </w:r>
    </w:p>
    <w:p w14:paraId="3D1ED56A">
      <w:pPr>
        <w:pStyle w:val="32"/>
        <w:ind w:left="2127" w:hanging="689" w:firstLineChars="0"/>
        <w:jc w:val="both"/>
        <w:rPr>
          <w:rFonts w:hint="default"/>
        </w:rPr>
      </w:pPr>
      <w:r>
        <w:t>材质：叶轮和轮毂为双相不锈钢，轴套为 SS316，墙圈与介质接触部分为304L不锈钢。</w:t>
      </w:r>
    </w:p>
    <w:p w14:paraId="69F733B0">
      <w:pPr>
        <w:pStyle w:val="32"/>
        <w:ind w:left="958" w:firstLine="480" w:firstLineChars="200"/>
        <w:jc w:val="both"/>
        <w:rPr>
          <w:rFonts w:hint="default"/>
        </w:rPr>
      </w:pPr>
      <w:r>
        <w:t>传动形式为三角皮带。</w:t>
      </w:r>
    </w:p>
    <w:p w14:paraId="3D4C534A">
      <w:pPr>
        <w:pStyle w:val="32"/>
        <w:ind w:left="958" w:firstLine="480" w:firstLineChars="200"/>
        <w:jc w:val="both"/>
        <w:rPr>
          <w:rFonts w:hint="default"/>
        </w:rPr>
      </w:pPr>
      <w:r>
        <w:t>密封形式采用双端面平衡型机械密封，</w:t>
      </w:r>
      <w:r>
        <w:rPr>
          <w:lang w:val="en-US"/>
        </w:rPr>
        <w:t>选用</w:t>
      </w:r>
      <w:r>
        <w:t>约翰克兰、博格曼、AES福斯或同等</w:t>
      </w:r>
      <w:r>
        <w:rPr>
          <w:lang w:val="en-US"/>
        </w:rPr>
        <w:t>品质</w:t>
      </w:r>
      <w:r>
        <w:t>品牌；轴承采用 SKF、FAG、NSK 或同等</w:t>
      </w:r>
      <w:r>
        <w:rPr>
          <w:lang w:val="en-US"/>
        </w:rPr>
        <w:t>品质</w:t>
      </w:r>
      <w:r>
        <w:t>品牌。搅拌器选用</w:t>
      </w:r>
      <w:r>
        <w:rPr>
          <w:lang w:val="en-US"/>
        </w:rPr>
        <w:t>国内外一线优质</w:t>
      </w:r>
      <w:r>
        <w:t>品牌。</w:t>
      </w:r>
    </w:p>
    <w:p w14:paraId="645B662C">
      <w:pPr>
        <w:pStyle w:val="5"/>
        <w:ind w:firstLine="480"/>
        <w:jc w:val="both"/>
      </w:pPr>
      <w:r>
        <w:rPr>
          <w:rFonts w:hint="eastAsia"/>
        </w:rPr>
        <w:t>9.3备料区主体设备主要配置技术要求</w:t>
      </w:r>
    </w:p>
    <w:p w14:paraId="5AE6A81E">
      <w:pPr>
        <w:pStyle w:val="23"/>
        <w:ind w:firstLine="720"/>
        <w:jc w:val="both"/>
        <w:rPr>
          <w:rFonts w:hint="default"/>
        </w:rPr>
      </w:pPr>
      <w:r>
        <w:rPr>
          <w:lang w:val="en-US"/>
        </w:rPr>
        <w:t>9</w:t>
      </w:r>
      <w:r>
        <w:t>.3.1 皮带输送机</w:t>
      </w:r>
    </w:p>
    <w:p w14:paraId="2E7CB960">
      <w:pPr>
        <w:pStyle w:val="23"/>
        <w:ind w:firstLine="960" w:firstLineChars="400"/>
        <w:jc w:val="both"/>
        <w:rPr>
          <w:rFonts w:hint="default"/>
        </w:rPr>
      </w:pPr>
      <w:r>
        <w:t>主要技术参数：</w:t>
      </w:r>
    </w:p>
    <w:p w14:paraId="7A15188F">
      <w:pPr>
        <w:pStyle w:val="23"/>
        <w:ind w:firstLine="960" w:firstLineChars="400"/>
        <w:jc w:val="both"/>
        <w:rPr>
          <w:rFonts w:hint="default"/>
        </w:rPr>
      </w:pPr>
      <w:r>
        <w:t>输送物料：竹片</w:t>
      </w:r>
      <w:r>
        <w:rPr>
          <w:rFonts w:hint="default"/>
        </w:rPr>
        <w:t>2</w:t>
      </w:r>
      <w:r>
        <w:t>40kg/m</w:t>
      </w:r>
      <w:r>
        <w:rPr>
          <w:vertAlign w:val="superscript"/>
        </w:rPr>
        <w:t xml:space="preserve">3 </w:t>
      </w:r>
      <w:r>
        <w:t>，木片1</w:t>
      </w:r>
      <w:r>
        <w:rPr>
          <w:rFonts w:hint="default"/>
        </w:rPr>
        <w:t>60</w:t>
      </w:r>
      <w:r>
        <w:t xml:space="preserve"> kg/m</w:t>
      </w:r>
      <w:r>
        <w:rPr>
          <w:vertAlign w:val="superscript"/>
        </w:rPr>
        <w:t>3</w:t>
      </w:r>
      <w:r>
        <w:t>；</w:t>
      </w:r>
    </w:p>
    <w:p w14:paraId="1423E4D5">
      <w:pPr>
        <w:pStyle w:val="23"/>
        <w:ind w:firstLine="960" w:firstLineChars="400"/>
        <w:jc w:val="both"/>
        <w:rPr>
          <w:rFonts w:hint="default"/>
        </w:rPr>
      </w:pPr>
      <w:r>
        <w:t>输送介质：毛竹片、针叶松片、阔叶木片等；</w:t>
      </w:r>
    </w:p>
    <w:p w14:paraId="197AF1A7">
      <w:pPr>
        <w:pStyle w:val="23"/>
        <w:ind w:firstLine="960" w:firstLineChars="400"/>
        <w:jc w:val="both"/>
        <w:rPr>
          <w:rFonts w:hint="default"/>
        </w:rPr>
      </w:pPr>
      <w:r>
        <w:t>输送能力：料仓前 600-1200m</w:t>
      </w:r>
      <w:r>
        <w:rPr>
          <w:vertAlign w:val="superscript"/>
        </w:rPr>
        <w:t>3</w:t>
      </w:r>
      <w:r>
        <w:t>/h；料仓后：1000</w:t>
      </w:r>
      <w:r>
        <w:rPr>
          <w:rFonts w:hint="default" w:ascii="Times New Roman" w:hAnsi="Times New Roman" w:cs="Times New Roman"/>
        </w:rPr>
        <w:t>~</w:t>
      </w:r>
      <w:r>
        <w:t>1400m</w:t>
      </w:r>
      <w:r>
        <w:rPr>
          <w:vertAlign w:val="superscript"/>
        </w:rPr>
        <w:t>3</w:t>
      </w:r>
      <w:r>
        <w:t>/h（按设计）；</w:t>
      </w:r>
    </w:p>
    <w:p w14:paraId="0115C3B9">
      <w:pPr>
        <w:pStyle w:val="23"/>
        <w:ind w:firstLine="960" w:firstLineChars="400"/>
        <w:jc w:val="both"/>
        <w:rPr>
          <w:rFonts w:hint="default"/>
        </w:rPr>
      </w:pPr>
      <w:r>
        <w:t>输送速度：料仓前1.6m/s</w:t>
      </w:r>
      <w:r>
        <w:rPr>
          <w:rFonts w:hint="default" w:ascii="Times New Roman" w:hAnsi="Times New Roman" w:cs="Times New Roman"/>
        </w:rPr>
        <w:t>~</w:t>
      </w:r>
      <w:r>
        <w:t>2.2m/s；料仓后：1.6m/s</w:t>
      </w:r>
      <w:r>
        <w:rPr>
          <w:rFonts w:hint="default" w:ascii="Times New Roman" w:hAnsi="Times New Roman" w:cs="Times New Roman"/>
        </w:rPr>
        <w:t>~</w:t>
      </w:r>
      <w:r>
        <w:t>2.2m/s（按设计）；</w:t>
      </w:r>
    </w:p>
    <w:p w14:paraId="2F0BEBB3">
      <w:pPr>
        <w:pStyle w:val="23"/>
        <w:ind w:firstLine="960" w:firstLineChars="400"/>
        <w:jc w:val="both"/>
        <w:rPr>
          <w:rFonts w:hint="default"/>
        </w:rPr>
      </w:pPr>
      <w:r>
        <w:t>输送带宽：800mm</w:t>
      </w:r>
      <w:r>
        <w:rPr>
          <w:rFonts w:hint="default" w:ascii="Times New Roman" w:hAnsi="Times New Roman" w:cs="Times New Roman"/>
        </w:rPr>
        <w:t>~</w:t>
      </w:r>
      <w:r>
        <w:t>1400mm（按设计）；</w:t>
      </w:r>
    </w:p>
    <w:p w14:paraId="1AE4C844">
      <w:pPr>
        <w:pStyle w:val="23"/>
        <w:ind w:left="720" w:firstLine="240" w:firstLineChars="100"/>
        <w:jc w:val="both"/>
        <w:rPr>
          <w:rFonts w:hint="default"/>
        </w:rPr>
      </w:pPr>
      <w:r>
        <w:t>皮带输送机采用国家 DTⅡ型标准设计，甲方无特殊要求时，其配置应在《DTⅡ型固定式带式输送机设计选用手册》所限定的范围内选择。</w:t>
      </w:r>
    </w:p>
    <w:p w14:paraId="5BE6449B">
      <w:pPr>
        <w:pStyle w:val="32"/>
        <w:ind w:firstLine="960"/>
        <w:jc w:val="both"/>
        <w:rPr>
          <w:rFonts w:hint="default"/>
        </w:rPr>
      </w:pPr>
      <w:r>
        <w:rPr>
          <w:lang w:val="en-US"/>
        </w:rPr>
        <w:t>（1）</w:t>
      </w:r>
      <w:r>
        <w:t>减速机</w:t>
      </w:r>
    </w:p>
    <w:p w14:paraId="330DF144">
      <w:pPr>
        <w:pStyle w:val="32"/>
        <w:ind w:left="958" w:firstLine="480" w:firstLineChars="200"/>
        <w:jc w:val="both"/>
        <w:rPr>
          <w:rFonts w:hint="default"/>
        </w:rPr>
      </w:pPr>
      <w:r>
        <w:t>所有皮带输送机上</w:t>
      </w:r>
      <w:r>
        <w:rPr>
          <w:lang w:val="en-US"/>
        </w:rPr>
        <w:t>的</w:t>
      </w:r>
      <w:r>
        <w:t>减速机</w:t>
      </w:r>
      <w:r>
        <w:rPr>
          <w:lang w:val="en-US"/>
        </w:rPr>
        <w:t>若设计可行应均按</w:t>
      </w:r>
      <w:r>
        <w:t>机电一体悬挂式</w:t>
      </w:r>
      <w:r>
        <w:rPr>
          <w:lang w:val="en-US"/>
        </w:rPr>
        <w:t>设计</w:t>
      </w:r>
      <w:r>
        <w:t>。传动减速机品牌选用国内或国际一线品牌，应满足室外作业运行。</w:t>
      </w:r>
    </w:p>
    <w:p w14:paraId="2821A929">
      <w:pPr>
        <w:pStyle w:val="32"/>
        <w:ind w:firstLine="960"/>
        <w:jc w:val="both"/>
        <w:rPr>
          <w:rFonts w:hint="default"/>
        </w:rPr>
      </w:pPr>
      <w:r>
        <w:rPr>
          <w:lang w:val="en-US"/>
        </w:rPr>
        <w:t>（2）</w:t>
      </w:r>
      <w:r>
        <w:t>输送带</w:t>
      </w:r>
    </w:p>
    <w:p w14:paraId="4ED61769">
      <w:pPr>
        <w:pStyle w:val="32"/>
        <w:ind w:left="958" w:firstLine="480" w:firstLineChars="200"/>
        <w:jc w:val="both"/>
        <w:rPr>
          <w:rFonts w:hint="default"/>
        </w:rPr>
      </w:pPr>
      <w:r>
        <w:t>输送带必须满足设备正常运行参数。</w:t>
      </w:r>
    </w:p>
    <w:p w14:paraId="4D4787A5">
      <w:pPr>
        <w:pStyle w:val="32"/>
        <w:ind w:left="958" w:firstLine="480" w:firstLineChars="200"/>
        <w:jc w:val="both"/>
        <w:rPr>
          <w:rFonts w:hint="default"/>
        </w:rPr>
      </w:pPr>
      <w:r>
        <w:t>拉装输送带时必须注意皮带的上下面不得装反，不得将输送带拉伤，不得损伤包胶滚筒胶面。输送带全部拉入皮带机后，尾部无论是拉紧小车或螺旋拉紧，装置均应将改向滚筒处于最前端，垂直张紧滚筒提升至最上端2m以内，此时将输送带拉紧，确定输送带粘接后的总长度。</w:t>
      </w:r>
    </w:p>
    <w:p w14:paraId="54D87A2F">
      <w:pPr>
        <w:pStyle w:val="32"/>
        <w:ind w:left="958" w:firstLine="480" w:firstLineChars="200"/>
        <w:jc w:val="both"/>
        <w:rPr>
          <w:rFonts w:hint="default"/>
        </w:rPr>
      </w:pPr>
      <w:r>
        <w:t>所有输送接头采用硫化黏结方式，皮带搭接长度不得小于皮带宽度，接口斜度30°或45°。在剖撕接口处层布时，必须保证不能损伤相邻层布而降低皮带抗拉强度。粘接后皮带接口处直线度检测方法为取3m长度段测量，偏差不大于5mm。输送带选用青岛橡六、上海骆驼、浙江双箭或同等品牌。</w:t>
      </w:r>
    </w:p>
    <w:p w14:paraId="4060D011">
      <w:pPr>
        <w:pStyle w:val="32"/>
        <w:ind w:firstLine="960"/>
        <w:jc w:val="both"/>
        <w:rPr>
          <w:rFonts w:hint="default"/>
        </w:rPr>
      </w:pPr>
      <w:r>
        <w:rPr>
          <w:lang w:val="en-US"/>
        </w:rPr>
        <w:t>（3）</w:t>
      </w:r>
      <w:r>
        <w:t>滚筒</w:t>
      </w:r>
    </w:p>
    <w:p w14:paraId="08513DB2">
      <w:pPr>
        <w:pStyle w:val="32"/>
        <w:ind w:left="960" w:firstLine="480" w:firstLineChars="200"/>
        <w:jc w:val="both"/>
        <w:rPr>
          <w:rFonts w:hint="default"/>
        </w:rPr>
      </w:pPr>
      <w:r>
        <w:t>滚筒轴径（轴承处直径）大于或等于φ120mm 的轮毂与轮轴采用胀套联接，螺栓等级不低于10.9级，毂与缘之间的焊接必须采用完全穿透的连续焊，以确保焊接量，还要进行退火处理，以消除内应力。</w:t>
      </w:r>
    </w:p>
    <w:p w14:paraId="27AD2048">
      <w:pPr>
        <w:pStyle w:val="32"/>
        <w:ind w:left="960" w:firstLine="480" w:firstLineChars="200"/>
        <w:jc w:val="both"/>
        <w:rPr>
          <w:rFonts w:hint="default"/>
        </w:rPr>
      </w:pPr>
      <w:r>
        <w:t>B=1000 和 B=1200 的皮带机传动滚筒直径</w:t>
      </w:r>
      <w:r>
        <w:rPr>
          <w:lang w:val="en-US"/>
        </w:rPr>
        <w:t>设计优先</w:t>
      </w:r>
      <w:r>
        <w:t>选用φ630mm 进行设计，</w:t>
      </w:r>
      <w:r>
        <w:rPr>
          <w:lang w:val="en-US"/>
        </w:rPr>
        <w:t>设计上尽可能多条皮带选用同一规格直径滚筒。</w:t>
      </w:r>
      <w:r>
        <w:t>改向滚筒按照国家标准设计制作。滚筒筒体长度尺寸大于胶带宽度尺寸150mm以上，筒体壁厚满足承载要求。</w:t>
      </w:r>
    </w:p>
    <w:p w14:paraId="7D984D14">
      <w:pPr>
        <w:pStyle w:val="32"/>
        <w:ind w:left="960" w:firstLine="480" w:firstLineChars="200"/>
        <w:jc w:val="both"/>
        <w:rPr>
          <w:rFonts w:hint="default"/>
        </w:rPr>
      </w:pPr>
      <w:r>
        <w:t>滚筒轴必须进行调质处理，热处理、机械加工的加工工序必须符合材质要求，其许用扭矩许用合力均满足设计要求。所有滚筒的轴承采用哈瓦洛轴承品牌，并提供相关采购合同证明，传动滚筒轴承座采用铸钢件，所有轴承座润滑方式采用油嘴沟槽，使用前必须注满耐水润滑脂。</w:t>
      </w:r>
    </w:p>
    <w:p w14:paraId="4F9B8621">
      <w:pPr>
        <w:pStyle w:val="32"/>
        <w:ind w:left="960" w:firstLine="480" w:firstLineChars="200"/>
        <w:jc w:val="both"/>
        <w:rPr>
          <w:rFonts w:hint="default"/>
        </w:rPr>
      </w:pPr>
      <w:r>
        <w:t>带倾斜角度的传动滚筒表面采用人字形胶层，改向滚筒表面采用平面胶层。传动滚筒表面层的形成方式为铸胶，传动滚筒表面胶层厚度不低于国家标准，传动滚筒表面胶层硬度不小于邵氏A 型硬度 70°。改向滚筒表面胶层的形成方式为铸胶，改向滚筒表面胶层厚度不低于国家标准，改向滚筒表面胶层硬度不小于邵氏 A 型硬度 60°。胶层不允许出现脱层、起泡缺陷，面胶和底胶的物理机械性能应符合 GB10595 中的有关规定。</w:t>
      </w:r>
    </w:p>
    <w:p w14:paraId="16AB82A7">
      <w:pPr>
        <w:pStyle w:val="32"/>
        <w:ind w:left="960" w:firstLine="480" w:firstLineChars="200"/>
        <w:jc w:val="both"/>
        <w:rPr>
          <w:rFonts w:hint="default"/>
        </w:rPr>
      </w:pPr>
      <w:r>
        <w:t>滚筒许用张力和许用扭矩必须满足国家相关标准要求，使用寿命按无限寿命设计。滚筒轴径变化时不允许采用直角台阶过渡，必须采用锥形段变径过渡。滚筒加工完成后，必须整体表面喷砂除锈，表面喷涂环氧锌漆进行防腐处理。滚筒装配后应进行静平衡试验，静平衡精度G40。</w:t>
      </w:r>
    </w:p>
    <w:p w14:paraId="1D2C1C38">
      <w:pPr>
        <w:pStyle w:val="32"/>
        <w:ind w:left="960" w:firstLine="480" w:firstLineChars="200"/>
        <w:jc w:val="both"/>
        <w:rPr>
          <w:rFonts w:hint="default"/>
        </w:rPr>
      </w:pPr>
      <w:r>
        <w:t>未提到的技术要求，参考《DTⅡ型固定式带式输送机设计选用手册》标准设计。</w:t>
      </w:r>
    </w:p>
    <w:p w14:paraId="17C0C8D6">
      <w:pPr>
        <w:pStyle w:val="32"/>
        <w:ind w:firstLine="960"/>
        <w:jc w:val="both"/>
        <w:rPr>
          <w:rFonts w:hint="default"/>
        </w:rPr>
      </w:pPr>
      <w:r>
        <w:t>（</w:t>
      </w:r>
      <w:r>
        <w:rPr>
          <w:lang w:val="en-US"/>
        </w:rPr>
        <w:t>4</w:t>
      </w:r>
      <w:r>
        <w:t>）托辊和托辊组</w:t>
      </w:r>
    </w:p>
    <w:p w14:paraId="3246B615">
      <w:pPr>
        <w:pStyle w:val="32"/>
        <w:ind w:left="960" w:firstLine="480" w:firstLineChars="200"/>
        <w:jc w:val="both"/>
        <w:rPr>
          <w:rFonts w:hint="default"/>
        </w:rPr>
      </w:pPr>
      <w:r>
        <w:t>托辊轴承座内充满润滑脂，轴承采用哈瓦洛品牌，冲压轴承座采用专用冲压钢材，托辊安装完成必须转动灵活。托辊辊体采用专用钢管加工而成，辊体表面必须进行喷砂除锈后喷防腐处理，防腐厚度不低于国家行业标准，承载托辊均采用 45</w:t>
      </w:r>
      <w:r>
        <w:rPr>
          <w:lang w:val="en-US"/>
        </w:rPr>
        <w:t>°</w:t>
      </w:r>
      <w:r>
        <w:t>槽形托辊，其布置间距不大于1.2m，上托辊每隔12米设上调心托辊一组，下托辊每隔18米设下调心托辊一组。调心托辊均为带立辊的自动调心托辊，在皮带偏</w:t>
      </w:r>
      <w:r>
        <w:rPr>
          <w:lang w:val="en-US"/>
        </w:rPr>
        <w:t>离</w:t>
      </w:r>
      <w:r>
        <w:t>时，调心托辊会旋转一定的角度，使辊子的旋转方向与皮带机的速度方向相反，从而使皮带机回到机架中心上，此时调心托辊也恢复原状态。调心托辊与头、尾滚筒的距离应大于10m。回程托辊采用平行托辊，安装间距不大于3m，托辊吊架应安装牢固并与中间架平</w:t>
      </w:r>
      <w:r>
        <w:rPr>
          <w:lang w:val="en-US"/>
        </w:rPr>
        <w:t>行</w:t>
      </w:r>
      <w:r>
        <w:t>方向有一定的调节余量（供皮带调偏），按设计要求在一定间距内安装下调心托辊组。</w:t>
      </w:r>
    </w:p>
    <w:p w14:paraId="2A1EB39E">
      <w:pPr>
        <w:pStyle w:val="32"/>
        <w:ind w:left="960" w:firstLine="480" w:firstLineChars="200"/>
        <w:jc w:val="both"/>
        <w:rPr>
          <w:rFonts w:hint="default"/>
        </w:rPr>
      </w:pPr>
      <w:r>
        <w:t>邻近头尾滚筒处设置至少2组以上的过渡托辊，端部滚筒中心线与过渡托辊之间的距离不大于800～1000mm。凸弧段槽形托辊间距为600mm，导料槽下段承载托辊的布置间距不得大于400mm。</w:t>
      </w:r>
    </w:p>
    <w:p w14:paraId="506C0ADE">
      <w:pPr>
        <w:pStyle w:val="32"/>
        <w:ind w:left="960" w:firstLine="480" w:firstLineChars="200"/>
        <w:jc w:val="both"/>
        <w:rPr>
          <w:rFonts w:hint="default"/>
        </w:rPr>
      </w:pPr>
      <w:r>
        <w:t>除铁器选用永磁除铁器，</w:t>
      </w:r>
      <w:r>
        <w:rPr>
          <w:lang w:val="en-US"/>
        </w:rPr>
        <w:t>除铁器选用悬挂式，尺寸参数上配套皮带机带宽/带速及木料堆厚的要求，磁力要求大于10公斤铁器的磁力，磁场强度不低于350MT，十年退磁率低于4%的要求。和皮带</w:t>
      </w:r>
      <w:r>
        <w:t>安装位置底部应配三组及以上的防磁托辊组，输送带物料下落点底部安装多组缓冲辊（间距不得大于400mm），减少物料冲击影响皮带运行。</w:t>
      </w:r>
    </w:p>
    <w:p w14:paraId="18D77984">
      <w:pPr>
        <w:pStyle w:val="32"/>
        <w:ind w:left="960" w:firstLine="480" w:firstLineChars="200"/>
        <w:jc w:val="both"/>
        <w:rPr>
          <w:rFonts w:hint="default"/>
        </w:rPr>
      </w:pPr>
      <w:r>
        <w:t>其他托辊间距采用国家《DTⅡ型固定式带式输送机设计选用手册》标准设计，不低于国家现有标准配置。</w:t>
      </w:r>
    </w:p>
    <w:p w14:paraId="4861217F">
      <w:pPr>
        <w:pStyle w:val="32"/>
        <w:ind w:left="960" w:firstLine="480" w:firstLineChars="200"/>
        <w:jc w:val="both"/>
        <w:rPr>
          <w:rFonts w:hint="default"/>
        </w:rPr>
      </w:pPr>
      <w:r>
        <w:t>托辊使用寿命为30000小时以上，辊子的摩擦系数&lt;0.025，采用双密封轴承保证防水、防尘。</w:t>
      </w:r>
    </w:p>
    <w:p w14:paraId="43B4FBE0">
      <w:pPr>
        <w:pStyle w:val="32"/>
        <w:ind w:firstLine="960"/>
        <w:jc w:val="both"/>
        <w:rPr>
          <w:rFonts w:hint="default"/>
        </w:rPr>
      </w:pPr>
      <w:r>
        <w:t>（</w:t>
      </w:r>
      <w:r>
        <w:rPr>
          <w:lang w:val="en-US"/>
        </w:rPr>
        <w:t>5</w:t>
      </w:r>
      <w:r>
        <w:t>）支架</w:t>
      </w:r>
    </w:p>
    <w:p w14:paraId="627554A3">
      <w:pPr>
        <w:pStyle w:val="32"/>
        <w:ind w:left="960" w:firstLine="480" w:firstLineChars="200"/>
        <w:jc w:val="both"/>
        <w:rPr>
          <w:rFonts w:hint="default"/>
        </w:rPr>
      </w:pPr>
      <w:r>
        <w:t>皮带输送机的中部支架、头部支架、尾部支架、螺旋拉紧装置支架、传动装置支架应有足够的刚度和强度，焊缝坚固、美观、均匀。其结构形式应在《DTII型固定式胶带输送机设计选用手册》所限定的范围之内，其制造误差不得超过有关标准的要求。</w:t>
      </w:r>
    </w:p>
    <w:p w14:paraId="6B391DD7">
      <w:pPr>
        <w:pStyle w:val="32"/>
        <w:ind w:left="960" w:firstLine="480" w:firstLineChars="200"/>
        <w:jc w:val="both"/>
        <w:rPr>
          <w:rFonts w:hint="default"/>
        </w:rPr>
      </w:pPr>
      <w:r>
        <w:t>对于特殊的非标准支架其结构形式应参照《DTII型固定式胶带输送机设计选用手册》所采用的结构形式。</w:t>
      </w:r>
    </w:p>
    <w:p w14:paraId="29ACC05F">
      <w:pPr>
        <w:pStyle w:val="32"/>
        <w:ind w:left="960" w:firstLine="480" w:firstLineChars="200"/>
        <w:jc w:val="both"/>
        <w:rPr>
          <w:rFonts w:hint="default"/>
        </w:rPr>
      </w:pPr>
      <w:r>
        <w:t>制造所使用的板材与型材必须选用优质钢材，经过钢材预处理，焊接完成后支架表面须进行喷砂除锈</w:t>
      </w:r>
      <w:r>
        <w:rPr>
          <w:lang w:val="en-US"/>
        </w:rPr>
        <w:t>并做</w:t>
      </w:r>
      <w:r>
        <w:t>喷漆防腐处理，防腐厚度不低于国家行业标准。</w:t>
      </w:r>
    </w:p>
    <w:p w14:paraId="01405E71">
      <w:pPr>
        <w:pStyle w:val="32"/>
        <w:ind w:left="958" w:firstLine="480" w:firstLineChars="200"/>
        <w:jc w:val="both"/>
        <w:rPr>
          <w:rFonts w:hint="default"/>
        </w:rPr>
      </w:pPr>
      <w:r>
        <w:t>支架焊接工艺应符合有关标准要求，主要受拉的焊接部位应进行探伤检查。</w:t>
      </w:r>
    </w:p>
    <w:p w14:paraId="0FD95760">
      <w:pPr>
        <w:pStyle w:val="32"/>
        <w:ind w:firstLine="960"/>
        <w:jc w:val="both"/>
        <w:rPr>
          <w:rFonts w:hint="default"/>
        </w:rPr>
      </w:pPr>
      <w:r>
        <w:t>（</w:t>
      </w:r>
      <w:r>
        <w:rPr>
          <w:lang w:val="en-US"/>
        </w:rPr>
        <w:t>6</w:t>
      </w:r>
      <w:r>
        <w:t>）溜槽漏斗</w:t>
      </w:r>
    </w:p>
    <w:p w14:paraId="29E2D8A6">
      <w:pPr>
        <w:pStyle w:val="32"/>
        <w:ind w:left="960" w:firstLine="480" w:firstLineChars="200"/>
        <w:jc w:val="both"/>
        <w:rPr>
          <w:rFonts w:hint="default"/>
        </w:rPr>
      </w:pPr>
      <w:r>
        <w:t>溜槽及漏斗依据《DTII型固定式带式输送机设计选用手册》中</w:t>
      </w:r>
      <w:r>
        <w:rPr>
          <w:lang w:val="en-US"/>
        </w:rPr>
        <w:t>的</w:t>
      </w:r>
      <w:r>
        <w:t>标准制造，根据工艺物料的最大流量和粒度进行溜槽和漏斗设计，能满足在急停时物料对溜槽容量的要求。</w:t>
      </w:r>
    </w:p>
    <w:p w14:paraId="245AC7EB">
      <w:pPr>
        <w:pStyle w:val="32"/>
        <w:ind w:left="960" w:firstLine="480" w:firstLineChars="200"/>
        <w:jc w:val="both"/>
        <w:rPr>
          <w:rFonts w:hint="default"/>
        </w:rPr>
      </w:pPr>
      <w:r>
        <w:t>所有未与物料接触的溜槽和漏斗用厚度不小于10mm的Q235钢板制造，并用型钢加强，</w:t>
      </w:r>
      <w:r>
        <w:rPr>
          <w:lang w:val="en-US"/>
        </w:rPr>
        <w:t>保证</w:t>
      </w:r>
      <w:r>
        <w:t>落料和堵料时不会发生变形。</w:t>
      </w:r>
    </w:p>
    <w:p w14:paraId="34BD0DA2">
      <w:pPr>
        <w:pStyle w:val="32"/>
        <w:ind w:left="960" w:firstLine="480" w:firstLineChars="200"/>
        <w:jc w:val="both"/>
        <w:rPr>
          <w:rFonts w:hint="default"/>
        </w:rPr>
      </w:pPr>
      <w:r>
        <w:t>所有与物料接触的溜槽和漏斗内壁厚度不小于14mm，材料选用65#锰钢。溜槽和物料迎接对冲面需设计可更换耐磨高分子PE板，设计合理的沉头螺丝（磨损后不影响拆卸），溜槽的大小应使头轮在溜槽之内，并宽出300mm以上。安装时漏斗与头架或基础应固定牢固，不得与传</w:t>
      </w:r>
      <w:r>
        <w:rPr>
          <w:lang w:val="en-US"/>
        </w:rPr>
        <w:t>动</w:t>
      </w:r>
      <w:r>
        <w:t>滚筒及皮带产生摩擦现象。溜槽的下部向受料皮带机运行方向倾斜，并设有缓冲装置，以对下落的物料进行缓冲。在溜槽的上部和下部设有检查孔，在溜槽的中部设有检查和维修用的人孔。</w:t>
      </w:r>
    </w:p>
    <w:p w14:paraId="66C74102">
      <w:pPr>
        <w:pStyle w:val="32"/>
        <w:ind w:firstLine="960"/>
        <w:jc w:val="both"/>
        <w:rPr>
          <w:rFonts w:hint="default"/>
        </w:rPr>
      </w:pPr>
      <w:r>
        <w:t>（</w:t>
      </w:r>
      <w:r>
        <w:rPr>
          <w:lang w:val="en-US"/>
        </w:rPr>
        <w:t>7</w:t>
      </w:r>
      <w:r>
        <w:t>）逆止器</w:t>
      </w:r>
    </w:p>
    <w:p w14:paraId="502E4435">
      <w:pPr>
        <w:pStyle w:val="32"/>
        <w:ind w:left="960" w:firstLine="480" w:firstLineChars="200"/>
        <w:jc w:val="both"/>
        <w:rPr>
          <w:rFonts w:hint="default"/>
        </w:rPr>
      </w:pPr>
      <w:r>
        <w:t>带有大倾斜角度的皮带机须安装逆止器，采用减速机或电机内部防倒转结构形式，防止倾斜带式输送机有载停车时发生倒转或顺滑现象。</w:t>
      </w:r>
    </w:p>
    <w:p w14:paraId="57B415AE">
      <w:pPr>
        <w:pStyle w:val="32"/>
        <w:ind w:firstLine="960"/>
        <w:jc w:val="both"/>
        <w:rPr>
          <w:rFonts w:hint="default"/>
        </w:rPr>
      </w:pPr>
      <w:r>
        <w:t>（</w:t>
      </w:r>
      <w:r>
        <w:rPr>
          <w:lang w:val="en-US"/>
        </w:rPr>
        <w:t>8</w:t>
      </w:r>
      <w:r>
        <w:t>）清扫器</w:t>
      </w:r>
    </w:p>
    <w:p w14:paraId="1B2A7FA1">
      <w:pPr>
        <w:pStyle w:val="32"/>
        <w:ind w:left="960" w:firstLine="480" w:firstLineChars="200"/>
        <w:jc w:val="both"/>
        <w:rPr>
          <w:rFonts w:hint="default"/>
          <w:lang w:val="en-US"/>
        </w:rPr>
      </w:pPr>
      <w:r>
        <w:t>每条输送机头部设两级清扫器，垂直拉紧装置处和尾部设一级空段清扫器。工作面清扫采用弹簧清扫器，与皮带接触部分采用聚氨酯橡胶材质，安装后可自动调节高度，防止划伤皮带，</w:t>
      </w:r>
      <w:r>
        <w:rPr>
          <w:lang w:val="en-US"/>
        </w:rPr>
        <w:t>对花纹皮带应设计耐磨尼龙滚刷清扫器，确保粘留皮带木屑清扫干净。</w:t>
      </w:r>
    </w:p>
    <w:p w14:paraId="53CF4CEE">
      <w:pPr>
        <w:pStyle w:val="32"/>
        <w:ind w:firstLine="960"/>
        <w:jc w:val="both"/>
        <w:rPr>
          <w:rFonts w:hint="default"/>
        </w:rPr>
      </w:pPr>
      <w:r>
        <w:t>（</w:t>
      </w:r>
      <w:r>
        <w:rPr>
          <w:lang w:val="en-US"/>
        </w:rPr>
        <w:t>9</w:t>
      </w:r>
      <w:r>
        <w:t>）拉紧装置</w:t>
      </w:r>
    </w:p>
    <w:p w14:paraId="281AEBD7">
      <w:pPr>
        <w:pStyle w:val="32"/>
        <w:ind w:left="960" w:firstLine="480" w:firstLineChars="200"/>
        <w:jc w:val="both"/>
        <w:rPr>
          <w:rFonts w:hint="default"/>
        </w:rPr>
      </w:pPr>
      <w:r>
        <w:t>拉紧装置设计原则上均在《DTⅡ型固定式带式输送机设计选用手册》中选取，具体与皮带机运行参数而定。</w:t>
      </w:r>
    </w:p>
    <w:p w14:paraId="2131B96A">
      <w:pPr>
        <w:pStyle w:val="32"/>
        <w:ind w:left="960" w:firstLine="480" w:firstLineChars="200"/>
        <w:jc w:val="both"/>
        <w:rPr>
          <w:rFonts w:hint="default"/>
        </w:rPr>
      </w:pPr>
      <w:r>
        <w:t>拉紧装置应包括拉紧装置架、拉紧装置、重锤箱、重锤块、拉紧装置重锤护栅等所有部件。垂直张紧上部改向滚筒支架的安装高度，应保证改向滚筒上平面与回程托辊上平面一致，特别是不能低于回程托辊上平面，上部两改向滚筒的轴线应平行并且与基础中心线垂直。</w:t>
      </w:r>
    </w:p>
    <w:p w14:paraId="61ED0985">
      <w:pPr>
        <w:pStyle w:val="32"/>
        <w:ind w:left="1192" w:leftChars="340" w:hanging="240" w:hangingChars="100"/>
        <w:jc w:val="both"/>
        <w:rPr>
          <w:rFonts w:hint="default"/>
        </w:rPr>
      </w:pPr>
      <w:r>
        <w:rPr>
          <w:rFonts w:hint="default"/>
        </w:rPr>
        <w:t>（10）</w:t>
      </w:r>
      <w:r>
        <w:t>拉线紧停开关</w:t>
      </w:r>
    </w:p>
    <w:p w14:paraId="1D2E896A">
      <w:pPr>
        <w:pStyle w:val="32"/>
        <w:ind w:left="960" w:firstLine="480" w:firstLineChars="200"/>
        <w:jc w:val="both"/>
        <w:rPr>
          <w:rFonts w:hint="default"/>
          <w:lang w:val="en-US"/>
        </w:rPr>
      </w:pPr>
      <w:r>
        <w:t>所有皮带输送机配备拉线紧停开关，</w:t>
      </w:r>
      <w:r>
        <w:rPr>
          <w:lang w:val="en-US"/>
        </w:rPr>
        <w:t>每60米分布一套：安装在30米的连接处；若皮带机长度小于60米的也应设置一套。</w:t>
      </w:r>
    </w:p>
    <w:p w14:paraId="0C9D07F8">
      <w:pPr>
        <w:pStyle w:val="23"/>
        <w:ind w:firstLine="720"/>
        <w:jc w:val="both"/>
        <w:rPr>
          <w:rFonts w:hint="default"/>
        </w:rPr>
      </w:pPr>
      <w:r>
        <w:rPr>
          <w:lang w:val="en-US"/>
        </w:rPr>
        <w:t>9</w:t>
      </w:r>
      <w:r>
        <w:t>.3.2行走螺旋输送机</w:t>
      </w:r>
    </w:p>
    <w:p w14:paraId="3ED888D1">
      <w:pPr>
        <w:pStyle w:val="32"/>
        <w:ind w:left="960" w:firstLine="480" w:firstLineChars="200"/>
        <w:jc w:val="both"/>
        <w:rPr>
          <w:rFonts w:hint="default"/>
        </w:rPr>
      </w:pPr>
      <w:r>
        <w:t>传动形式：行走传动采用齿轮与齿条传动，电机与减速机之间用联轴器直联，减速机与主轴之间链条传动。</w:t>
      </w:r>
    </w:p>
    <w:p w14:paraId="172DA70D">
      <w:pPr>
        <w:pStyle w:val="32"/>
        <w:ind w:left="960" w:firstLine="480" w:firstLineChars="200"/>
        <w:jc w:val="both"/>
        <w:rPr>
          <w:rFonts w:hint="default"/>
        </w:rPr>
      </w:pPr>
      <w:r>
        <w:t>螺旋输送机的功能是将进料仓内的木片按设定的输送量，平稳、无堵塞的输送至皮带机上，在设计和制安时在保证功能的前提下，需满足进料仓内无死角，输送木片无堵塞。</w:t>
      </w:r>
    </w:p>
    <w:p w14:paraId="1D76D835">
      <w:pPr>
        <w:pStyle w:val="32"/>
        <w:ind w:left="960" w:firstLine="480" w:firstLineChars="200"/>
        <w:jc w:val="both"/>
        <w:rPr>
          <w:rFonts w:hint="default"/>
        </w:rPr>
      </w:pPr>
      <w:r>
        <w:t>螺旋轴采用加强设计，叶片设计耐磨层堆焊，螺旋轴与料仓底部物料接触，受力均匀，故障率低。螺旋管轴采用碳钢包覆304不锈钢结构形式：先将不锈钢螺旋叶片与碳钢管轴焊接，然后将裸露的碳钢管轴用 3mm厚的30</w:t>
      </w:r>
      <w:r>
        <w:rPr>
          <w:lang w:val="en-US"/>
        </w:rPr>
        <w:t>4</w:t>
      </w:r>
      <w:r>
        <w:t>不锈钢包覆，包覆层与碳钢管轴要求贴合紧密，塞焊加固。</w:t>
      </w:r>
    </w:p>
    <w:p w14:paraId="5489512B">
      <w:pPr>
        <w:pStyle w:val="32"/>
        <w:ind w:left="958" w:firstLine="480" w:firstLineChars="200"/>
        <w:jc w:val="both"/>
        <w:rPr>
          <w:rFonts w:hint="default"/>
        </w:rPr>
      </w:pPr>
      <w:r>
        <w:t>减速机采用硬齿面减速机，品牌选用SEW、弗兰德、住友、</w:t>
      </w:r>
      <w:r>
        <w:rPr>
          <w:lang w:val="en-US"/>
        </w:rPr>
        <w:t>库迈拉</w:t>
      </w:r>
      <w:r>
        <w:t>或同等</w:t>
      </w:r>
      <w:r>
        <w:rPr>
          <w:lang w:val="en-US"/>
        </w:rPr>
        <w:t>品质</w:t>
      </w:r>
      <w:r>
        <w:t>品牌</w:t>
      </w:r>
      <w:r>
        <w:rPr>
          <w:lang w:val="en-US"/>
        </w:rPr>
        <w:t>产品</w:t>
      </w:r>
      <w:r>
        <w:t>；螺旋轴端配零速开关检测架。</w:t>
      </w:r>
    </w:p>
    <w:p w14:paraId="6962966F">
      <w:pPr>
        <w:pStyle w:val="32"/>
        <w:ind w:firstLine="1440" w:firstLineChars="600"/>
        <w:jc w:val="both"/>
        <w:rPr>
          <w:rFonts w:hint="default"/>
        </w:rPr>
      </w:pPr>
      <w:r>
        <w:t>螺旋轴轴头加工、螺旋轴与壳体间隙等按相关标准选用、加工。</w:t>
      </w:r>
    </w:p>
    <w:p w14:paraId="4C3F2E60">
      <w:pPr>
        <w:pStyle w:val="32"/>
        <w:ind w:left="2426" w:hanging="986" w:firstLineChars="0"/>
        <w:jc w:val="both"/>
        <w:rPr>
          <w:rFonts w:hint="default"/>
        </w:rPr>
      </w:pPr>
      <w:r>
        <w:t>-输送量：行走螺旋出料量根据实际生产需求可变(设备变频调速)；</w:t>
      </w:r>
    </w:p>
    <w:p w14:paraId="2D8C6D58">
      <w:pPr>
        <w:pStyle w:val="32"/>
        <w:ind w:firstLine="1440" w:firstLineChars="600"/>
        <w:jc w:val="both"/>
        <w:rPr>
          <w:rFonts w:hint="default"/>
        </w:rPr>
      </w:pPr>
      <w:r>
        <w:t>相关参数：(单台)</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4"/>
        <w:gridCol w:w="1084"/>
        <w:gridCol w:w="1121"/>
        <w:gridCol w:w="934"/>
        <w:gridCol w:w="2295"/>
        <w:gridCol w:w="2950"/>
      </w:tblGrid>
      <w:tr w14:paraId="7891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38" w:type="dxa"/>
            <w:gridSpan w:val="2"/>
            <w:vAlign w:val="center"/>
          </w:tcPr>
          <w:p w14:paraId="2EEEF6BC">
            <w:pPr>
              <w:spacing w:line="360" w:lineRule="auto"/>
              <w:jc w:val="center"/>
              <w:rPr>
                <w:rFonts w:ascii="Times New Roman" w:hAnsi="Times New Roman" w:eastAsia="仿宋"/>
                <w:sz w:val="24"/>
                <w:szCs w:val="24"/>
              </w:rPr>
            </w:pPr>
            <w:r>
              <w:rPr>
                <w:rFonts w:ascii="Times New Roman" w:hAnsi="Times New Roman" w:eastAsia="仿宋"/>
                <w:sz w:val="24"/>
                <w:szCs w:val="24"/>
              </w:rPr>
              <w:t>输送介质</w:t>
            </w:r>
          </w:p>
        </w:tc>
        <w:tc>
          <w:tcPr>
            <w:tcW w:w="2055" w:type="dxa"/>
            <w:gridSpan w:val="2"/>
            <w:vAlign w:val="center"/>
          </w:tcPr>
          <w:p w14:paraId="15DF2011">
            <w:pPr>
              <w:spacing w:line="360" w:lineRule="auto"/>
              <w:jc w:val="center"/>
              <w:rPr>
                <w:rFonts w:ascii="Times New Roman" w:hAnsi="Times New Roman" w:eastAsia="仿宋"/>
                <w:sz w:val="24"/>
                <w:szCs w:val="24"/>
              </w:rPr>
            </w:pPr>
            <w:r>
              <w:rPr>
                <w:rFonts w:hint="eastAsia" w:ascii="Times New Roman" w:hAnsi="Times New Roman" w:eastAsia="仿宋"/>
                <w:sz w:val="24"/>
                <w:szCs w:val="24"/>
              </w:rPr>
              <w:t>竹</w:t>
            </w:r>
            <w:r>
              <w:rPr>
                <w:rFonts w:ascii="Times New Roman" w:hAnsi="Times New Roman" w:eastAsia="仿宋"/>
                <w:sz w:val="24"/>
                <w:szCs w:val="24"/>
              </w:rPr>
              <w:t>片</w:t>
            </w:r>
          </w:p>
        </w:tc>
        <w:tc>
          <w:tcPr>
            <w:tcW w:w="2295" w:type="dxa"/>
            <w:vAlign w:val="center"/>
          </w:tcPr>
          <w:p w14:paraId="758B4C1A">
            <w:pPr>
              <w:spacing w:line="360" w:lineRule="auto"/>
              <w:jc w:val="center"/>
              <w:rPr>
                <w:rFonts w:ascii="Times New Roman" w:hAnsi="Times New Roman" w:eastAsia="仿宋"/>
                <w:sz w:val="24"/>
                <w:szCs w:val="24"/>
              </w:rPr>
            </w:pPr>
            <w:r>
              <w:rPr>
                <w:rFonts w:ascii="Times New Roman" w:hAnsi="Times New Roman" w:eastAsia="仿宋"/>
                <w:sz w:val="24"/>
                <w:szCs w:val="24"/>
              </w:rPr>
              <w:t>输出流量</w:t>
            </w:r>
          </w:p>
        </w:tc>
        <w:tc>
          <w:tcPr>
            <w:tcW w:w="2950" w:type="dxa"/>
            <w:vAlign w:val="center"/>
          </w:tcPr>
          <w:p w14:paraId="4065ABB3">
            <w:pPr>
              <w:spacing w:line="360" w:lineRule="auto"/>
              <w:jc w:val="center"/>
              <w:rPr>
                <w:rFonts w:ascii="Times New Roman" w:hAnsi="Times New Roman" w:eastAsia="仿宋"/>
                <w:sz w:val="24"/>
                <w:szCs w:val="24"/>
              </w:rPr>
            </w:pPr>
            <w:r>
              <w:rPr>
                <w:rFonts w:ascii="Times New Roman" w:hAnsi="Times New Roman" w:eastAsia="仿宋"/>
                <w:sz w:val="24"/>
                <w:szCs w:val="24"/>
              </w:rPr>
              <w:t>200-600m</w:t>
            </w:r>
            <w:r>
              <w:rPr>
                <w:rFonts w:ascii="Times New Roman" w:hAnsi="Times New Roman" w:eastAsia="仿宋"/>
                <w:sz w:val="24"/>
                <w:szCs w:val="24"/>
                <w:vertAlign w:val="superscript"/>
              </w:rPr>
              <w:t>3</w:t>
            </w:r>
            <w:r>
              <w:rPr>
                <w:rFonts w:ascii="Times New Roman" w:hAnsi="Times New Roman" w:eastAsia="仿宋"/>
                <w:sz w:val="24"/>
                <w:szCs w:val="24"/>
              </w:rPr>
              <w:t>/h（按设计）</w:t>
            </w:r>
          </w:p>
        </w:tc>
      </w:tr>
      <w:tr w14:paraId="490F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jc w:val="center"/>
        </w:trPr>
        <w:tc>
          <w:tcPr>
            <w:tcW w:w="1938" w:type="dxa"/>
            <w:gridSpan w:val="2"/>
            <w:vAlign w:val="center"/>
          </w:tcPr>
          <w:p w14:paraId="5241700C">
            <w:pPr>
              <w:spacing w:line="360" w:lineRule="auto"/>
              <w:jc w:val="center"/>
              <w:rPr>
                <w:rFonts w:ascii="Times New Roman" w:hAnsi="Times New Roman" w:eastAsia="仿宋"/>
                <w:sz w:val="24"/>
                <w:szCs w:val="24"/>
              </w:rPr>
            </w:pPr>
            <w:r>
              <w:rPr>
                <w:rFonts w:ascii="Times New Roman" w:hAnsi="Times New Roman" w:eastAsia="仿宋"/>
                <w:sz w:val="24"/>
                <w:szCs w:val="24"/>
              </w:rPr>
              <w:t>堆场容积</w:t>
            </w:r>
          </w:p>
        </w:tc>
        <w:tc>
          <w:tcPr>
            <w:tcW w:w="2055" w:type="dxa"/>
            <w:gridSpan w:val="2"/>
            <w:vAlign w:val="center"/>
          </w:tcPr>
          <w:p w14:paraId="648DC98B">
            <w:pPr>
              <w:spacing w:line="360" w:lineRule="auto"/>
              <w:jc w:val="center"/>
              <w:rPr>
                <w:rFonts w:ascii="Times New Roman" w:hAnsi="Times New Roman" w:eastAsia="仿宋"/>
                <w:sz w:val="24"/>
                <w:szCs w:val="24"/>
              </w:rPr>
            </w:pPr>
            <w:r>
              <w:rPr>
                <w:rFonts w:ascii="Times New Roman" w:hAnsi="Times New Roman" w:eastAsia="仿宋"/>
                <w:sz w:val="24"/>
                <w:szCs w:val="24"/>
              </w:rPr>
              <w:t>8万m³</w:t>
            </w:r>
            <w:r>
              <w:rPr>
                <w:rFonts w:hint="eastAsia" w:ascii="Times New Roman" w:hAnsi="Times New Roman" w:eastAsia="仿宋"/>
                <w:sz w:val="24"/>
                <w:szCs w:val="24"/>
              </w:rPr>
              <w:t>以上</w:t>
            </w:r>
          </w:p>
        </w:tc>
        <w:tc>
          <w:tcPr>
            <w:tcW w:w="2295" w:type="dxa"/>
            <w:vAlign w:val="center"/>
          </w:tcPr>
          <w:p w14:paraId="12A4DBA6">
            <w:pPr>
              <w:spacing w:line="360" w:lineRule="auto"/>
              <w:jc w:val="center"/>
              <w:rPr>
                <w:rFonts w:ascii="Times New Roman" w:hAnsi="Times New Roman" w:eastAsia="仿宋"/>
                <w:sz w:val="24"/>
                <w:szCs w:val="24"/>
              </w:rPr>
            </w:pPr>
            <w:r>
              <w:rPr>
                <w:rFonts w:ascii="Times New Roman" w:hAnsi="Times New Roman" w:eastAsia="仿宋"/>
                <w:sz w:val="24"/>
                <w:szCs w:val="24"/>
              </w:rPr>
              <w:t>螺旋工作长度</w:t>
            </w:r>
          </w:p>
          <w:p w14:paraId="23160396">
            <w:pPr>
              <w:spacing w:line="360" w:lineRule="auto"/>
              <w:jc w:val="center"/>
              <w:rPr>
                <w:rFonts w:ascii="Times New Roman" w:hAnsi="Times New Roman" w:eastAsia="仿宋"/>
                <w:sz w:val="24"/>
                <w:szCs w:val="24"/>
              </w:rPr>
            </w:pPr>
            <w:r>
              <w:rPr>
                <w:rFonts w:ascii="Times New Roman" w:hAnsi="Times New Roman" w:eastAsia="仿宋"/>
                <w:sz w:val="24"/>
                <w:szCs w:val="24"/>
              </w:rPr>
              <w:t>(出料区)</w:t>
            </w:r>
          </w:p>
        </w:tc>
        <w:tc>
          <w:tcPr>
            <w:tcW w:w="2950" w:type="dxa"/>
            <w:vAlign w:val="center"/>
          </w:tcPr>
          <w:p w14:paraId="0484B62A">
            <w:pPr>
              <w:spacing w:line="360" w:lineRule="auto"/>
              <w:jc w:val="center"/>
              <w:rPr>
                <w:rFonts w:ascii="Times New Roman" w:hAnsi="Times New Roman" w:eastAsia="仿宋"/>
                <w:sz w:val="24"/>
                <w:szCs w:val="24"/>
              </w:rPr>
            </w:pPr>
            <w:r>
              <w:rPr>
                <w:rFonts w:ascii="Times New Roman" w:hAnsi="Times New Roman" w:eastAsia="仿宋"/>
                <w:sz w:val="24"/>
                <w:szCs w:val="24"/>
              </w:rPr>
              <w:t>按设计</w:t>
            </w:r>
          </w:p>
        </w:tc>
      </w:tr>
      <w:tr w14:paraId="0AA2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38" w:type="dxa"/>
            <w:gridSpan w:val="2"/>
            <w:vAlign w:val="center"/>
          </w:tcPr>
          <w:p w14:paraId="7B049BA1">
            <w:pPr>
              <w:spacing w:line="360" w:lineRule="auto"/>
              <w:jc w:val="center"/>
              <w:rPr>
                <w:rFonts w:ascii="Times New Roman" w:hAnsi="Times New Roman" w:eastAsia="仿宋"/>
                <w:sz w:val="24"/>
                <w:szCs w:val="24"/>
              </w:rPr>
            </w:pPr>
            <w:r>
              <w:rPr>
                <w:rFonts w:ascii="Times New Roman" w:hAnsi="Times New Roman" w:eastAsia="仿宋"/>
                <w:sz w:val="24"/>
                <w:szCs w:val="24"/>
              </w:rPr>
              <w:t>运行方向</w:t>
            </w:r>
          </w:p>
        </w:tc>
        <w:tc>
          <w:tcPr>
            <w:tcW w:w="2055" w:type="dxa"/>
            <w:gridSpan w:val="2"/>
            <w:vAlign w:val="center"/>
          </w:tcPr>
          <w:p w14:paraId="20EFA534">
            <w:pPr>
              <w:spacing w:line="360" w:lineRule="auto"/>
              <w:jc w:val="center"/>
              <w:rPr>
                <w:rFonts w:ascii="Times New Roman" w:hAnsi="Times New Roman" w:eastAsia="仿宋"/>
                <w:sz w:val="24"/>
                <w:szCs w:val="24"/>
              </w:rPr>
            </w:pPr>
            <w:r>
              <w:rPr>
                <w:rFonts w:ascii="Times New Roman" w:hAnsi="Times New Roman" w:eastAsia="仿宋"/>
                <w:sz w:val="24"/>
                <w:szCs w:val="24"/>
              </w:rPr>
              <w:t>双向行走</w:t>
            </w:r>
          </w:p>
        </w:tc>
        <w:tc>
          <w:tcPr>
            <w:tcW w:w="2295" w:type="dxa"/>
            <w:vAlign w:val="center"/>
          </w:tcPr>
          <w:p w14:paraId="48BE4473">
            <w:pPr>
              <w:spacing w:line="360" w:lineRule="auto"/>
              <w:jc w:val="center"/>
              <w:rPr>
                <w:rFonts w:ascii="Times New Roman" w:hAnsi="Times New Roman" w:eastAsia="仿宋"/>
                <w:sz w:val="24"/>
                <w:szCs w:val="24"/>
              </w:rPr>
            </w:pPr>
            <w:r>
              <w:rPr>
                <w:rFonts w:ascii="Times New Roman" w:hAnsi="Times New Roman" w:eastAsia="仿宋"/>
                <w:sz w:val="24"/>
                <w:szCs w:val="24"/>
              </w:rPr>
              <w:t>螺旋直径</w:t>
            </w:r>
          </w:p>
        </w:tc>
        <w:tc>
          <w:tcPr>
            <w:tcW w:w="2950" w:type="dxa"/>
            <w:vAlign w:val="center"/>
          </w:tcPr>
          <w:p w14:paraId="211D8507">
            <w:pPr>
              <w:spacing w:line="360" w:lineRule="auto"/>
              <w:jc w:val="center"/>
              <w:rPr>
                <w:rFonts w:ascii="Times New Roman" w:hAnsi="Times New Roman" w:eastAsia="仿宋"/>
                <w:sz w:val="24"/>
                <w:szCs w:val="24"/>
              </w:rPr>
            </w:pPr>
            <w:r>
              <w:rPr>
                <w:rFonts w:ascii="Times New Roman" w:hAnsi="Times New Roman" w:eastAsia="仿宋"/>
                <w:sz w:val="24"/>
                <w:szCs w:val="24"/>
              </w:rPr>
              <w:t>按设计</w:t>
            </w:r>
          </w:p>
        </w:tc>
      </w:tr>
      <w:tr w14:paraId="2498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38" w:type="dxa"/>
            <w:gridSpan w:val="2"/>
            <w:vAlign w:val="center"/>
          </w:tcPr>
          <w:p w14:paraId="59293FF7">
            <w:pPr>
              <w:spacing w:line="360" w:lineRule="auto"/>
              <w:jc w:val="center"/>
              <w:rPr>
                <w:rFonts w:ascii="Times New Roman" w:hAnsi="Times New Roman" w:eastAsia="仿宋"/>
                <w:sz w:val="24"/>
                <w:szCs w:val="24"/>
              </w:rPr>
            </w:pPr>
            <w:r>
              <w:rPr>
                <w:rFonts w:ascii="Times New Roman" w:hAnsi="Times New Roman" w:eastAsia="仿宋"/>
                <w:sz w:val="24"/>
                <w:szCs w:val="24"/>
              </w:rPr>
              <w:t>单台行走范围</w:t>
            </w:r>
          </w:p>
        </w:tc>
        <w:tc>
          <w:tcPr>
            <w:tcW w:w="2055" w:type="dxa"/>
            <w:gridSpan w:val="2"/>
            <w:vAlign w:val="center"/>
          </w:tcPr>
          <w:p w14:paraId="2AF9BD4E">
            <w:pPr>
              <w:spacing w:line="360" w:lineRule="auto"/>
              <w:jc w:val="center"/>
              <w:rPr>
                <w:rFonts w:ascii="Times New Roman" w:hAnsi="Times New Roman" w:eastAsia="仿宋"/>
                <w:sz w:val="24"/>
                <w:szCs w:val="24"/>
              </w:rPr>
            </w:pPr>
            <w:r>
              <w:rPr>
                <w:rFonts w:hint="eastAsia" w:ascii="Times New Roman" w:hAnsi="Times New Roman" w:eastAsia="仿宋"/>
                <w:sz w:val="24"/>
                <w:szCs w:val="24"/>
              </w:rPr>
              <w:t>按</w:t>
            </w:r>
            <w:r>
              <w:rPr>
                <w:rFonts w:ascii="Times New Roman" w:hAnsi="Times New Roman" w:eastAsia="仿宋"/>
                <w:sz w:val="24"/>
                <w:szCs w:val="24"/>
              </w:rPr>
              <w:t>设计</w:t>
            </w:r>
          </w:p>
        </w:tc>
        <w:tc>
          <w:tcPr>
            <w:tcW w:w="2295" w:type="dxa"/>
            <w:vAlign w:val="center"/>
          </w:tcPr>
          <w:p w14:paraId="7929B959">
            <w:pPr>
              <w:spacing w:line="360" w:lineRule="auto"/>
              <w:jc w:val="center"/>
              <w:rPr>
                <w:rFonts w:ascii="Times New Roman" w:hAnsi="Times New Roman" w:eastAsia="仿宋"/>
                <w:sz w:val="24"/>
                <w:szCs w:val="24"/>
              </w:rPr>
            </w:pPr>
            <w:r>
              <w:rPr>
                <w:rFonts w:ascii="Times New Roman" w:hAnsi="Times New Roman" w:eastAsia="仿宋"/>
                <w:sz w:val="24"/>
                <w:szCs w:val="24"/>
              </w:rPr>
              <w:t>设备角度</w:t>
            </w:r>
          </w:p>
        </w:tc>
        <w:tc>
          <w:tcPr>
            <w:tcW w:w="2950" w:type="dxa"/>
            <w:vAlign w:val="center"/>
          </w:tcPr>
          <w:p w14:paraId="02C780B8">
            <w:pPr>
              <w:spacing w:line="360" w:lineRule="auto"/>
              <w:jc w:val="center"/>
              <w:rPr>
                <w:rFonts w:ascii="Times New Roman" w:hAnsi="Times New Roman" w:eastAsia="仿宋"/>
                <w:sz w:val="24"/>
                <w:szCs w:val="24"/>
              </w:rPr>
            </w:pPr>
            <w:r>
              <w:rPr>
                <w:rFonts w:ascii="Times New Roman" w:hAnsi="Times New Roman" w:eastAsia="仿宋"/>
                <w:sz w:val="24"/>
                <w:szCs w:val="24"/>
              </w:rPr>
              <w:t>0°</w:t>
            </w:r>
          </w:p>
        </w:tc>
      </w:tr>
      <w:tr w14:paraId="5EAD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38" w:type="dxa"/>
            <w:gridSpan w:val="2"/>
            <w:vAlign w:val="center"/>
          </w:tcPr>
          <w:p w14:paraId="35A8FD8A">
            <w:pPr>
              <w:spacing w:line="360" w:lineRule="auto"/>
              <w:jc w:val="center"/>
              <w:rPr>
                <w:rFonts w:ascii="Times New Roman" w:hAnsi="Times New Roman" w:eastAsia="仿宋"/>
                <w:sz w:val="24"/>
                <w:szCs w:val="24"/>
              </w:rPr>
            </w:pPr>
            <w:r>
              <w:rPr>
                <w:rFonts w:ascii="Times New Roman" w:hAnsi="Times New Roman" w:eastAsia="仿宋"/>
                <w:sz w:val="24"/>
                <w:szCs w:val="24"/>
              </w:rPr>
              <w:t>主电机</w:t>
            </w:r>
          </w:p>
        </w:tc>
        <w:tc>
          <w:tcPr>
            <w:tcW w:w="2055" w:type="dxa"/>
            <w:gridSpan w:val="2"/>
            <w:vAlign w:val="center"/>
          </w:tcPr>
          <w:p w14:paraId="48172B3F">
            <w:pPr>
              <w:spacing w:line="360" w:lineRule="auto"/>
              <w:ind w:firstLine="480" w:firstLineChars="200"/>
              <w:rPr>
                <w:rFonts w:ascii="Times New Roman" w:hAnsi="Times New Roman" w:eastAsia="仿宋"/>
                <w:sz w:val="24"/>
                <w:szCs w:val="24"/>
              </w:rPr>
            </w:pPr>
            <w:r>
              <w:rPr>
                <w:rFonts w:hint="eastAsia" w:ascii="Times New Roman" w:hAnsi="Times New Roman" w:eastAsia="仿宋"/>
                <w:sz w:val="24"/>
                <w:szCs w:val="24"/>
              </w:rPr>
              <w:t>按</w:t>
            </w:r>
            <w:r>
              <w:rPr>
                <w:rFonts w:ascii="Times New Roman" w:hAnsi="Times New Roman" w:eastAsia="仿宋"/>
                <w:sz w:val="24"/>
                <w:szCs w:val="24"/>
              </w:rPr>
              <w:t>设计</w:t>
            </w:r>
          </w:p>
        </w:tc>
        <w:tc>
          <w:tcPr>
            <w:tcW w:w="2295" w:type="dxa"/>
            <w:vAlign w:val="center"/>
          </w:tcPr>
          <w:p w14:paraId="1020709C">
            <w:pPr>
              <w:spacing w:line="360" w:lineRule="auto"/>
              <w:jc w:val="center"/>
              <w:rPr>
                <w:rFonts w:ascii="Times New Roman" w:hAnsi="Times New Roman" w:eastAsia="仿宋"/>
                <w:sz w:val="24"/>
                <w:szCs w:val="24"/>
              </w:rPr>
            </w:pPr>
            <w:r>
              <w:rPr>
                <w:rFonts w:ascii="Times New Roman" w:hAnsi="Times New Roman" w:eastAsia="仿宋"/>
                <w:sz w:val="24"/>
                <w:szCs w:val="24"/>
              </w:rPr>
              <w:t>行走电机</w:t>
            </w:r>
          </w:p>
        </w:tc>
        <w:tc>
          <w:tcPr>
            <w:tcW w:w="2950" w:type="dxa"/>
            <w:vAlign w:val="center"/>
          </w:tcPr>
          <w:p w14:paraId="3EFB0552">
            <w:pPr>
              <w:spacing w:line="360" w:lineRule="auto"/>
              <w:jc w:val="center"/>
              <w:rPr>
                <w:rFonts w:ascii="Times New Roman" w:hAnsi="Times New Roman" w:eastAsia="仿宋"/>
                <w:sz w:val="24"/>
                <w:szCs w:val="24"/>
              </w:rPr>
            </w:pPr>
          </w:p>
        </w:tc>
      </w:tr>
      <w:tr w14:paraId="0E7FA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38" w:type="dxa"/>
            <w:gridSpan w:val="2"/>
            <w:vAlign w:val="center"/>
          </w:tcPr>
          <w:p w14:paraId="75ECDAF3">
            <w:pPr>
              <w:spacing w:line="360" w:lineRule="auto"/>
              <w:jc w:val="center"/>
              <w:rPr>
                <w:rFonts w:ascii="Times New Roman" w:hAnsi="Times New Roman" w:eastAsia="仿宋"/>
                <w:sz w:val="24"/>
                <w:szCs w:val="24"/>
              </w:rPr>
            </w:pPr>
            <w:r>
              <w:rPr>
                <w:rFonts w:ascii="Times New Roman" w:hAnsi="Times New Roman" w:eastAsia="仿宋"/>
                <w:sz w:val="24"/>
                <w:szCs w:val="24"/>
              </w:rPr>
              <w:t>设备重量</w:t>
            </w:r>
          </w:p>
        </w:tc>
        <w:tc>
          <w:tcPr>
            <w:tcW w:w="2055" w:type="dxa"/>
            <w:gridSpan w:val="2"/>
            <w:vAlign w:val="center"/>
          </w:tcPr>
          <w:p w14:paraId="0FE6E6FE">
            <w:pPr>
              <w:spacing w:line="360" w:lineRule="auto"/>
              <w:jc w:val="center"/>
              <w:rPr>
                <w:rFonts w:ascii="Times New Roman" w:hAnsi="Times New Roman" w:eastAsia="仿宋"/>
                <w:sz w:val="24"/>
                <w:szCs w:val="24"/>
              </w:rPr>
            </w:pPr>
            <w:r>
              <w:rPr>
                <w:rFonts w:hint="eastAsia" w:ascii="Times New Roman" w:hAnsi="Times New Roman" w:eastAsia="仿宋"/>
                <w:sz w:val="24"/>
                <w:szCs w:val="24"/>
              </w:rPr>
              <w:t>按</w:t>
            </w:r>
            <w:r>
              <w:rPr>
                <w:rFonts w:ascii="Times New Roman" w:hAnsi="Times New Roman" w:eastAsia="仿宋"/>
                <w:sz w:val="24"/>
                <w:szCs w:val="24"/>
              </w:rPr>
              <w:t>设计</w:t>
            </w:r>
          </w:p>
        </w:tc>
        <w:tc>
          <w:tcPr>
            <w:tcW w:w="2295" w:type="dxa"/>
            <w:vAlign w:val="center"/>
          </w:tcPr>
          <w:p w14:paraId="3A831DBF">
            <w:pPr>
              <w:spacing w:line="360" w:lineRule="auto"/>
              <w:jc w:val="center"/>
              <w:rPr>
                <w:rFonts w:ascii="Times New Roman" w:hAnsi="Times New Roman" w:eastAsia="仿宋"/>
                <w:sz w:val="24"/>
                <w:szCs w:val="24"/>
              </w:rPr>
            </w:pPr>
          </w:p>
        </w:tc>
        <w:tc>
          <w:tcPr>
            <w:tcW w:w="2950" w:type="dxa"/>
            <w:vAlign w:val="center"/>
          </w:tcPr>
          <w:p w14:paraId="4C6C72B6">
            <w:pPr>
              <w:spacing w:line="360" w:lineRule="auto"/>
              <w:jc w:val="center"/>
              <w:rPr>
                <w:rFonts w:ascii="Times New Roman" w:hAnsi="Times New Roman" w:eastAsia="仿宋"/>
                <w:sz w:val="24"/>
                <w:szCs w:val="24"/>
              </w:rPr>
            </w:pPr>
          </w:p>
        </w:tc>
      </w:tr>
      <w:tr w14:paraId="0ED1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8" w:type="dxa"/>
            <w:gridSpan w:val="6"/>
            <w:vAlign w:val="center"/>
          </w:tcPr>
          <w:p w14:paraId="3BA0E0A2">
            <w:pPr>
              <w:spacing w:line="360" w:lineRule="auto"/>
              <w:jc w:val="center"/>
              <w:rPr>
                <w:rFonts w:ascii="Times New Roman" w:hAnsi="Times New Roman" w:eastAsia="仿宋"/>
                <w:b/>
                <w:bCs/>
                <w:sz w:val="24"/>
                <w:szCs w:val="24"/>
              </w:rPr>
            </w:pPr>
            <w:r>
              <w:rPr>
                <w:rFonts w:ascii="Times New Roman" w:hAnsi="Times New Roman" w:eastAsia="仿宋"/>
                <w:b/>
                <w:bCs/>
                <w:sz w:val="24"/>
                <w:szCs w:val="24"/>
              </w:rPr>
              <w:t>单台设备关键件描述</w:t>
            </w:r>
          </w:p>
        </w:tc>
      </w:tr>
      <w:tr w14:paraId="7490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40D0236B">
            <w:pPr>
              <w:spacing w:line="360" w:lineRule="auto"/>
              <w:jc w:val="center"/>
              <w:rPr>
                <w:rFonts w:ascii="Times New Roman" w:hAnsi="Times New Roman" w:eastAsia="仿宋"/>
                <w:b/>
                <w:bCs/>
                <w:sz w:val="24"/>
                <w:szCs w:val="24"/>
              </w:rPr>
            </w:pPr>
            <w:r>
              <w:rPr>
                <w:rFonts w:ascii="Times New Roman" w:hAnsi="Times New Roman" w:eastAsia="仿宋"/>
                <w:b/>
                <w:bCs/>
                <w:sz w:val="24"/>
                <w:szCs w:val="24"/>
              </w:rPr>
              <w:t>序号</w:t>
            </w:r>
          </w:p>
        </w:tc>
        <w:tc>
          <w:tcPr>
            <w:tcW w:w="2205" w:type="dxa"/>
            <w:gridSpan w:val="2"/>
            <w:vAlign w:val="center"/>
          </w:tcPr>
          <w:p w14:paraId="14C3C06F">
            <w:pPr>
              <w:spacing w:line="360" w:lineRule="auto"/>
              <w:jc w:val="center"/>
              <w:rPr>
                <w:rFonts w:ascii="Times New Roman" w:hAnsi="Times New Roman" w:eastAsia="仿宋"/>
                <w:b/>
                <w:bCs/>
                <w:sz w:val="24"/>
                <w:szCs w:val="24"/>
              </w:rPr>
            </w:pPr>
            <w:r>
              <w:rPr>
                <w:rFonts w:ascii="Times New Roman" w:hAnsi="Times New Roman" w:eastAsia="仿宋"/>
                <w:b/>
                <w:bCs/>
                <w:sz w:val="24"/>
                <w:szCs w:val="24"/>
              </w:rPr>
              <w:t>名称</w:t>
            </w:r>
          </w:p>
        </w:tc>
        <w:tc>
          <w:tcPr>
            <w:tcW w:w="3229" w:type="dxa"/>
            <w:gridSpan w:val="2"/>
            <w:vAlign w:val="center"/>
          </w:tcPr>
          <w:p w14:paraId="5D489509">
            <w:pPr>
              <w:spacing w:line="360" w:lineRule="auto"/>
              <w:jc w:val="center"/>
              <w:rPr>
                <w:rFonts w:ascii="Times New Roman" w:hAnsi="Times New Roman" w:eastAsia="仿宋"/>
                <w:b/>
                <w:bCs/>
                <w:sz w:val="24"/>
                <w:szCs w:val="24"/>
              </w:rPr>
            </w:pPr>
            <w:r>
              <w:rPr>
                <w:rFonts w:ascii="Times New Roman" w:hAnsi="Times New Roman" w:eastAsia="仿宋"/>
                <w:b/>
                <w:bCs/>
                <w:sz w:val="24"/>
                <w:szCs w:val="24"/>
              </w:rPr>
              <w:t>规格型号</w:t>
            </w:r>
          </w:p>
        </w:tc>
        <w:tc>
          <w:tcPr>
            <w:tcW w:w="2950" w:type="dxa"/>
            <w:vAlign w:val="center"/>
          </w:tcPr>
          <w:p w14:paraId="2634688C">
            <w:pPr>
              <w:spacing w:line="360" w:lineRule="auto"/>
              <w:jc w:val="center"/>
              <w:rPr>
                <w:rFonts w:ascii="Times New Roman" w:hAnsi="Times New Roman" w:eastAsia="仿宋"/>
                <w:b/>
                <w:bCs/>
                <w:sz w:val="24"/>
                <w:szCs w:val="24"/>
              </w:rPr>
            </w:pPr>
            <w:r>
              <w:rPr>
                <w:rFonts w:ascii="Times New Roman" w:hAnsi="Times New Roman" w:eastAsia="仿宋"/>
                <w:b/>
                <w:bCs/>
                <w:sz w:val="24"/>
                <w:szCs w:val="24"/>
              </w:rPr>
              <w:t>备注</w:t>
            </w:r>
          </w:p>
        </w:tc>
      </w:tr>
      <w:tr w14:paraId="17A2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4C693CE3">
            <w:pPr>
              <w:spacing w:line="360" w:lineRule="auto"/>
              <w:jc w:val="center"/>
              <w:rPr>
                <w:rFonts w:ascii="Times New Roman" w:hAnsi="Times New Roman" w:eastAsia="仿宋"/>
                <w:sz w:val="24"/>
                <w:szCs w:val="24"/>
              </w:rPr>
            </w:pPr>
            <w:r>
              <w:rPr>
                <w:rFonts w:ascii="Times New Roman" w:hAnsi="Times New Roman" w:eastAsia="仿宋"/>
                <w:sz w:val="24"/>
                <w:szCs w:val="24"/>
              </w:rPr>
              <w:t>1</w:t>
            </w:r>
          </w:p>
        </w:tc>
        <w:tc>
          <w:tcPr>
            <w:tcW w:w="2205" w:type="dxa"/>
            <w:gridSpan w:val="2"/>
            <w:vAlign w:val="center"/>
          </w:tcPr>
          <w:p w14:paraId="1E52656A">
            <w:pPr>
              <w:spacing w:line="360" w:lineRule="auto"/>
              <w:jc w:val="center"/>
              <w:rPr>
                <w:rFonts w:ascii="Times New Roman" w:hAnsi="Times New Roman" w:eastAsia="仿宋"/>
                <w:sz w:val="24"/>
                <w:szCs w:val="24"/>
              </w:rPr>
            </w:pPr>
            <w:r>
              <w:rPr>
                <w:rFonts w:ascii="Times New Roman" w:hAnsi="Times New Roman" w:eastAsia="仿宋"/>
                <w:sz w:val="24"/>
                <w:szCs w:val="24"/>
              </w:rPr>
              <w:t>主电机</w:t>
            </w:r>
          </w:p>
        </w:tc>
        <w:tc>
          <w:tcPr>
            <w:tcW w:w="3229" w:type="dxa"/>
            <w:gridSpan w:val="2"/>
            <w:vAlign w:val="center"/>
          </w:tcPr>
          <w:p w14:paraId="796017E2">
            <w:pPr>
              <w:spacing w:line="360" w:lineRule="auto"/>
              <w:jc w:val="center"/>
              <w:rPr>
                <w:rFonts w:ascii="Times New Roman" w:hAnsi="Times New Roman" w:eastAsia="仿宋"/>
                <w:sz w:val="24"/>
                <w:szCs w:val="24"/>
              </w:rPr>
            </w:pPr>
            <w:r>
              <w:rPr>
                <w:rFonts w:hint="eastAsia" w:ascii="Times New Roman" w:hAnsi="Times New Roman" w:eastAsia="仿宋"/>
                <w:sz w:val="24"/>
                <w:szCs w:val="24"/>
              </w:rPr>
              <w:t>按设计</w:t>
            </w:r>
          </w:p>
        </w:tc>
        <w:tc>
          <w:tcPr>
            <w:tcW w:w="2950" w:type="dxa"/>
            <w:vAlign w:val="center"/>
          </w:tcPr>
          <w:p w14:paraId="64B4D441">
            <w:pPr>
              <w:spacing w:line="360" w:lineRule="auto"/>
              <w:jc w:val="center"/>
              <w:rPr>
                <w:rFonts w:ascii="Times New Roman" w:hAnsi="Times New Roman" w:eastAsia="仿宋"/>
                <w:sz w:val="24"/>
                <w:szCs w:val="24"/>
              </w:rPr>
            </w:pPr>
            <w:r>
              <w:rPr>
                <w:rFonts w:ascii="Times New Roman" w:hAnsi="Times New Roman" w:eastAsia="仿宋"/>
                <w:sz w:val="24"/>
                <w:szCs w:val="24"/>
              </w:rPr>
              <w:t>变频受电采用柔性电缆</w:t>
            </w:r>
          </w:p>
        </w:tc>
      </w:tr>
      <w:tr w14:paraId="156D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2A677347">
            <w:pPr>
              <w:spacing w:line="360" w:lineRule="auto"/>
              <w:jc w:val="center"/>
              <w:rPr>
                <w:rFonts w:ascii="Times New Roman" w:hAnsi="Times New Roman" w:eastAsia="仿宋"/>
                <w:sz w:val="24"/>
                <w:szCs w:val="24"/>
              </w:rPr>
            </w:pPr>
            <w:r>
              <w:rPr>
                <w:rFonts w:ascii="Times New Roman" w:hAnsi="Times New Roman" w:eastAsia="仿宋"/>
                <w:sz w:val="24"/>
                <w:szCs w:val="24"/>
              </w:rPr>
              <w:t>2</w:t>
            </w:r>
          </w:p>
        </w:tc>
        <w:tc>
          <w:tcPr>
            <w:tcW w:w="2205" w:type="dxa"/>
            <w:gridSpan w:val="2"/>
            <w:vAlign w:val="center"/>
          </w:tcPr>
          <w:p w14:paraId="479EE62A">
            <w:pPr>
              <w:spacing w:line="360" w:lineRule="auto"/>
              <w:jc w:val="center"/>
              <w:rPr>
                <w:rFonts w:ascii="Times New Roman" w:hAnsi="Times New Roman" w:eastAsia="仿宋"/>
                <w:sz w:val="24"/>
                <w:szCs w:val="24"/>
              </w:rPr>
            </w:pPr>
            <w:r>
              <w:rPr>
                <w:rFonts w:ascii="Times New Roman" w:hAnsi="Times New Roman" w:eastAsia="仿宋"/>
                <w:sz w:val="24"/>
                <w:szCs w:val="24"/>
              </w:rPr>
              <w:t>减速机</w:t>
            </w:r>
          </w:p>
        </w:tc>
        <w:tc>
          <w:tcPr>
            <w:tcW w:w="3229" w:type="dxa"/>
            <w:gridSpan w:val="2"/>
            <w:vAlign w:val="center"/>
          </w:tcPr>
          <w:p w14:paraId="5D57328A">
            <w:pPr>
              <w:spacing w:line="360" w:lineRule="auto"/>
              <w:jc w:val="center"/>
              <w:rPr>
                <w:rFonts w:ascii="Times New Roman" w:hAnsi="Times New Roman" w:eastAsia="仿宋"/>
                <w:sz w:val="24"/>
                <w:szCs w:val="24"/>
              </w:rPr>
            </w:pPr>
            <w:r>
              <w:rPr>
                <w:rFonts w:ascii="Times New Roman" w:hAnsi="Times New Roman" w:eastAsia="仿宋"/>
                <w:sz w:val="24"/>
                <w:szCs w:val="24"/>
              </w:rPr>
              <w:t>组件</w:t>
            </w:r>
          </w:p>
        </w:tc>
        <w:tc>
          <w:tcPr>
            <w:tcW w:w="2950" w:type="dxa"/>
            <w:vAlign w:val="center"/>
          </w:tcPr>
          <w:p w14:paraId="6CA49D21">
            <w:pPr>
              <w:spacing w:line="360" w:lineRule="auto"/>
              <w:jc w:val="center"/>
              <w:rPr>
                <w:rFonts w:ascii="Times New Roman" w:hAnsi="Times New Roman" w:eastAsia="仿宋"/>
                <w:sz w:val="24"/>
                <w:szCs w:val="24"/>
              </w:rPr>
            </w:pPr>
            <w:r>
              <w:rPr>
                <w:rFonts w:ascii="Times New Roman" w:hAnsi="Times New Roman" w:eastAsia="仿宋"/>
                <w:sz w:val="24"/>
                <w:szCs w:val="24"/>
              </w:rPr>
              <w:t>SEW、FLENDER</w:t>
            </w:r>
            <w:r>
              <w:rPr>
                <w:rFonts w:hint="eastAsia" w:ascii="Times New Roman" w:hAnsi="Times New Roman" w:eastAsia="仿宋"/>
                <w:sz w:val="24"/>
                <w:szCs w:val="24"/>
              </w:rPr>
              <w:t>、库迈拉、 住友等品牌</w:t>
            </w:r>
          </w:p>
        </w:tc>
      </w:tr>
      <w:tr w14:paraId="5A561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36A09C20">
            <w:pPr>
              <w:spacing w:line="360" w:lineRule="auto"/>
              <w:jc w:val="center"/>
              <w:rPr>
                <w:rFonts w:ascii="Times New Roman" w:hAnsi="Times New Roman" w:eastAsia="仿宋"/>
                <w:sz w:val="24"/>
                <w:szCs w:val="24"/>
              </w:rPr>
            </w:pPr>
            <w:r>
              <w:rPr>
                <w:rFonts w:ascii="Times New Roman" w:hAnsi="Times New Roman" w:eastAsia="仿宋"/>
                <w:sz w:val="24"/>
                <w:szCs w:val="24"/>
              </w:rPr>
              <w:t>3</w:t>
            </w:r>
          </w:p>
        </w:tc>
        <w:tc>
          <w:tcPr>
            <w:tcW w:w="2205" w:type="dxa"/>
            <w:gridSpan w:val="2"/>
            <w:vAlign w:val="center"/>
          </w:tcPr>
          <w:p w14:paraId="6D2054BD">
            <w:pPr>
              <w:spacing w:line="360" w:lineRule="auto"/>
              <w:jc w:val="center"/>
              <w:rPr>
                <w:rFonts w:ascii="Times New Roman" w:hAnsi="Times New Roman" w:eastAsia="仿宋"/>
                <w:sz w:val="24"/>
                <w:szCs w:val="24"/>
              </w:rPr>
            </w:pPr>
            <w:r>
              <w:rPr>
                <w:rFonts w:ascii="Times New Roman" w:hAnsi="Times New Roman" w:eastAsia="仿宋"/>
                <w:sz w:val="24"/>
                <w:szCs w:val="24"/>
              </w:rPr>
              <w:t>行走减速电机</w:t>
            </w:r>
          </w:p>
        </w:tc>
        <w:tc>
          <w:tcPr>
            <w:tcW w:w="3229" w:type="dxa"/>
            <w:gridSpan w:val="2"/>
            <w:vAlign w:val="center"/>
          </w:tcPr>
          <w:p w14:paraId="7400AD9E">
            <w:pPr>
              <w:spacing w:line="360" w:lineRule="auto"/>
              <w:jc w:val="center"/>
              <w:rPr>
                <w:rFonts w:ascii="Times New Roman" w:hAnsi="Times New Roman" w:eastAsia="仿宋"/>
                <w:sz w:val="24"/>
                <w:szCs w:val="24"/>
              </w:rPr>
            </w:pPr>
            <w:r>
              <w:rPr>
                <w:rFonts w:hint="eastAsia" w:ascii="Times New Roman" w:hAnsi="Times New Roman" w:eastAsia="仿宋"/>
                <w:sz w:val="24"/>
                <w:szCs w:val="24"/>
              </w:rPr>
              <w:t>按设计</w:t>
            </w:r>
          </w:p>
        </w:tc>
        <w:tc>
          <w:tcPr>
            <w:tcW w:w="2950" w:type="dxa"/>
            <w:vAlign w:val="center"/>
          </w:tcPr>
          <w:p w14:paraId="476360DD">
            <w:pPr>
              <w:spacing w:line="360" w:lineRule="auto"/>
              <w:jc w:val="center"/>
              <w:rPr>
                <w:rFonts w:ascii="Times New Roman" w:hAnsi="Times New Roman" w:eastAsia="仿宋"/>
                <w:sz w:val="24"/>
                <w:szCs w:val="24"/>
              </w:rPr>
            </w:pPr>
          </w:p>
        </w:tc>
      </w:tr>
      <w:tr w14:paraId="32F0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3AA8C415">
            <w:pPr>
              <w:spacing w:line="360" w:lineRule="auto"/>
              <w:jc w:val="center"/>
              <w:rPr>
                <w:rFonts w:ascii="Times New Roman" w:hAnsi="Times New Roman" w:eastAsia="仿宋"/>
                <w:sz w:val="24"/>
                <w:szCs w:val="24"/>
              </w:rPr>
            </w:pPr>
            <w:r>
              <w:rPr>
                <w:rFonts w:ascii="Times New Roman" w:hAnsi="Times New Roman" w:eastAsia="仿宋"/>
                <w:sz w:val="24"/>
                <w:szCs w:val="24"/>
              </w:rPr>
              <w:t>4</w:t>
            </w:r>
          </w:p>
        </w:tc>
        <w:tc>
          <w:tcPr>
            <w:tcW w:w="2205" w:type="dxa"/>
            <w:gridSpan w:val="2"/>
            <w:vAlign w:val="center"/>
          </w:tcPr>
          <w:p w14:paraId="1B5F816D">
            <w:pPr>
              <w:spacing w:line="360" w:lineRule="auto"/>
              <w:jc w:val="center"/>
              <w:rPr>
                <w:rFonts w:ascii="Times New Roman" w:hAnsi="Times New Roman" w:eastAsia="仿宋"/>
                <w:sz w:val="24"/>
                <w:szCs w:val="24"/>
              </w:rPr>
            </w:pPr>
            <w:r>
              <w:rPr>
                <w:rFonts w:ascii="Times New Roman" w:hAnsi="Times New Roman" w:eastAsia="仿宋"/>
                <w:sz w:val="24"/>
                <w:szCs w:val="24"/>
              </w:rPr>
              <w:t>驱动链轮</w:t>
            </w:r>
          </w:p>
        </w:tc>
        <w:tc>
          <w:tcPr>
            <w:tcW w:w="3229" w:type="dxa"/>
            <w:gridSpan w:val="2"/>
            <w:vAlign w:val="center"/>
          </w:tcPr>
          <w:p w14:paraId="3A0C3AAC">
            <w:pPr>
              <w:spacing w:line="360" w:lineRule="auto"/>
              <w:jc w:val="center"/>
              <w:rPr>
                <w:rFonts w:ascii="Times New Roman" w:hAnsi="Times New Roman" w:eastAsia="仿宋"/>
                <w:sz w:val="24"/>
                <w:szCs w:val="24"/>
              </w:rPr>
            </w:pPr>
            <w:r>
              <w:rPr>
                <w:rFonts w:ascii="Times New Roman" w:hAnsi="Times New Roman" w:eastAsia="仿宋"/>
                <w:sz w:val="24"/>
                <w:szCs w:val="24"/>
              </w:rPr>
              <w:t>组件</w:t>
            </w:r>
          </w:p>
        </w:tc>
        <w:tc>
          <w:tcPr>
            <w:tcW w:w="2950" w:type="dxa"/>
            <w:vAlign w:val="center"/>
          </w:tcPr>
          <w:p w14:paraId="21714903">
            <w:pPr>
              <w:spacing w:line="360" w:lineRule="auto"/>
              <w:jc w:val="center"/>
              <w:rPr>
                <w:rFonts w:ascii="Times New Roman" w:hAnsi="Times New Roman" w:eastAsia="仿宋"/>
                <w:sz w:val="24"/>
                <w:szCs w:val="24"/>
              </w:rPr>
            </w:pPr>
          </w:p>
        </w:tc>
      </w:tr>
      <w:tr w14:paraId="62E6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473AE236">
            <w:pPr>
              <w:spacing w:line="360" w:lineRule="auto"/>
              <w:jc w:val="center"/>
              <w:rPr>
                <w:rFonts w:ascii="Times New Roman" w:hAnsi="Times New Roman" w:eastAsia="仿宋"/>
                <w:sz w:val="24"/>
                <w:szCs w:val="24"/>
              </w:rPr>
            </w:pPr>
            <w:r>
              <w:rPr>
                <w:rFonts w:ascii="Times New Roman" w:hAnsi="Times New Roman" w:eastAsia="仿宋"/>
                <w:sz w:val="24"/>
                <w:szCs w:val="24"/>
              </w:rPr>
              <w:t>5</w:t>
            </w:r>
          </w:p>
        </w:tc>
        <w:tc>
          <w:tcPr>
            <w:tcW w:w="2205" w:type="dxa"/>
            <w:gridSpan w:val="2"/>
            <w:vAlign w:val="center"/>
          </w:tcPr>
          <w:p w14:paraId="57A8FA3C">
            <w:pPr>
              <w:spacing w:line="360" w:lineRule="auto"/>
              <w:jc w:val="center"/>
              <w:rPr>
                <w:rFonts w:ascii="Times New Roman" w:hAnsi="Times New Roman" w:eastAsia="仿宋"/>
                <w:sz w:val="24"/>
                <w:szCs w:val="24"/>
              </w:rPr>
            </w:pPr>
            <w:r>
              <w:rPr>
                <w:rFonts w:ascii="Times New Roman" w:hAnsi="Times New Roman" w:eastAsia="仿宋"/>
                <w:sz w:val="24"/>
                <w:szCs w:val="24"/>
              </w:rPr>
              <w:t>链条</w:t>
            </w:r>
          </w:p>
        </w:tc>
        <w:tc>
          <w:tcPr>
            <w:tcW w:w="3229" w:type="dxa"/>
            <w:gridSpan w:val="2"/>
            <w:vAlign w:val="center"/>
          </w:tcPr>
          <w:p w14:paraId="139AA36B">
            <w:pPr>
              <w:spacing w:line="360" w:lineRule="auto"/>
              <w:jc w:val="center"/>
              <w:rPr>
                <w:rFonts w:ascii="Times New Roman" w:hAnsi="Times New Roman" w:eastAsia="仿宋"/>
                <w:sz w:val="24"/>
                <w:szCs w:val="24"/>
              </w:rPr>
            </w:pPr>
            <w:r>
              <w:rPr>
                <w:rFonts w:ascii="Times New Roman" w:hAnsi="Times New Roman" w:eastAsia="仿宋"/>
                <w:sz w:val="24"/>
                <w:szCs w:val="24"/>
              </w:rPr>
              <w:t>组件</w:t>
            </w:r>
          </w:p>
        </w:tc>
        <w:tc>
          <w:tcPr>
            <w:tcW w:w="2950" w:type="dxa"/>
            <w:vAlign w:val="center"/>
          </w:tcPr>
          <w:p w14:paraId="49753D7E">
            <w:pPr>
              <w:spacing w:line="360" w:lineRule="auto"/>
              <w:jc w:val="center"/>
              <w:rPr>
                <w:rFonts w:ascii="Times New Roman" w:hAnsi="Times New Roman" w:eastAsia="仿宋"/>
                <w:sz w:val="24"/>
                <w:szCs w:val="24"/>
              </w:rPr>
            </w:pPr>
          </w:p>
        </w:tc>
      </w:tr>
      <w:tr w14:paraId="2D07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2E04DFA4">
            <w:pPr>
              <w:spacing w:line="360" w:lineRule="auto"/>
              <w:jc w:val="center"/>
              <w:rPr>
                <w:rFonts w:ascii="Times New Roman" w:hAnsi="Times New Roman" w:eastAsia="仿宋"/>
                <w:sz w:val="24"/>
                <w:szCs w:val="24"/>
              </w:rPr>
            </w:pPr>
            <w:r>
              <w:rPr>
                <w:rFonts w:ascii="Times New Roman" w:hAnsi="Times New Roman" w:eastAsia="仿宋"/>
                <w:sz w:val="24"/>
                <w:szCs w:val="24"/>
              </w:rPr>
              <w:t>6</w:t>
            </w:r>
          </w:p>
        </w:tc>
        <w:tc>
          <w:tcPr>
            <w:tcW w:w="2205" w:type="dxa"/>
            <w:gridSpan w:val="2"/>
            <w:vAlign w:val="center"/>
          </w:tcPr>
          <w:p w14:paraId="5596CD93">
            <w:pPr>
              <w:spacing w:line="360" w:lineRule="auto"/>
              <w:jc w:val="center"/>
              <w:rPr>
                <w:rFonts w:ascii="Times New Roman" w:hAnsi="Times New Roman" w:eastAsia="仿宋"/>
                <w:sz w:val="24"/>
                <w:szCs w:val="24"/>
              </w:rPr>
            </w:pPr>
            <w:r>
              <w:rPr>
                <w:rFonts w:ascii="Times New Roman" w:hAnsi="Times New Roman" w:eastAsia="仿宋"/>
                <w:sz w:val="24"/>
                <w:szCs w:val="24"/>
              </w:rPr>
              <w:t>螺旋轴</w:t>
            </w:r>
          </w:p>
        </w:tc>
        <w:tc>
          <w:tcPr>
            <w:tcW w:w="3229" w:type="dxa"/>
            <w:gridSpan w:val="2"/>
            <w:vAlign w:val="center"/>
          </w:tcPr>
          <w:p w14:paraId="2D822EF1">
            <w:pPr>
              <w:spacing w:line="360" w:lineRule="auto"/>
              <w:jc w:val="center"/>
              <w:rPr>
                <w:rFonts w:ascii="Times New Roman" w:hAnsi="Times New Roman" w:eastAsia="仿宋"/>
                <w:sz w:val="24"/>
                <w:szCs w:val="24"/>
              </w:rPr>
            </w:pPr>
            <w:r>
              <w:rPr>
                <w:rFonts w:ascii="Times New Roman" w:hAnsi="Times New Roman" w:eastAsia="仿宋"/>
                <w:sz w:val="24"/>
                <w:szCs w:val="24"/>
              </w:rPr>
              <w:t>20#或Q345钢</w:t>
            </w:r>
          </w:p>
        </w:tc>
        <w:tc>
          <w:tcPr>
            <w:tcW w:w="2950" w:type="dxa"/>
            <w:vAlign w:val="center"/>
          </w:tcPr>
          <w:p w14:paraId="2D058453">
            <w:pPr>
              <w:spacing w:line="360" w:lineRule="auto"/>
              <w:jc w:val="center"/>
              <w:rPr>
                <w:rFonts w:ascii="Times New Roman" w:hAnsi="Times New Roman" w:eastAsia="仿宋"/>
                <w:sz w:val="24"/>
                <w:szCs w:val="24"/>
              </w:rPr>
            </w:pPr>
          </w:p>
        </w:tc>
      </w:tr>
      <w:tr w14:paraId="41BE5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3BB97167">
            <w:pPr>
              <w:spacing w:line="360" w:lineRule="auto"/>
              <w:jc w:val="center"/>
              <w:rPr>
                <w:rFonts w:ascii="Times New Roman" w:hAnsi="Times New Roman" w:eastAsia="仿宋"/>
                <w:sz w:val="24"/>
                <w:szCs w:val="24"/>
              </w:rPr>
            </w:pPr>
            <w:r>
              <w:rPr>
                <w:rFonts w:ascii="Times New Roman" w:hAnsi="Times New Roman" w:eastAsia="仿宋"/>
                <w:sz w:val="24"/>
                <w:szCs w:val="24"/>
              </w:rPr>
              <w:t>7</w:t>
            </w:r>
          </w:p>
        </w:tc>
        <w:tc>
          <w:tcPr>
            <w:tcW w:w="2205" w:type="dxa"/>
            <w:gridSpan w:val="2"/>
            <w:vAlign w:val="center"/>
          </w:tcPr>
          <w:p w14:paraId="0B7C11EC">
            <w:pPr>
              <w:spacing w:line="360" w:lineRule="auto"/>
              <w:jc w:val="center"/>
              <w:rPr>
                <w:rFonts w:ascii="Times New Roman" w:hAnsi="Times New Roman" w:eastAsia="仿宋"/>
                <w:sz w:val="24"/>
                <w:szCs w:val="24"/>
              </w:rPr>
            </w:pPr>
            <w:r>
              <w:rPr>
                <w:rFonts w:ascii="Times New Roman" w:hAnsi="Times New Roman" w:eastAsia="仿宋"/>
                <w:sz w:val="24"/>
                <w:szCs w:val="24"/>
              </w:rPr>
              <w:t>螺旋叶片和齿牙</w:t>
            </w:r>
          </w:p>
        </w:tc>
        <w:tc>
          <w:tcPr>
            <w:tcW w:w="3229" w:type="dxa"/>
            <w:gridSpan w:val="2"/>
            <w:vAlign w:val="center"/>
          </w:tcPr>
          <w:p w14:paraId="1C259469">
            <w:pPr>
              <w:spacing w:line="360" w:lineRule="auto"/>
              <w:jc w:val="center"/>
              <w:rPr>
                <w:rFonts w:ascii="Times New Roman" w:hAnsi="Times New Roman" w:eastAsia="仿宋"/>
                <w:sz w:val="24"/>
                <w:szCs w:val="24"/>
              </w:rPr>
            </w:pPr>
            <w:r>
              <w:rPr>
                <w:rFonts w:ascii="Times New Roman" w:hAnsi="Times New Roman" w:eastAsia="仿宋"/>
                <w:sz w:val="24"/>
                <w:szCs w:val="24"/>
              </w:rPr>
              <w:t>叶片为耐磨材质，16mm</w:t>
            </w:r>
          </w:p>
        </w:tc>
        <w:tc>
          <w:tcPr>
            <w:tcW w:w="2950" w:type="dxa"/>
            <w:vAlign w:val="center"/>
          </w:tcPr>
          <w:p w14:paraId="347C4680">
            <w:pPr>
              <w:spacing w:line="360" w:lineRule="auto"/>
              <w:jc w:val="center"/>
              <w:rPr>
                <w:rFonts w:ascii="Times New Roman" w:hAnsi="Times New Roman" w:eastAsia="仿宋"/>
                <w:sz w:val="24"/>
                <w:szCs w:val="24"/>
              </w:rPr>
            </w:pPr>
            <w:r>
              <w:rPr>
                <w:rFonts w:ascii="Times New Roman" w:hAnsi="Times New Roman" w:eastAsia="仿宋"/>
                <w:sz w:val="24"/>
                <w:szCs w:val="24"/>
              </w:rPr>
              <w:t>堆焊耐磨层</w:t>
            </w:r>
          </w:p>
        </w:tc>
      </w:tr>
      <w:tr w14:paraId="79C6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60E0C3BC">
            <w:pPr>
              <w:spacing w:line="360" w:lineRule="auto"/>
              <w:jc w:val="center"/>
              <w:rPr>
                <w:rFonts w:ascii="Times New Roman" w:hAnsi="Times New Roman" w:eastAsia="仿宋"/>
                <w:sz w:val="24"/>
                <w:szCs w:val="24"/>
              </w:rPr>
            </w:pPr>
            <w:r>
              <w:rPr>
                <w:rFonts w:ascii="Times New Roman" w:hAnsi="Times New Roman" w:eastAsia="仿宋"/>
                <w:sz w:val="24"/>
                <w:szCs w:val="24"/>
              </w:rPr>
              <w:t>8</w:t>
            </w:r>
          </w:p>
        </w:tc>
        <w:tc>
          <w:tcPr>
            <w:tcW w:w="2205" w:type="dxa"/>
            <w:gridSpan w:val="2"/>
            <w:vAlign w:val="center"/>
          </w:tcPr>
          <w:p w14:paraId="5D92EA66">
            <w:pPr>
              <w:spacing w:line="360" w:lineRule="auto"/>
              <w:jc w:val="center"/>
              <w:rPr>
                <w:rFonts w:ascii="Times New Roman" w:hAnsi="Times New Roman" w:eastAsia="仿宋"/>
                <w:sz w:val="24"/>
                <w:szCs w:val="24"/>
              </w:rPr>
            </w:pPr>
            <w:r>
              <w:rPr>
                <w:rFonts w:ascii="Times New Roman" w:hAnsi="Times New Roman" w:eastAsia="仿宋"/>
                <w:sz w:val="24"/>
                <w:szCs w:val="24"/>
              </w:rPr>
              <w:t>主轴承</w:t>
            </w:r>
          </w:p>
        </w:tc>
        <w:tc>
          <w:tcPr>
            <w:tcW w:w="3229" w:type="dxa"/>
            <w:gridSpan w:val="2"/>
            <w:vAlign w:val="center"/>
          </w:tcPr>
          <w:p w14:paraId="29E78E6E">
            <w:pPr>
              <w:spacing w:line="360" w:lineRule="auto"/>
              <w:jc w:val="center"/>
              <w:rPr>
                <w:rFonts w:ascii="Times New Roman" w:hAnsi="Times New Roman" w:eastAsia="仿宋"/>
                <w:sz w:val="24"/>
                <w:szCs w:val="24"/>
              </w:rPr>
            </w:pPr>
            <w:r>
              <w:rPr>
                <w:rFonts w:ascii="Times New Roman" w:hAnsi="Times New Roman" w:eastAsia="仿宋"/>
                <w:sz w:val="24"/>
                <w:szCs w:val="24"/>
              </w:rPr>
              <w:t>组件 SKF/FAG</w:t>
            </w:r>
          </w:p>
        </w:tc>
        <w:tc>
          <w:tcPr>
            <w:tcW w:w="2950" w:type="dxa"/>
            <w:vAlign w:val="center"/>
          </w:tcPr>
          <w:p w14:paraId="657E4F6B">
            <w:pPr>
              <w:spacing w:line="360" w:lineRule="auto"/>
              <w:jc w:val="center"/>
              <w:rPr>
                <w:rFonts w:ascii="Times New Roman" w:hAnsi="Times New Roman" w:eastAsia="仿宋"/>
                <w:sz w:val="24"/>
                <w:szCs w:val="24"/>
              </w:rPr>
            </w:pPr>
          </w:p>
        </w:tc>
      </w:tr>
      <w:tr w14:paraId="198F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64BB3008">
            <w:pPr>
              <w:spacing w:line="360" w:lineRule="auto"/>
              <w:jc w:val="center"/>
              <w:rPr>
                <w:rFonts w:ascii="Times New Roman" w:hAnsi="Times New Roman" w:eastAsia="仿宋"/>
                <w:sz w:val="24"/>
                <w:szCs w:val="24"/>
              </w:rPr>
            </w:pPr>
            <w:r>
              <w:rPr>
                <w:rFonts w:ascii="Times New Roman" w:hAnsi="Times New Roman" w:eastAsia="仿宋"/>
                <w:sz w:val="24"/>
                <w:szCs w:val="24"/>
              </w:rPr>
              <w:t>9</w:t>
            </w:r>
          </w:p>
        </w:tc>
        <w:tc>
          <w:tcPr>
            <w:tcW w:w="2205" w:type="dxa"/>
            <w:gridSpan w:val="2"/>
            <w:vAlign w:val="center"/>
          </w:tcPr>
          <w:p w14:paraId="334E1545">
            <w:pPr>
              <w:spacing w:line="360" w:lineRule="auto"/>
              <w:jc w:val="center"/>
              <w:rPr>
                <w:rFonts w:ascii="Times New Roman" w:hAnsi="Times New Roman" w:eastAsia="仿宋"/>
                <w:sz w:val="24"/>
                <w:szCs w:val="24"/>
              </w:rPr>
            </w:pPr>
            <w:r>
              <w:rPr>
                <w:rFonts w:ascii="Times New Roman" w:hAnsi="Times New Roman" w:eastAsia="仿宋"/>
                <w:sz w:val="24"/>
                <w:szCs w:val="24"/>
              </w:rPr>
              <w:t>驱动侧行走支座</w:t>
            </w:r>
          </w:p>
        </w:tc>
        <w:tc>
          <w:tcPr>
            <w:tcW w:w="3229" w:type="dxa"/>
            <w:gridSpan w:val="2"/>
            <w:vAlign w:val="center"/>
          </w:tcPr>
          <w:p w14:paraId="3E027D07">
            <w:pPr>
              <w:spacing w:line="360" w:lineRule="auto"/>
              <w:jc w:val="center"/>
              <w:rPr>
                <w:rFonts w:ascii="Times New Roman" w:hAnsi="Times New Roman" w:eastAsia="仿宋"/>
                <w:sz w:val="24"/>
                <w:szCs w:val="24"/>
              </w:rPr>
            </w:pPr>
            <w:r>
              <w:rPr>
                <w:rFonts w:ascii="Times New Roman" w:hAnsi="Times New Roman" w:eastAsia="仿宋"/>
                <w:sz w:val="24"/>
                <w:szCs w:val="24"/>
              </w:rPr>
              <w:t>Q235组件</w:t>
            </w:r>
          </w:p>
        </w:tc>
        <w:tc>
          <w:tcPr>
            <w:tcW w:w="2950" w:type="dxa"/>
            <w:vAlign w:val="center"/>
          </w:tcPr>
          <w:p w14:paraId="2305D836">
            <w:pPr>
              <w:spacing w:line="360" w:lineRule="auto"/>
              <w:jc w:val="center"/>
              <w:rPr>
                <w:rFonts w:ascii="Times New Roman" w:hAnsi="Times New Roman" w:eastAsia="仿宋"/>
                <w:sz w:val="24"/>
                <w:szCs w:val="24"/>
              </w:rPr>
            </w:pPr>
          </w:p>
        </w:tc>
      </w:tr>
      <w:tr w14:paraId="42A3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17754656">
            <w:pPr>
              <w:spacing w:line="360" w:lineRule="auto"/>
              <w:jc w:val="center"/>
              <w:rPr>
                <w:rFonts w:ascii="Times New Roman" w:hAnsi="Times New Roman" w:eastAsia="仿宋"/>
                <w:sz w:val="24"/>
                <w:szCs w:val="24"/>
              </w:rPr>
            </w:pPr>
            <w:r>
              <w:rPr>
                <w:rFonts w:ascii="Times New Roman" w:hAnsi="Times New Roman" w:eastAsia="仿宋"/>
                <w:sz w:val="24"/>
                <w:szCs w:val="24"/>
              </w:rPr>
              <w:t>10</w:t>
            </w:r>
          </w:p>
        </w:tc>
        <w:tc>
          <w:tcPr>
            <w:tcW w:w="2205" w:type="dxa"/>
            <w:gridSpan w:val="2"/>
            <w:vAlign w:val="center"/>
          </w:tcPr>
          <w:p w14:paraId="3B2EECE3">
            <w:pPr>
              <w:spacing w:line="360" w:lineRule="auto"/>
              <w:jc w:val="center"/>
              <w:rPr>
                <w:rFonts w:ascii="Times New Roman" w:hAnsi="Times New Roman" w:eastAsia="仿宋"/>
                <w:sz w:val="24"/>
                <w:szCs w:val="24"/>
              </w:rPr>
            </w:pPr>
            <w:r>
              <w:rPr>
                <w:rFonts w:ascii="Times New Roman" w:hAnsi="Times New Roman" w:eastAsia="仿宋"/>
                <w:sz w:val="24"/>
                <w:szCs w:val="24"/>
              </w:rPr>
              <w:t>齿轮</w:t>
            </w:r>
          </w:p>
        </w:tc>
        <w:tc>
          <w:tcPr>
            <w:tcW w:w="3229" w:type="dxa"/>
            <w:gridSpan w:val="2"/>
            <w:vAlign w:val="center"/>
          </w:tcPr>
          <w:p w14:paraId="5AEE3E0D">
            <w:pPr>
              <w:spacing w:line="360" w:lineRule="auto"/>
              <w:jc w:val="center"/>
              <w:rPr>
                <w:rFonts w:ascii="Times New Roman" w:hAnsi="Times New Roman" w:eastAsia="仿宋"/>
                <w:sz w:val="24"/>
                <w:szCs w:val="24"/>
              </w:rPr>
            </w:pPr>
            <w:r>
              <w:rPr>
                <w:rFonts w:ascii="Times New Roman" w:hAnsi="Times New Roman" w:eastAsia="仿宋"/>
                <w:sz w:val="24"/>
                <w:szCs w:val="24"/>
              </w:rPr>
              <w:t>Q355组件</w:t>
            </w:r>
          </w:p>
        </w:tc>
        <w:tc>
          <w:tcPr>
            <w:tcW w:w="2950" w:type="dxa"/>
            <w:vAlign w:val="center"/>
          </w:tcPr>
          <w:p w14:paraId="01175479">
            <w:pPr>
              <w:spacing w:line="360" w:lineRule="auto"/>
              <w:jc w:val="center"/>
              <w:rPr>
                <w:rFonts w:ascii="Times New Roman" w:hAnsi="Times New Roman" w:eastAsia="仿宋"/>
                <w:sz w:val="24"/>
                <w:szCs w:val="24"/>
              </w:rPr>
            </w:pPr>
          </w:p>
        </w:tc>
      </w:tr>
      <w:tr w14:paraId="224D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4" w:type="dxa"/>
            <w:vAlign w:val="center"/>
          </w:tcPr>
          <w:p w14:paraId="7C2C5933">
            <w:pPr>
              <w:spacing w:line="360" w:lineRule="auto"/>
              <w:jc w:val="center"/>
              <w:rPr>
                <w:rFonts w:ascii="Times New Roman" w:hAnsi="Times New Roman" w:eastAsia="仿宋"/>
                <w:sz w:val="24"/>
                <w:szCs w:val="24"/>
              </w:rPr>
            </w:pPr>
            <w:r>
              <w:rPr>
                <w:rFonts w:ascii="Times New Roman" w:hAnsi="Times New Roman" w:eastAsia="仿宋"/>
                <w:sz w:val="24"/>
                <w:szCs w:val="24"/>
              </w:rPr>
              <w:t>11</w:t>
            </w:r>
          </w:p>
        </w:tc>
        <w:tc>
          <w:tcPr>
            <w:tcW w:w="2205" w:type="dxa"/>
            <w:gridSpan w:val="2"/>
            <w:vAlign w:val="center"/>
          </w:tcPr>
          <w:p w14:paraId="0600E211">
            <w:pPr>
              <w:spacing w:line="360" w:lineRule="auto"/>
              <w:jc w:val="center"/>
              <w:rPr>
                <w:rFonts w:ascii="Times New Roman" w:hAnsi="Times New Roman" w:eastAsia="仿宋"/>
                <w:sz w:val="24"/>
                <w:szCs w:val="24"/>
              </w:rPr>
            </w:pPr>
            <w:r>
              <w:rPr>
                <w:rFonts w:ascii="Times New Roman" w:hAnsi="Times New Roman" w:eastAsia="仿宋"/>
                <w:sz w:val="24"/>
                <w:szCs w:val="24"/>
              </w:rPr>
              <w:t>润滑系统</w:t>
            </w:r>
          </w:p>
        </w:tc>
        <w:tc>
          <w:tcPr>
            <w:tcW w:w="3229" w:type="dxa"/>
            <w:gridSpan w:val="2"/>
            <w:vAlign w:val="center"/>
          </w:tcPr>
          <w:p w14:paraId="077EC089">
            <w:pPr>
              <w:spacing w:line="360" w:lineRule="auto"/>
              <w:jc w:val="center"/>
              <w:rPr>
                <w:rFonts w:ascii="Times New Roman" w:hAnsi="Times New Roman" w:eastAsia="仿宋"/>
                <w:sz w:val="24"/>
                <w:szCs w:val="24"/>
              </w:rPr>
            </w:pPr>
            <w:r>
              <w:rPr>
                <w:rFonts w:ascii="Times New Roman" w:hAnsi="Times New Roman" w:eastAsia="仿宋"/>
                <w:sz w:val="24"/>
                <w:szCs w:val="24"/>
              </w:rPr>
              <w:t>组件</w:t>
            </w:r>
          </w:p>
        </w:tc>
        <w:tc>
          <w:tcPr>
            <w:tcW w:w="2950" w:type="dxa"/>
            <w:vAlign w:val="center"/>
          </w:tcPr>
          <w:p w14:paraId="7D990C81">
            <w:pPr>
              <w:spacing w:line="360" w:lineRule="auto"/>
              <w:jc w:val="center"/>
              <w:rPr>
                <w:rFonts w:ascii="Times New Roman" w:hAnsi="Times New Roman" w:eastAsia="仿宋"/>
                <w:sz w:val="24"/>
                <w:szCs w:val="24"/>
              </w:rPr>
            </w:pPr>
          </w:p>
        </w:tc>
      </w:tr>
      <w:tr w14:paraId="61A0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854" w:type="dxa"/>
            <w:vAlign w:val="center"/>
          </w:tcPr>
          <w:p w14:paraId="4CFF1203">
            <w:pPr>
              <w:spacing w:line="360" w:lineRule="auto"/>
              <w:jc w:val="center"/>
              <w:rPr>
                <w:rFonts w:ascii="Times New Roman" w:hAnsi="Times New Roman" w:eastAsia="仿宋"/>
                <w:sz w:val="24"/>
                <w:szCs w:val="24"/>
              </w:rPr>
            </w:pPr>
            <w:r>
              <w:rPr>
                <w:rFonts w:ascii="Times New Roman" w:hAnsi="Times New Roman" w:eastAsia="仿宋"/>
                <w:sz w:val="24"/>
                <w:szCs w:val="24"/>
              </w:rPr>
              <w:t>12</w:t>
            </w:r>
          </w:p>
        </w:tc>
        <w:tc>
          <w:tcPr>
            <w:tcW w:w="2205" w:type="dxa"/>
            <w:gridSpan w:val="2"/>
            <w:vAlign w:val="center"/>
          </w:tcPr>
          <w:p w14:paraId="3D14E10F">
            <w:pPr>
              <w:spacing w:line="360" w:lineRule="auto"/>
              <w:jc w:val="center"/>
              <w:rPr>
                <w:rFonts w:ascii="Times New Roman" w:hAnsi="Times New Roman" w:eastAsia="仿宋"/>
                <w:sz w:val="24"/>
                <w:szCs w:val="24"/>
              </w:rPr>
            </w:pPr>
            <w:r>
              <w:rPr>
                <w:rFonts w:ascii="Times New Roman" w:hAnsi="Times New Roman" w:eastAsia="仿宋"/>
                <w:sz w:val="24"/>
                <w:szCs w:val="24"/>
              </w:rPr>
              <w:t>零速开关</w:t>
            </w:r>
          </w:p>
        </w:tc>
        <w:tc>
          <w:tcPr>
            <w:tcW w:w="3229" w:type="dxa"/>
            <w:gridSpan w:val="2"/>
            <w:vAlign w:val="center"/>
          </w:tcPr>
          <w:p w14:paraId="3FFF25D6">
            <w:pPr>
              <w:spacing w:line="360" w:lineRule="auto"/>
              <w:jc w:val="center"/>
              <w:rPr>
                <w:rFonts w:ascii="Times New Roman" w:hAnsi="Times New Roman" w:eastAsia="仿宋"/>
                <w:sz w:val="24"/>
                <w:szCs w:val="24"/>
              </w:rPr>
            </w:pPr>
            <w:r>
              <w:rPr>
                <w:rFonts w:ascii="Times New Roman" w:hAnsi="Times New Roman" w:eastAsia="仿宋"/>
                <w:sz w:val="24"/>
                <w:szCs w:val="24"/>
              </w:rPr>
              <w:t>组件 施耐德</w:t>
            </w:r>
          </w:p>
        </w:tc>
        <w:tc>
          <w:tcPr>
            <w:tcW w:w="2950" w:type="dxa"/>
            <w:vAlign w:val="center"/>
          </w:tcPr>
          <w:p w14:paraId="2DC96185">
            <w:pPr>
              <w:spacing w:line="360" w:lineRule="auto"/>
              <w:jc w:val="center"/>
              <w:rPr>
                <w:rFonts w:ascii="Times New Roman" w:hAnsi="Times New Roman" w:eastAsia="仿宋"/>
                <w:sz w:val="24"/>
                <w:szCs w:val="24"/>
              </w:rPr>
            </w:pPr>
          </w:p>
        </w:tc>
      </w:tr>
    </w:tbl>
    <w:p w14:paraId="64AED47B">
      <w:pPr>
        <w:pStyle w:val="23"/>
        <w:ind w:firstLine="720"/>
        <w:jc w:val="both"/>
        <w:rPr>
          <w:rFonts w:hint="default"/>
        </w:rPr>
      </w:pPr>
      <w:r>
        <w:rPr>
          <w:lang w:val="en-US"/>
        </w:rPr>
        <w:t>9</w:t>
      </w:r>
      <w:r>
        <w:t>.3.3地坑刮板输送机</w:t>
      </w:r>
    </w:p>
    <w:p w14:paraId="79101F27">
      <w:pPr>
        <w:pStyle w:val="32"/>
        <w:ind w:firstLine="960"/>
        <w:jc w:val="both"/>
        <w:rPr>
          <w:rFonts w:hint="default"/>
        </w:rPr>
      </w:pPr>
      <w:r>
        <w:rPr>
          <w:lang w:val="en-US"/>
        </w:rPr>
        <w:t>技术</w:t>
      </w:r>
      <w:r>
        <w:t>特点</w:t>
      </w:r>
      <w:r>
        <w:rPr>
          <w:lang w:val="en-US"/>
        </w:rPr>
        <w:t>及要求</w:t>
      </w:r>
      <w:r>
        <w:t>：</w:t>
      </w:r>
    </w:p>
    <w:p w14:paraId="34A91D42">
      <w:pPr>
        <w:pStyle w:val="32"/>
        <w:ind w:firstLine="960"/>
        <w:jc w:val="both"/>
        <w:rPr>
          <w:rFonts w:hint="default"/>
        </w:rPr>
      </w:pPr>
      <w:r>
        <w:t>-承接液压翻板平台的来料，将来的物料通过刮板输送到皮带输送机上。</w:t>
      </w:r>
    </w:p>
    <w:p w14:paraId="6436A88E">
      <w:pPr>
        <w:pStyle w:val="32"/>
        <w:ind w:firstLine="960"/>
        <w:jc w:val="both"/>
        <w:rPr>
          <w:rFonts w:hint="default"/>
        </w:rPr>
      </w:pPr>
      <w:r>
        <w:t>-驱动：电机与减速机之间用皮带轮机构联接，减速机与主轴之间直联。</w:t>
      </w:r>
    </w:p>
    <w:p w14:paraId="75AF4409">
      <w:pPr>
        <w:pStyle w:val="32"/>
        <w:ind w:firstLine="960"/>
        <w:jc w:val="both"/>
        <w:rPr>
          <w:rFonts w:hint="default"/>
        </w:rPr>
      </w:pPr>
      <w:r>
        <w:t>-设备支撑：设备整体采用钢结构支架支撑。</w:t>
      </w:r>
    </w:p>
    <w:p w14:paraId="0F1C2B51">
      <w:pPr>
        <w:pStyle w:val="32"/>
        <w:ind w:firstLine="960"/>
        <w:jc w:val="both"/>
        <w:rPr>
          <w:rFonts w:hint="default"/>
        </w:rPr>
      </w:pPr>
      <w:r>
        <w:t>相关参数：(单台)</w:t>
      </w:r>
    </w:p>
    <w:tbl>
      <w:tblPr>
        <w:tblStyle w:val="19"/>
        <w:tblW w:w="97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080"/>
        <w:gridCol w:w="1604"/>
        <w:gridCol w:w="3451"/>
        <w:gridCol w:w="419"/>
        <w:gridCol w:w="2326"/>
      </w:tblGrid>
      <w:tr w14:paraId="657C8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gridSpan w:val="2"/>
            <w:vAlign w:val="center"/>
          </w:tcPr>
          <w:p w14:paraId="49C00F5F">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输送物料</w:t>
            </w:r>
          </w:p>
        </w:tc>
        <w:tc>
          <w:tcPr>
            <w:tcW w:w="1604" w:type="dxa"/>
            <w:vAlign w:val="center"/>
          </w:tcPr>
          <w:p w14:paraId="4FE091D9">
            <w:pPr>
              <w:widowControl/>
              <w:spacing w:line="360" w:lineRule="auto"/>
              <w:jc w:val="center"/>
              <w:rPr>
                <w:rFonts w:ascii="Times New Roman" w:hAnsi="Times New Roman" w:eastAsia="仿宋"/>
                <w:sz w:val="24"/>
                <w:szCs w:val="24"/>
              </w:rPr>
            </w:pPr>
            <w:r>
              <w:rPr>
                <w:rStyle w:val="33"/>
                <w:rFonts w:hint="eastAsia" w:ascii="Times New Roman" w:hAnsi="Times New Roman" w:eastAsia="仿宋" w:cs="Times New Roman"/>
                <w:sz w:val="24"/>
                <w:szCs w:val="24"/>
                <w:lang w:bidi="ar"/>
              </w:rPr>
              <w:t>竹</w:t>
            </w:r>
            <w:r>
              <w:rPr>
                <w:rStyle w:val="33"/>
                <w:rFonts w:ascii="Times New Roman" w:hAnsi="Times New Roman" w:eastAsia="仿宋" w:cs="Times New Roman"/>
                <w:sz w:val="24"/>
                <w:szCs w:val="24"/>
                <w:lang w:bidi="ar"/>
              </w:rPr>
              <w:t>片</w:t>
            </w:r>
          </w:p>
        </w:tc>
        <w:tc>
          <w:tcPr>
            <w:tcW w:w="3451" w:type="dxa"/>
            <w:vAlign w:val="center"/>
          </w:tcPr>
          <w:p w14:paraId="6C1E5A02">
            <w:pPr>
              <w:widowControl/>
              <w:spacing w:line="360" w:lineRule="auto"/>
              <w:jc w:val="center"/>
              <w:rPr>
                <w:rFonts w:ascii="Times New Roman" w:hAnsi="Times New Roman" w:eastAsia="仿宋"/>
                <w:sz w:val="24"/>
                <w:szCs w:val="24"/>
              </w:rPr>
            </w:pPr>
            <w:r>
              <w:rPr>
                <w:rStyle w:val="33"/>
                <w:rFonts w:ascii="Times New Roman" w:hAnsi="Times New Roman" w:eastAsia="仿宋" w:cs="Times New Roman"/>
                <w:sz w:val="24"/>
                <w:szCs w:val="24"/>
                <w:lang w:bidi="ar"/>
              </w:rPr>
              <w:t>输送机中心线长度</w:t>
            </w:r>
          </w:p>
        </w:tc>
        <w:tc>
          <w:tcPr>
            <w:tcW w:w="2745" w:type="dxa"/>
            <w:gridSpan w:val="2"/>
            <w:vAlign w:val="center"/>
          </w:tcPr>
          <w:p w14:paraId="1FA185BB">
            <w:pPr>
              <w:widowControl/>
              <w:spacing w:line="360" w:lineRule="auto"/>
              <w:jc w:val="center"/>
              <w:rPr>
                <w:rFonts w:ascii="Times New Roman" w:hAnsi="Times New Roman" w:eastAsia="仿宋"/>
                <w:sz w:val="24"/>
                <w:szCs w:val="24"/>
              </w:rPr>
            </w:pPr>
            <w:r>
              <w:rPr>
                <w:rFonts w:hint="eastAsia" w:ascii="Times New Roman" w:hAnsi="Times New Roman" w:eastAsia="仿宋"/>
                <w:sz w:val="24"/>
                <w:szCs w:val="24"/>
              </w:rPr>
              <w:t>以设计为准</w:t>
            </w:r>
          </w:p>
        </w:tc>
      </w:tr>
      <w:tr w14:paraId="45D37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gridSpan w:val="2"/>
            <w:vAlign w:val="center"/>
          </w:tcPr>
          <w:p w14:paraId="4CDF57E3">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运行方向</w:t>
            </w:r>
          </w:p>
        </w:tc>
        <w:tc>
          <w:tcPr>
            <w:tcW w:w="1604" w:type="dxa"/>
            <w:vAlign w:val="center"/>
          </w:tcPr>
          <w:p w14:paraId="36EA63C3">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单向</w:t>
            </w:r>
          </w:p>
        </w:tc>
        <w:tc>
          <w:tcPr>
            <w:tcW w:w="3451" w:type="dxa"/>
            <w:vAlign w:val="center"/>
          </w:tcPr>
          <w:p w14:paraId="426D40A1">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角   度</w:t>
            </w:r>
          </w:p>
        </w:tc>
        <w:tc>
          <w:tcPr>
            <w:tcW w:w="2745" w:type="dxa"/>
            <w:gridSpan w:val="2"/>
            <w:vAlign w:val="center"/>
          </w:tcPr>
          <w:p w14:paraId="09156A08">
            <w:pPr>
              <w:widowControl/>
              <w:spacing w:line="360" w:lineRule="auto"/>
              <w:jc w:val="center"/>
              <w:rPr>
                <w:rFonts w:ascii="Times New Roman" w:hAnsi="Times New Roman" w:eastAsia="仿宋"/>
                <w:color w:val="000000"/>
                <w:sz w:val="24"/>
                <w:szCs w:val="24"/>
              </w:rPr>
            </w:pPr>
          </w:p>
        </w:tc>
      </w:tr>
      <w:tr w14:paraId="6E80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gridSpan w:val="2"/>
            <w:vAlign w:val="center"/>
          </w:tcPr>
          <w:p w14:paraId="6D9FE36B">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输 送 量</w:t>
            </w:r>
          </w:p>
        </w:tc>
        <w:tc>
          <w:tcPr>
            <w:tcW w:w="1604" w:type="dxa"/>
            <w:vAlign w:val="center"/>
          </w:tcPr>
          <w:p w14:paraId="1EBC2165">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500m³/h</w:t>
            </w:r>
            <w:r>
              <w:rPr>
                <w:rStyle w:val="33"/>
                <w:rFonts w:hint="eastAsia" w:ascii="Times New Roman" w:hAnsi="Times New Roman" w:eastAsia="仿宋" w:cs="Times New Roman"/>
                <w:sz w:val="24"/>
                <w:szCs w:val="24"/>
                <w:lang w:bidi="ar"/>
              </w:rPr>
              <w:t>（按设计）</w:t>
            </w:r>
          </w:p>
        </w:tc>
        <w:tc>
          <w:tcPr>
            <w:tcW w:w="3451" w:type="dxa"/>
            <w:vAlign w:val="center"/>
          </w:tcPr>
          <w:p w14:paraId="64EFD894">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宽   度</w:t>
            </w:r>
          </w:p>
        </w:tc>
        <w:tc>
          <w:tcPr>
            <w:tcW w:w="2745" w:type="dxa"/>
            <w:gridSpan w:val="2"/>
            <w:vAlign w:val="center"/>
          </w:tcPr>
          <w:p w14:paraId="518C970B">
            <w:pPr>
              <w:widowControl/>
              <w:spacing w:line="360" w:lineRule="auto"/>
              <w:jc w:val="center"/>
              <w:rPr>
                <w:rFonts w:ascii="Times New Roman" w:hAnsi="Times New Roman" w:eastAsia="仿宋"/>
                <w:color w:val="000000"/>
                <w:sz w:val="24"/>
                <w:szCs w:val="24"/>
              </w:rPr>
            </w:pPr>
            <w:r>
              <w:rPr>
                <w:rStyle w:val="33"/>
                <w:rFonts w:hint="eastAsia" w:ascii="Times New Roman" w:hAnsi="Times New Roman" w:eastAsia="仿宋" w:cs="Times New Roman"/>
                <w:sz w:val="24"/>
                <w:szCs w:val="24"/>
                <w:lang w:bidi="ar"/>
              </w:rPr>
              <w:t>1</w:t>
            </w:r>
            <w:r>
              <w:rPr>
                <w:rStyle w:val="33"/>
                <w:rFonts w:ascii="Times New Roman" w:hAnsi="Times New Roman" w:eastAsia="仿宋" w:cs="Times New Roman"/>
                <w:sz w:val="24"/>
                <w:szCs w:val="24"/>
                <w:lang w:bidi="ar"/>
              </w:rPr>
              <w:t>400mm</w:t>
            </w:r>
            <w:r>
              <w:rPr>
                <w:rStyle w:val="33"/>
                <w:rFonts w:hint="eastAsia" w:ascii="Times New Roman" w:hAnsi="Times New Roman" w:eastAsia="仿宋" w:cs="Times New Roman"/>
                <w:sz w:val="24"/>
                <w:szCs w:val="24"/>
                <w:lang w:bidi="ar"/>
              </w:rPr>
              <w:t>以上（按设计）</w:t>
            </w:r>
          </w:p>
        </w:tc>
      </w:tr>
      <w:tr w14:paraId="6C39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1" w:type="dxa"/>
            <w:gridSpan w:val="2"/>
            <w:vAlign w:val="center"/>
          </w:tcPr>
          <w:p w14:paraId="63142661">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输送速度</w:t>
            </w:r>
          </w:p>
        </w:tc>
        <w:tc>
          <w:tcPr>
            <w:tcW w:w="1604" w:type="dxa"/>
            <w:vAlign w:val="center"/>
          </w:tcPr>
          <w:p w14:paraId="44FD2E15">
            <w:pPr>
              <w:widowControl/>
              <w:spacing w:line="360" w:lineRule="auto"/>
              <w:jc w:val="center"/>
              <w:rPr>
                <w:rFonts w:ascii="Times New Roman" w:hAnsi="Times New Roman" w:eastAsia="仿宋"/>
                <w:color w:val="000000"/>
                <w:sz w:val="24"/>
                <w:szCs w:val="24"/>
              </w:rPr>
            </w:pPr>
            <w:r>
              <w:rPr>
                <w:rStyle w:val="33"/>
                <w:rFonts w:hint="eastAsia" w:ascii="Times New Roman" w:hAnsi="Times New Roman" w:eastAsia="仿宋" w:cs="Times New Roman"/>
                <w:sz w:val="24"/>
                <w:szCs w:val="24"/>
                <w:lang w:bidi="ar"/>
              </w:rPr>
              <w:t>按设计</w:t>
            </w:r>
          </w:p>
        </w:tc>
        <w:tc>
          <w:tcPr>
            <w:tcW w:w="3451" w:type="dxa"/>
            <w:vAlign w:val="center"/>
          </w:tcPr>
          <w:p w14:paraId="7C6FD3D5">
            <w:pPr>
              <w:widowControl/>
              <w:spacing w:line="360" w:lineRule="auto"/>
              <w:jc w:val="center"/>
              <w:rPr>
                <w:rFonts w:ascii="Times New Roman" w:hAnsi="Times New Roman" w:eastAsia="仿宋"/>
                <w:color w:val="000000"/>
                <w:sz w:val="24"/>
                <w:szCs w:val="24"/>
              </w:rPr>
            </w:pPr>
            <w:r>
              <w:rPr>
                <w:rStyle w:val="33"/>
                <w:rFonts w:ascii="Times New Roman" w:hAnsi="Times New Roman" w:eastAsia="仿宋" w:cs="Times New Roman"/>
                <w:sz w:val="24"/>
                <w:szCs w:val="24"/>
                <w:lang w:bidi="ar"/>
              </w:rPr>
              <w:t>设备重量</w:t>
            </w:r>
          </w:p>
        </w:tc>
        <w:tc>
          <w:tcPr>
            <w:tcW w:w="2745" w:type="dxa"/>
            <w:gridSpan w:val="2"/>
            <w:vAlign w:val="center"/>
          </w:tcPr>
          <w:p w14:paraId="36987ED6">
            <w:pPr>
              <w:widowControl/>
              <w:spacing w:line="360" w:lineRule="auto"/>
              <w:jc w:val="center"/>
              <w:rPr>
                <w:rFonts w:ascii="Times New Roman" w:hAnsi="Times New Roman" w:eastAsia="仿宋"/>
                <w:color w:val="000000"/>
                <w:sz w:val="24"/>
                <w:szCs w:val="24"/>
              </w:rPr>
            </w:pPr>
            <w:r>
              <w:rPr>
                <w:rStyle w:val="33"/>
                <w:rFonts w:hint="eastAsia" w:ascii="Times New Roman" w:hAnsi="Times New Roman" w:eastAsia="仿宋" w:cs="Times New Roman"/>
                <w:sz w:val="24"/>
                <w:szCs w:val="24"/>
                <w:lang w:bidi="ar"/>
              </w:rPr>
              <w:t>按设计</w:t>
            </w:r>
          </w:p>
        </w:tc>
      </w:tr>
      <w:tr w14:paraId="707E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1" w:type="dxa"/>
            <w:gridSpan w:val="6"/>
            <w:vAlign w:val="center"/>
          </w:tcPr>
          <w:p w14:paraId="407523F6">
            <w:pPr>
              <w:widowControl/>
              <w:spacing w:line="360" w:lineRule="auto"/>
              <w:jc w:val="center"/>
              <w:rPr>
                <w:rFonts w:ascii="Times New Roman" w:hAnsi="Times New Roman" w:eastAsia="仿宋"/>
                <w:sz w:val="24"/>
                <w:szCs w:val="24"/>
              </w:rPr>
            </w:pPr>
            <w:r>
              <w:rPr>
                <w:rFonts w:ascii="Times New Roman" w:hAnsi="Times New Roman" w:eastAsia="仿宋"/>
                <w:b/>
                <w:bCs/>
                <w:color w:val="000000"/>
                <w:kern w:val="0"/>
                <w:sz w:val="24"/>
                <w:szCs w:val="24"/>
                <w:lang w:bidi="ar"/>
              </w:rPr>
              <w:t>单台设备关键件描述</w:t>
            </w:r>
          </w:p>
        </w:tc>
      </w:tr>
      <w:tr w14:paraId="68E8E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7DB95C68">
            <w:pPr>
              <w:widowControl/>
              <w:spacing w:line="360" w:lineRule="auto"/>
              <w:jc w:val="center"/>
              <w:rPr>
                <w:rFonts w:ascii="Times New Roman" w:hAnsi="Times New Roman" w:eastAsia="仿宋"/>
                <w:sz w:val="24"/>
                <w:szCs w:val="24"/>
              </w:rPr>
            </w:pPr>
            <w:r>
              <w:rPr>
                <w:rFonts w:ascii="Times New Roman" w:hAnsi="Times New Roman" w:eastAsia="仿宋"/>
                <w:b/>
                <w:bCs/>
                <w:color w:val="000000"/>
                <w:kern w:val="0"/>
                <w:sz w:val="24"/>
                <w:szCs w:val="24"/>
                <w:lang w:bidi="ar"/>
              </w:rPr>
              <w:t>序号</w:t>
            </w:r>
          </w:p>
        </w:tc>
        <w:tc>
          <w:tcPr>
            <w:tcW w:w="2684" w:type="dxa"/>
            <w:gridSpan w:val="2"/>
            <w:vAlign w:val="center"/>
          </w:tcPr>
          <w:p w14:paraId="0347A45C">
            <w:pPr>
              <w:widowControl/>
              <w:spacing w:line="360" w:lineRule="auto"/>
              <w:jc w:val="center"/>
              <w:textAlignment w:val="top"/>
              <w:rPr>
                <w:rFonts w:ascii="Times New Roman" w:hAnsi="Times New Roman" w:eastAsia="仿宋"/>
                <w:b/>
                <w:bCs/>
                <w:color w:val="000000"/>
                <w:sz w:val="24"/>
                <w:szCs w:val="24"/>
              </w:rPr>
            </w:pPr>
            <w:r>
              <w:rPr>
                <w:rFonts w:ascii="Times New Roman" w:hAnsi="Times New Roman" w:eastAsia="仿宋"/>
                <w:b/>
                <w:bCs/>
                <w:color w:val="000000"/>
                <w:kern w:val="0"/>
                <w:sz w:val="24"/>
                <w:szCs w:val="24"/>
                <w:lang w:bidi="ar"/>
              </w:rPr>
              <w:t>名称</w:t>
            </w:r>
          </w:p>
        </w:tc>
        <w:tc>
          <w:tcPr>
            <w:tcW w:w="3870" w:type="dxa"/>
            <w:gridSpan w:val="2"/>
            <w:vAlign w:val="center"/>
          </w:tcPr>
          <w:p w14:paraId="01E8933C">
            <w:pPr>
              <w:widowControl/>
              <w:spacing w:line="360" w:lineRule="auto"/>
              <w:jc w:val="center"/>
              <w:textAlignment w:val="top"/>
              <w:rPr>
                <w:rFonts w:ascii="Times New Roman" w:hAnsi="Times New Roman" w:eastAsia="仿宋"/>
                <w:b/>
                <w:bCs/>
                <w:color w:val="000000"/>
                <w:sz w:val="24"/>
                <w:szCs w:val="24"/>
              </w:rPr>
            </w:pPr>
            <w:r>
              <w:rPr>
                <w:rFonts w:ascii="Times New Roman" w:hAnsi="Times New Roman" w:eastAsia="仿宋"/>
                <w:b/>
                <w:bCs/>
                <w:color w:val="000000"/>
                <w:kern w:val="0"/>
                <w:sz w:val="24"/>
                <w:szCs w:val="24"/>
                <w:lang w:bidi="ar"/>
              </w:rPr>
              <w:t>规格型号</w:t>
            </w:r>
          </w:p>
        </w:tc>
        <w:tc>
          <w:tcPr>
            <w:tcW w:w="2326" w:type="dxa"/>
            <w:vAlign w:val="center"/>
          </w:tcPr>
          <w:p w14:paraId="2519A6C5">
            <w:pPr>
              <w:widowControl/>
              <w:spacing w:line="360" w:lineRule="auto"/>
              <w:jc w:val="center"/>
              <w:textAlignment w:val="top"/>
              <w:rPr>
                <w:rFonts w:ascii="Times New Roman" w:hAnsi="Times New Roman" w:eastAsia="仿宋"/>
                <w:b/>
                <w:bCs/>
                <w:color w:val="000000"/>
                <w:sz w:val="24"/>
                <w:szCs w:val="24"/>
              </w:rPr>
            </w:pPr>
            <w:r>
              <w:rPr>
                <w:rFonts w:ascii="Times New Roman" w:hAnsi="Times New Roman" w:eastAsia="仿宋"/>
                <w:b/>
                <w:bCs/>
                <w:color w:val="000000"/>
                <w:kern w:val="0"/>
                <w:sz w:val="24"/>
                <w:szCs w:val="24"/>
                <w:lang w:bidi="ar"/>
              </w:rPr>
              <w:t>备注</w:t>
            </w:r>
          </w:p>
        </w:tc>
      </w:tr>
      <w:tr w14:paraId="592AA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73E90194">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w:t>
            </w:r>
          </w:p>
        </w:tc>
        <w:tc>
          <w:tcPr>
            <w:tcW w:w="2684" w:type="dxa"/>
            <w:gridSpan w:val="2"/>
            <w:vAlign w:val="center"/>
          </w:tcPr>
          <w:p w14:paraId="5CF0951B">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输送链条</w:t>
            </w:r>
          </w:p>
        </w:tc>
        <w:tc>
          <w:tcPr>
            <w:tcW w:w="3870" w:type="dxa"/>
            <w:gridSpan w:val="2"/>
            <w:vAlign w:val="center"/>
          </w:tcPr>
          <w:p w14:paraId="62D8E5E1">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P=200mm链板40Cr</w:t>
            </w:r>
            <w:r>
              <w:rPr>
                <w:rStyle w:val="25"/>
                <w:rFonts w:hint="eastAsia" w:ascii="Times New Roman" w:hAnsi="Times New Roman" w:eastAsia="仿宋" w:cs="Times New Roman"/>
                <w:sz w:val="24"/>
                <w:szCs w:val="24"/>
                <w:lang w:bidi="ar"/>
              </w:rPr>
              <w:t>；</w:t>
            </w:r>
            <w:r>
              <w:rPr>
                <w:rStyle w:val="25"/>
                <w:rFonts w:ascii="Times New Roman" w:hAnsi="Times New Roman" w:eastAsia="仿宋" w:cs="Times New Roman"/>
                <w:sz w:val="24"/>
                <w:szCs w:val="24"/>
                <w:lang w:bidi="ar"/>
              </w:rPr>
              <w:t>销轴20Cr</w:t>
            </w:r>
          </w:p>
        </w:tc>
        <w:tc>
          <w:tcPr>
            <w:tcW w:w="2326" w:type="dxa"/>
            <w:vAlign w:val="center"/>
          </w:tcPr>
          <w:p w14:paraId="50B1819F">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高强度重载直板链</w:t>
            </w:r>
          </w:p>
        </w:tc>
      </w:tr>
      <w:tr w14:paraId="0A84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7693ED70">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2</w:t>
            </w:r>
          </w:p>
        </w:tc>
        <w:tc>
          <w:tcPr>
            <w:tcW w:w="2684" w:type="dxa"/>
            <w:gridSpan w:val="2"/>
            <w:vAlign w:val="center"/>
          </w:tcPr>
          <w:p w14:paraId="594B3B66">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刮板</w:t>
            </w:r>
          </w:p>
        </w:tc>
        <w:tc>
          <w:tcPr>
            <w:tcW w:w="3870" w:type="dxa"/>
            <w:gridSpan w:val="2"/>
            <w:vAlign w:val="center"/>
          </w:tcPr>
          <w:p w14:paraId="73EE78CE">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Q355钢组件方钢30×50mm</w:t>
            </w:r>
          </w:p>
        </w:tc>
        <w:tc>
          <w:tcPr>
            <w:tcW w:w="2326" w:type="dxa"/>
            <w:vAlign w:val="center"/>
          </w:tcPr>
          <w:p w14:paraId="7DA9A574">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Q355</w:t>
            </w:r>
          </w:p>
        </w:tc>
      </w:tr>
      <w:tr w14:paraId="2260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208616F5">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3</w:t>
            </w:r>
          </w:p>
        </w:tc>
        <w:tc>
          <w:tcPr>
            <w:tcW w:w="2684" w:type="dxa"/>
            <w:gridSpan w:val="2"/>
            <w:vAlign w:val="center"/>
          </w:tcPr>
          <w:p w14:paraId="465C62B0">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机架、壳体</w:t>
            </w:r>
          </w:p>
        </w:tc>
        <w:tc>
          <w:tcPr>
            <w:tcW w:w="3870" w:type="dxa"/>
            <w:gridSpan w:val="2"/>
            <w:vAlign w:val="center"/>
          </w:tcPr>
          <w:p w14:paraId="4B15ADF4">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Q235组件</w:t>
            </w:r>
          </w:p>
        </w:tc>
        <w:tc>
          <w:tcPr>
            <w:tcW w:w="2326" w:type="dxa"/>
            <w:vAlign w:val="center"/>
          </w:tcPr>
          <w:p w14:paraId="5CBBA569">
            <w:pPr>
              <w:widowControl/>
              <w:spacing w:line="360" w:lineRule="auto"/>
              <w:jc w:val="center"/>
              <w:rPr>
                <w:rFonts w:ascii="Times New Roman" w:hAnsi="Times New Roman" w:eastAsia="仿宋"/>
                <w:sz w:val="24"/>
                <w:szCs w:val="24"/>
              </w:rPr>
            </w:pPr>
          </w:p>
        </w:tc>
      </w:tr>
      <w:tr w14:paraId="71E8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49254D44">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4</w:t>
            </w:r>
          </w:p>
        </w:tc>
        <w:tc>
          <w:tcPr>
            <w:tcW w:w="2684" w:type="dxa"/>
            <w:gridSpan w:val="2"/>
            <w:vAlign w:val="center"/>
          </w:tcPr>
          <w:p w14:paraId="55BFEAD7">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减速机</w:t>
            </w:r>
          </w:p>
        </w:tc>
        <w:tc>
          <w:tcPr>
            <w:tcW w:w="3870" w:type="dxa"/>
            <w:gridSpan w:val="2"/>
            <w:vAlign w:val="center"/>
          </w:tcPr>
          <w:p w14:paraId="5D12DBCA">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组件</w:t>
            </w:r>
          </w:p>
        </w:tc>
        <w:tc>
          <w:tcPr>
            <w:tcW w:w="2326" w:type="dxa"/>
            <w:vAlign w:val="center"/>
          </w:tcPr>
          <w:p w14:paraId="70EC5E9B">
            <w:pPr>
              <w:widowControl/>
              <w:spacing w:line="360" w:lineRule="auto"/>
              <w:jc w:val="center"/>
              <w:textAlignment w:val="center"/>
              <w:rPr>
                <w:rFonts w:ascii="Times New Roman" w:hAnsi="Times New Roman" w:eastAsia="仿宋"/>
                <w:color w:val="000000"/>
                <w:sz w:val="24"/>
                <w:szCs w:val="24"/>
              </w:rPr>
            </w:pPr>
            <w:r>
              <w:rPr>
                <w:rStyle w:val="25"/>
                <w:rFonts w:ascii="Times New Roman" w:hAnsi="Times New Roman" w:eastAsia="仿宋" w:cs="Times New Roman"/>
                <w:sz w:val="24"/>
                <w:szCs w:val="24"/>
                <w:lang w:bidi="ar"/>
              </w:rPr>
              <w:t>SEW、FLENDER</w:t>
            </w:r>
            <w:r>
              <w:rPr>
                <w:rStyle w:val="25"/>
                <w:rFonts w:hint="eastAsia" w:ascii="Times New Roman" w:hAnsi="Times New Roman" w:eastAsia="仿宋" w:cs="Times New Roman"/>
                <w:sz w:val="24"/>
                <w:szCs w:val="24"/>
                <w:lang w:bidi="ar"/>
              </w:rPr>
              <w:t>、住友、库迈拉等品牌</w:t>
            </w:r>
          </w:p>
        </w:tc>
      </w:tr>
      <w:tr w14:paraId="7B09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519915B6">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5</w:t>
            </w:r>
          </w:p>
        </w:tc>
        <w:tc>
          <w:tcPr>
            <w:tcW w:w="2684" w:type="dxa"/>
            <w:gridSpan w:val="2"/>
            <w:vAlign w:val="center"/>
          </w:tcPr>
          <w:p w14:paraId="7D76D458">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电机</w:t>
            </w:r>
          </w:p>
        </w:tc>
        <w:tc>
          <w:tcPr>
            <w:tcW w:w="3870" w:type="dxa"/>
            <w:gridSpan w:val="2"/>
            <w:vAlign w:val="center"/>
          </w:tcPr>
          <w:p w14:paraId="1BE28F70">
            <w:pPr>
              <w:widowControl/>
              <w:spacing w:line="360" w:lineRule="auto"/>
              <w:jc w:val="center"/>
              <w:rPr>
                <w:rFonts w:ascii="Times New Roman" w:hAnsi="Times New Roman" w:eastAsia="仿宋"/>
                <w:sz w:val="24"/>
                <w:szCs w:val="24"/>
              </w:rPr>
            </w:pPr>
            <w:r>
              <w:rPr>
                <w:rStyle w:val="25"/>
                <w:rFonts w:hint="eastAsia" w:ascii="Times New Roman" w:hAnsi="Times New Roman" w:eastAsia="仿宋" w:cs="Times New Roman"/>
                <w:sz w:val="24"/>
                <w:szCs w:val="24"/>
                <w:lang w:bidi="ar"/>
              </w:rPr>
              <w:t>按设计</w:t>
            </w:r>
          </w:p>
        </w:tc>
        <w:tc>
          <w:tcPr>
            <w:tcW w:w="2326" w:type="dxa"/>
            <w:vAlign w:val="center"/>
          </w:tcPr>
          <w:p w14:paraId="22639747">
            <w:pPr>
              <w:widowControl/>
              <w:spacing w:line="360" w:lineRule="auto"/>
              <w:jc w:val="center"/>
              <w:textAlignment w:val="center"/>
              <w:rPr>
                <w:rFonts w:ascii="Times New Roman" w:hAnsi="Times New Roman" w:eastAsia="仿宋"/>
                <w:color w:val="000000"/>
                <w:sz w:val="24"/>
                <w:szCs w:val="24"/>
              </w:rPr>
            </w:pPr>
          </w:p>
        </w:tc>
      </w:tr>
      <w:tr w14:paraId="60A3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604752A7">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6</w:t>
            </w:r>
          </w:p>
        </w:tc>
        <w:tc>
          <w:tcPr>
            <w:tcW w:w="2684" w:type="dxa"/>
            <w:gridSpan w:val="2"/>
            <w:vAlign w:val="center"/>
          </w:tcPr>
          <w:p w14:paraId="3138EA76">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头尾链轮轴</w:t>
            </w:r>
          </w:p>
        </w:tc>
        <w:tc>
          <w:tcPr>
            <w:tcW w:w="3870" w:type="dxa"/>
            <w:gridSpan w:val="2"/>
            <w:vAlign w:val="center"/>
          </w:tcPr>
          <w:p w14:paraId="6B5386CD">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45钢+40Cr组件</w:t>
            </w:r>
          </w:p>
        </w:tc>
        <w:tc>
          <w:tcPr>
            <w:tcW w:w="2326" w:type="dxa"/>
            <w:vAlign w:val="center"/>
          </w:tcPr>
          <w:p w14:paraId="2DB3A233">
            <w:pPr>
              <w:widowControl/>
              <w:spacing w:line="360" w:lineRule="auto"/>
              <w:jc w:val="center"/>
              <w:rPr>
                <w:rFonts w:ascii="Times New Roman" w:hAnsi="Times New Roman" w:eastAsia="仿宋"/>
                <w:sz w:val="24"/>
                <w:szCs w:val="24"/>
              </w:rPr>
            </w:pPr>
          </w:p>
        </w:tc>
      </w:tr>
      <w:tr w14:paraId="6061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10CB26C">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7</w:t>
            </w:r>
          </w:p>
        </w:tc>
        <w:tc>
          <w:tcPr>
            <w:tcW w:w="2684" w:type="dxa"/>
            <w:gridSpan w:val="2"/>
            <w:vAlign w:val="center"/>
          </w:tcPr>
          <w:p w14:paraId="596ED40B">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耐磨轨道</w:t>
            </w:r>
          </w:p>
        </w:tc>
        <w:tc>
          <w:tcPr>
            <w:tcW w:w="3870" w:type="dxa"/>
            <w:gridSpan w:val="2"/>
            <w:vAlign w:val="center"/>
          </w:tcPr>
          <w:p w14:paraId="0821D3A1">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NM400组件</w:t>
            </w:r>
          </w:p>
        </w:tc>
        <w:tc>
          <w:tcPr>
            <w:tcW w:w="2326" w:type="dxa"/>
            <w:vAlign w:val="center"/>
          </w:tcPr>
          <w:p w14:paraId="65909B65">
            <w:pPr>
              <w:widowControl/>
              <w:spacing w:line="360" w:lineRule="auto"/>
              <w:jc w:val="center"/>
              <w:rPr>
                <w:rFonts w:ascii="Times New Roman" w:hAnsi="Times New Roman" w:eastAsia="仿宋"/>
                <w:sz w:val="24"/>
                <w:szCs w:val="24"/>
              </w:rPr>
            </w:pPr>
          </w:p>
        </w:tc>
      </w:tr>
      <w:tr w14:paraId="63DD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C6DC51C">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8</w:t>
            </w:r>
          </w:p>
        </w:tc>
        <w:tc>
          <w:tcPr>
            <w:tcW w:w="2684" w:type="dxa"/>
            <w:gridSpan w:val="2"/>
            <w:vAlign w:val="center"/>
          </w:tcPr>
          <w:p w14:paraId="55DFE333">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皮带轮传动机构</w:t>
            </w:r>
          </w:p>
        </w:tc>
        <w:tc>
          <w:tcPr>
            <w:tcW w:w="3870" w:type="dxa"/>
            <w:gridSpan w:val="2"/>
            <w:vAlign w:val="center"/>
          </w:tcPr>
          <w:p w14:paraId="74F96A57">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组件</w:t>
            </w:r>
          </w:p>
        </w:tc>
        <w:tc>
          <w:tcPr>
            <w:tcW w:w="2326" w:type="dxa"/>
            <w:vAlign w:val="center"/>
          </w:tcPr>
          <w:p w14:paraId="7A722683">
            <w:pPr>
              <w:widowControl/>
              <w:spacing w:line="360" w:lineRule="auto"/>
              <w:jc w:val="center"/>
              <w:rPr>
                <w:rFonts w:ascii="Times New Roman" w:hAnsi="Times New Roman" w:eastAsia="仿宋"/>
                <w:sz w:val="24"/>
                <w:szCs w:val="24"/>
              </w:rPr>
            </w:pPr>
          </w:p>
        </w:tc>
      </w:tr>
      <w:tr w14:paraId="6A7A4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9416439">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9</w:t>
            </w:r>
          </w:p>
        </w:tc>
        <w:tc>
          <w:tcPr>
            <w:tcW w:w="2684" w:type="dxa"/>
            <w:gridSpan w:val="2"/>
            <w:vAlign w:val="center"/>
          </w:tcPr>
          <w:p w14:paraId="3A95E13A">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联轴器</w:t>
            </w:r>
          </w:p>
        </w:tc>
        <w:tc>
          <w:tcPr>
            <w:tcW w:w="3870" w:type="dxa"/>
            <w:gridSpan w:val="2"/>
            <w:vAlign w:val="center"/>
          </w:tcPr>
          <w:p w14:paraId="12AC2715">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45钢组件</w:t>
            </w:r>
          </w:p>
        </w:tc>
        <w:tc>
          <w:tcPr>
            <w:tcW w:w="2326" w:type="dxa"/>
            <w:vAlign w:val="center"/>
          </w:tcPr>
          <w:p w14:paraId="55D3C54B">
            <w:pPr>
              <w:widowControl/>
              <w:spacing w:line="360" w:lineRule="auto"/>
              <w:jc w:val="center"/>
              <w:rPr>
                <w:rFonts w:ascii="Times New Roman" w:hAnsi="Times New Roman" w:eastAsia="仿宋"/>
                <w:sz w:val="24"/>
                <w:szCs w:val="24"/>
              </w:rPr>
            </w:pPr>
          </w:p>
        </w:tc>
      </w:tr>
      <w:tr w14:paraId="6A278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2724980">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10</w:t>
            </w:r>
          </w:p>
        </w:tc>
        <w:tc>
          <w:tcPr>
            <w:tcW w:w="2684" w:type="dxa"/>
            <w:gridSpan w:val="2"/>
            <w:vAlign w:val="center"/>
          </w:tcPr>
          <w:p w14:paraId="6BDC9872">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底板</w:t>
            </w:r>
          </w:p>
        </w:tc>
        <w:tc>
          <w:tcPr>
            <w:tcW w:w="3870" w:type="dxa"/>
            <w:gridSpan w:val="2"/>
            <w:vAlign w:val="center"/>
          </w:tcPr>
          <w:p w14:paraId="4859849B">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Q235组件</w:t>
            </w:r>
            <w:r>
              <w:rPr>
                <w:rStyle w:val="25"/>
                <w:rFonts w:hint="eastAsia" w:ascii="Times New Roman" w:hAnsi="Times New Roman" w:eastAsia="仿宋" w:cs="Times New Roman"/>
                <w:sz w:val="24"/>
                <w:szCs w:val="24"/>
                <w:lang w:bidi="ar"/>
              </w:rPr>
              <w:t xml:space="preserve"> </w:t>
            </w:r>
            <w:r>
              <w:rPr>
                <w:rStyle w:val="25"/>
                <w:rFonts w:ascii="Times New Roman" w:hAnsi="Times New Roman" w:eastAsia="仿宋" w:cs="Times New Roman"/>
                <w:sz w:val="24"/>
                <w:szCs w:val="24"/>
                <w:lang w:bidi="ar"/>
              </w:rPr>
              <w:t>厚度6mm</w:t>
            </w:r>
          </w:p>
        </w:tc>
        <w:tc>
          <w:tcPr>
            <w:tcW w:w="2326" w:type="dxa"/>
            <w:vAlign w:val="center"/>
          </w:tcPr>
          <w:p w14:paraId="468F3C56">
            <w:pPr>
              <w:widowControl/>
              <w:spacing w:line="360" w:lineRule="auto"/>
              <w:jc w:val="center"/>
              <w:rPr>
                <w:rFonts w:ascii="Times New Roman" w:hAnsi="Times New Roman" w:eastAsia="仿宋"/>
                <w:sz w:val="24"/>
                <w:szCs w:val="24"/>
              </w:rPr>
            </w:pPr>
          </w:p>
        </w:tc>
      </w:tr>
      <w:tr w14:paraId="0042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6C5BD2C5">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11</w:t>
            </w:r>
          </w:p>
        </w:tc>
        <w:tc>
          <w:tcPr>
            <w:tcW w:w="2684" w:type="dxa"/>
            <w:gridSpan w:val="2"/>
            <w:vAlign w:val="center"/>
          </w:tcPr>
          <w:p w14:paraId="16E3399A">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尾部张紧装置</w:t>
            </w:r>
          </w:p>
        </w:tc>
        <w:tc>
          <w:tcPr>
            <w:tcW w:w="3870" w:type="dxa"/>
            <w:gridSpan w:val="2"/>
            <w:vAlign w:val="center"/>
          </w:tcPr>
          <w:p w14:paraId="63C94FB6">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组件</w:t>
            </w:r>
          </w:p>
        </w:tc>
        <w:tc>
          <w:tcPr>
            <w:tcW w:w="2326" w:type="dxa"/>
            <w:vAlign w:val="center"/>
          </w:tcPr>
          <w:p w14:paraId="449803E2">
            <w:pPr>
              <w:widowControl/>
              <w:spacing w:line="360" w:lineRule="auto"/>
              <w:jc w:val="center"/>
              <w:rPr>
                <w:rFonts w:ascii="Times New Roman" w:hAnsi="Times New Roman" w:eastAsia="仿宋"/>
                <w:sz w:val="24"/>
                <w:szCs w:val="24"/>
              </w:rPr>
            </w:pPr>
          </w:p>
        </w:tc>
      </w:tr>
      <w:tr w14:paraId="541D1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99D1676">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12</w:t>
            </w:r>
          </w:p>
        </w:tc>
        <w:tc>
          <w:tcPr>
            <w:tcW w:w="2684" w:type="dxa"/>
            <w:gridSpan w:val="2"/>
            <w:vAlign w:val="center"/>
          </w:tcPr>
          <w:p w14:paraId="7DFED820">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零速开关(施耐德)</w:t>
            </w:r>
          </w:p>
        </w:tc>
        <w:tc>
          <w:tcPr>
            <w:tcW w:w="3870" w:type="dxa"/>
            <w:gridSpan w:val="2"/>
            <w:vAlign w:val="center"/>
          </w:tcPr>
          <w:p w14:paraId="13D6BC01">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组件</w:t>
            </w:r>
          </w:p>
        </w:tc>
        <w:tc>
          <w:tcPr>
            <w:tcW w:w="2326" w:type="dxa"/>
            <w:vAlign w:val="center"/>
          </w:tcPr>
          <w:p w14:paraId="4224CB35">
            <w:pPr>
              <w:widowControl/>
              <w:spacing w:line="360" w:lineRule="auto"/>
              <w:jc w:val="center"/>
              <w:rPr>
                <w:rFonts w:ascii="Times New Roman" w:hAnsi="Times New Roman" w:eastAsia="仿宋"/>
                <w:sz w:val="24"/>
                <w:szCs w:val="24"/>
              </w:rPr>
            </w:pPr>
          </w:p>
        </w:tc>
      </w:tr>
      <w:tr w14:paraId="5126D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7D8C9360">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13</w:t>
            </w:r>
          </w:p>
        </w:tc>
        <w:tc>
          <w:tcPr>
            <w:tcW w:w="2684" w:type="dxa"/>
            <w:gridSpan w:val="2"/>
            <w:vAlign w:val="center"/>
          </w:tcPr>
          <w:p w14:paraId="1015E87B">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轴承</w:t>
            </w:r>
          </w:p>
        </w:tc>
        <w:tc>
          <w:tcPr>
            <w:tcW w:w="3870" w:type="dxa"/>
            <w:gridSpan w:val="2"/>
            <w:vAlign w:val="center"/>
          </w:tcPr>
          <w:p w14:paraId="4089FEBA">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组件</w:t>
            </w:r>
          </w:p>
        </w:tc>
        <w:tc>
          <w:tcPr>
            <w:tcW w:w="2326" w:type="dxa"/>
            <w:vAlign w:val="center"/>
          </w:tcPr>
          <w:p w14:paraId="31983A8D">
            <w:pPr>
              <w:widowControl/>
              <w:spacing w:line="360" w:lineRule="auto"/>
              <w:jc w:val="center"/>
              <w:textAlignment w:val="center"/>
              <w:rPr>
                <w:rStyle w:val="25"/>
                <w:rFonts w:ascii="Times New Roman" w:hAnsi="Times New Roman" w:eastAsia="仿宋" w:cs="Times New Roman"/>
                <w:sz w:val="24"/>
                <w:szCs w:val="24"/>
                <w:lang w:bidi="ar"/>
              </w:rPr>
            </w:pPr>
            <w:r>
              <w:rPr>
                <w:rStyle w:val="25"/>
                <w:rFonts w:ascii="Times New Roman" w:hAnsi="Times New Roman" w:eastAsia="仿宋" w:cs="Times New Roman"/>
                <w:sz w:val="24"/>
                <w:szCs w:val="24"/>
                <w:lang w:bidi="ar"/>
              </w:rPr>
              <w:t>SKF/FAG</w:t>
            </w:r>
            <w:r>
              <w:rPr>
                <w:rStyle w:val="25"/>
                <w:rFonts w:hint="eastAsia" w:ascii="Times New Roman" w:hAnsi="Times New Roman" w:eastAsia="仿宋" w:cs="Times New Roman"/>
                <w:sz w:val="24"/>
                <w:szCs w:val="24"/>
                <w:lang w:bidi="ar"/>
              </w:rPr>
              <w:t>/NSK</w:t>
            </w:r>
          </w:p>
        </w:tc>
      </w:tr>
      <w:tr w14:paraId="227C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0194B14F">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14</w:t>
            </w:r>
          </w:p>
        </w:tc>
        <w:tc>
          <w:tcPr>
            <w:tcW w:w="2684" w:type="dxa"/>
            <w:gridSpan w:val="2"/>
            <w:vAlign w:val="center"/>
          </w:tcPr>
          <w:p w14:paraId="1AF22CDA">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涨紧装置</w:t>
            </w:r>
          </w:p>
        </w:tc>
        <w:tc>
          <w:tcPr>
            <w:tcW w:w="3870" w:type="dxa"/>
            <w:gridSpan w:val="2"/>
            <w:vAlign w:val="center"/>
          </w:tcPr>
          <w:p w14:paraId="20703F62">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组件</w:t>
            </w:r>
          </w:p>
        </w:tc>
        <w:tc>
          <w:tcPr>
            <w:tcW w:w="2326" w:type="dxa"/>
            <w:vAlign w:val="center"/>
          </w:tcPr>
          <w:p w14:paraId="6F22C013">
            <w:pPr>
              <w:widowControl/>
              <w:spacing w:line="360" w:lineRule="auto"/>
              <w:jc w:val="center"/>
              <w:rPr>
                <w:rFonts w:ascii="Times New Roman" w:hAnsi="Times New Roman" w:eastAsia="仿宋"/>
                <w:color w:val="000000"/>
                <w:sz w:val="24"/>
                <w:szCs w:val="24"/>
              </w:rPr>
            </w:pPr>
          </w:p>
        </w:tc>
      </w:tr>
      <w:tr w14:paraId="5D98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55269636">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15</w:t>
            </w:r>
          </w:p>
        </w:tc>
        <w:tc>
          <w:tcPr>
            <w:tcW w:w="2684" w:type="dxa"/>
            <w:gridSpan w:val="2"/>
            <w:vAlign w:val="center"/>
          </w:tcPr>
          <w:p w14:paraId="2F9ECD5A">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格栅架</w:t>
            </w:r>
          </w:p>
        </w:tc>
        <w:tc>
          <w:tcPr>
            <w:tcW w:w="3870" w:type="dxa"/>
            <w:gridSpan w:val="2"/>
            <w:vAlign w:val="center"/>
          </w:tcPr>
          <w:p w14:paraId="7475DE92">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组件</w:t>
            </w:r>
          </w:p>
        </w:tc>
        <w:tc>
          <w:tcPr>
            <w:tcW w:w="2326" w:type="dxa"/>
            <w:vAlign w:val="center"/>
          </w:tcPr>
          <w:p w14:paraId="6B0483C8">
            <w:pPr>
              <w:widowControl/>
              <w:spacing w:line="360" w:lineRule="auto"/>
              <w:jc w:val="center"/>
              <w:textAlignment w:val="center"/>
              <w:rPr>
                <w:rFonts w:ascii="Times New Roman" w:hAnsi="Times New Roman" w:eastAsia="仿宋"/>
                <w:color w:val="000000"/>
                <w:sz w:val="24"/>
                <w:szCs w:val="24"/>
              </w:rPr>
            </w:pPr>
            <w:r>
              <w:rPr>
                <w:rStyle w:val="25"/>
                <w:rFonts w:ascii="Times New Roman" w:hAnsi="Times New Roman" w:eastAsia="仿宋" w:cs="Times New Roman"/>
                <w:sz w:val="24"/>
                <w:szCs w:val="24"/>
                <w:lang w:bidi="ar"/>
              </w:rPr>
              <w:t>卸料口料坑上方</w:t>
            </w:r>
          </w:p>
        </w:tc>
      </w:tr>
      <w:tr w14:paraId="04EA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1" w:type="dxa"/>
            <w:vAlign w:val="center"/>
          </w:tcPr>
          <w:p w14:paraId="174B51C1">
            <w:pPr>
              <w:widowControl/>
              <w:spacing w:line="360" w:lineRule="auto"/>
              <w:jc w:val="center"/>
              <w:rPr>
                <w:rFonts w:ascii="Times New Roman" w:hAnsi="Times New Roman" w:eastAsia="仿宋"/>
                <w:sz w:val="24"/>
                <w:szCs w:val="24"/>
              </w:rPr>
            </w:pPr>
            <w:r>
              <w:rPr>
                <w:rFonts w:ascii="Times New Roman" w:hAnsi="Times New Roman" w:eastAsia="仿宋"/>
                <w:sz w:val="24"/>
                <w:szCs w:val="24"/>
              </w:rPr>
              <w:t>16</w:t>
            </w:r>
          </w:p>
        </w:tc>
        <w:tc>
          <w:tcPr>
            <w:tcW w:w="2684" w:type="dxa"/>
            <w:gridSpan w:val="2"/>
            <w:vAlign w:val="center"/>
          </w:tcPr>
          <w:p w14:paraId="72AF7930">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现场操作箱(国产)</w:t>
            </w:r>
          </w:p>
        </w:tc>
        <w:tc>
          <w:tcPr>
            <w:tcW w:w="3870" w:type="dxa"/>
            <w:gridSpan w:val="2"/>
            <w:vAlign w:val="center"/>
          </w:tcPr>
          <w:p w14:paraId="1DFA6BE0">
            <w:pPr>
              <w:widowControl/>
              <w:spacing w:line="360" w:lineRule="auto"/>
              <w:jc w:val="center"/>
              <w:rPr>
                <w:rFonts w:ascii="Times New Roman" w:hAnsi="Times New Roman" w:eastAsia="仿宋"/>
                <w:sz w:val="24"/>
                <w:szCs w:val="24"/>
              </w:rPr>
            </w:pPr>
            <w:r>
              <w:rPr>
                <w:rStyle w:val="25"/>
                <w:rFonts w:ascii="Times New Roman" w:hAnsi="Times New Roman" w:eastAsia="仿宋" w:cs="Times New Roman"/>
                <w:sz w:val="24"/>
                <w:szCs w:val="24"/>
                <w:lang w:bidi="ar"/>
              </w:rPr>
              <w:t>304厚度2mm、IP65、具备远就地切换、启动停止、急停</w:t>
            </w:r>
          </w:p>
        </w:tc>
        <w:tc>
          <w:tcPr>
            <w:tcW w:w="2326" w:type="dxa"/>
            <w:vAlign w:val="center"/>
          </w:tcPr>
          <w:p w14:paraId="76232624">
            <w:pPr>
              <w:widowControl/>
              <w:spacing w:line="360" w:lineRule="auto"/>
              <w:jc w:val="center"/>
              <w:rPr>
                <w:rFonts w:ascii="Times New Roman" w:hAnsi="Times New Roman" w:eastAsia="仿宋"/>
                <w:sz w:val="24"/>
                <w:szCs w:val="24"/>
              </w:rPr>
            </w:pPr>
          </w:p>
        </w:tc>
      </w:tr>
    </w:tbl>
    <w:p w14:paraId="1AC74C4C">
      <w:pPr>
        <w:pStyle w:val="23"/>
        <w:ind w:firstLine="720"/>
        <w:jc w:val="both"/>
        <w:rPr>
          <w:rFonts w:hint="default"/>
        </w:rPr>
      </w:pPr>
      <w:r>
        <w:rPr>
          <w:lang w:val="en-US"/>
        </w:rPr>
        <w:t>9</w:t>
      </w:r>
      <w:r>
        <w:t>.3.4 木片筛</w:t>
      </w:r>
    </w:p>
    <w:p w14:paraId="77ED1BA7">
      <w:pPr>
        <w:pStyle w:val="32"/>
        <w:ind w:firstLine="960"/>
        <w:jc w:val="both"/>
        <w:rPr>
          <w:rFonts w:hint="default"/>
        </w:rPr>
      </w:pPr>
      <w:r>
        <w:rPr>
          <w:lang w:val="en-US"/>
        </w:rPr>
        <w:t>技术</w:t>
      </w:r>
      <w:r>
        <w:t>特点</w:t>
      </w:r>
      <w:r>
        <w:rPr>
          <w:lang w:val="en-US"/>
        </w:rPr>
        <w:t>要求</w:t>
      </w:r>
      <w:r>
        <w:t>：</w:t>
      </w:r>
    </w:p>
    <w:p w14:paraId="13C7D962">
      <w:pPr>
        <w:pStyle w:val="32"/>
        <w:ind w:left="1080" w:hanging="120" w:firstLineChars="0"/>
        <w:jc w:val="both"/>
        <w:rPr>
          <w:rFonts w:hint="default"/>
        </w:rPr>
      </w:pPr>
      <w:r>
        <w:t>-木片摇筛主要由筛体和支架组成，筛体通过4根高强度钢丝绳吊挂在支架上，并使摇筛形成一定的角度。筛体的运动由电机通过三角带带动安装在筛体的两组板式偏心块回转产生激振力，驱动筛箱作水平圆运动，使筛面上的木片物料迅速螺旋滑行分散，并充分透过筛网(孔)，完成片状物料的最佳筛分效果。摇筛上下轴承润滑采用自动润滑注脂方式，在下轴承处设置上下轴承排油管，方便废旧油脂排出。</w:t>
      </w:r>
    </w:p>
    <w:p w14:paraId="30305A19">
      <w:pPr>
        <w:pStyle w:val="32"/>
        <w:ind w:firstLine="960"/>
        <w:jc w:val="both"/>
        <w:rPr>
          <w:rFonts w:hint="default"/>
        </w:rPr>
      </w:pPr>
      <w:r>
        <w:t>-驱动：通过电机与轴之间用皮带轮机构联接。</w:t>
      </w:r>
    </w:p>
    <w:p w14:paraId="385C969C">
      <w:pPr>
        <w:pStyle w:val="32"/>
        <w:ind w:firstLine="960"/>
        <w:jc w:val="both"/>
        <w:rPr>
          <w:rFonts w:hint="default"/>
        </w:rPr>
      </w:pPr>
      <w:r>
        <w:t>-设备支撑：设备整体采用钢结构支架支撑。</w:t>
      </w:r>
    </w:p>
    <w:p w14:paraId="49568D77">
      <w:pPr>
        <w:pStyle w:val="32"/>
        <w:ind w:firstLine="1200" w:firstLineChars="500"/>
        <w:jc w:val="both"/>
        <w:rPr>
          <w:rFonts w:hint="default"/>
        </w:rPr>
      </w:pPr>
      <w:r>
        <w:t>相关参数：(单台)</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1995"/>
        <w:gridCol w:w="2046"/>
        <w:gridCol w:w="2490"/>
        <w:gridCol w:w="1840"/>
      </w:tblGrid>
      <w:tr w14:paraId="71465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5FD591FF">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输送物料</w:t>
            </w:r>
          </w:p>
        </w:tc>
        <w:tc>
          <w:tcPr>
            <w:tcW w:w="1995" w:type="dxa"/>
            <w:vAlign w:val="center"/>
          </w:tcPr>
          <w:p w14:paraId="569BE6B6">
            <w:pPr>
              <w:spacing w:line="360" w:lineRule="auto"/>
              <w:jc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竹</w:t>
            </w:r>
            <w:r>
              <w:rPr>
                <w:rFonts w:ascii="Times New Roman" w:hAnsi="Times New Roman" w:eastAsia="仿宋"/>
                <w:color w:val="000000"/>
                <w:kern w:val="0"/>
                <w:sz w:val="24"/>
                <w:szCs w:val="24"/>
                <w:lang w:bidi="ar"/>
              </w:rPr>
              <w:t>片</w:t>
            </w:r>
          </w:p>
        </w:tc>
        <w:tc>
          <w:tcPr>
            <w:tcW w:w="2046" w:type="dxa"/>
            <w:vAlign w:val="center"/>
          </w:tcPr>
          <w:p w14:paraId="7D0EF6FA">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外形尺寸</w:t>
            </w:r>
          </w:p>
        </w:tc>
        <w:tc>
          <w:tcPr>
            <w:tcW w:w="4330" w:type="dxa"/>
            <w:gridSpan w:val="2"/>
            <w:vAlign w:val="center"/>
          </w:tcPr>
          <w:p w14:paraId="0B235AC2">
            <w:pPr>
              <w:spacing w:line="360" w:lineRule="auto"/>
              <w:jc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按设计</w:t>
            </w:r>
          </w:p>
        </w:tc>
      </w:tr>
      <w:tr w14:paraId="662C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60FD2C9B">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运行方向</w:t>
            </w:r>
          </w:p>
        </w:tc>
        <w:tc>
          <w:tcPr>
            <w:tcW w:w="1995" w:type="dxa"/>
            <w:vAlign w:val="center"/>
          </w:tcPr>
          <w:p w14:paraId="62E211F0">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单向</w:t>
            </w:r>
          </w:p>
        </w:tc>
        <w:tc>
          <w:tcPr>
            <w:tcW w:w="2046" w:type="dxa"/>
            <w:vAlign w:val="center"/>
          </w:tcPr>
          <w:p w14:paraId="77A879D8">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角   度</w:t>
            </w:r>
          </w:p>
        </w:tc>
        <w:tc>
          <w:tcPr>
            <w:tcW w:w="4330" w:type="dxa"/>
            <w:gridSpan w:val="2"/>
            <w:vAlign w:val="center"/>
          </w:tcPr>
          <w:p w14:paraId="27B1CD7F">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8°</w:t>
            </w:r>
          </w:p>
        </w:tc>
      </w:tr>
      <w:tr w14:paraId="577F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66AD760A">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处理能力</w:t>
            </w:r>
          </w:p>
        </w:tc>
        <w:tc>
          <w:tcPr>
            <w:tcW w:w="1995" w:type="dxa"/>
            <w:vAlign w:val="center"/>
          </w:tcPr>
          <w:p w14:paraId="42220374">
            <w:pPr>
              <w:spacing w:line="360" w:lineRule="auto"/>
              <w:jc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600</w:t>
            </w:r>
            <w:r>
              <w:rPr>
                <w:rFonts w:ascii="Times New Roman" w:hAnsi="Times New Roman" w:eastAsia="仿宋"/>
                <w:color w:val="000000"/>
                <w:kern w:val="0"/>
                <w:sz w:val="24"/>
                <w:szCs w:val="24"/>
                <w:lang w:bidi="ar"/>
              </w:rPr>
              <w:t>m</w:t>
            </w:r>
            <w:r>
              <w:rPr>
                <w:rFonts w:ascii="Times New Roman" w:hAnsi="Times New Roman" w:eastAsia="仿宋"/>
                <w:color w:val="000000"/>
                <w:kern w:val="0"/>
                <w:sz w:val="24"/>
                <w:szCs w:val="24"/>
                <w:vertAlign w:val="superscript"/>
                <w:lang w:bidi="ar"/>
              </w:rPr>
              <w:t>3</w:t>
            </w:r>
            <w:r>
              <w:rPr>
                <w:rFonts w:ascii="Times New Roman" w:hAnsi="Times New Roman" w:eastAsia="仿宋"/>
                <w:color w:val="000000"/>
                <w:kern w:val="0"/>
                <w:sz w:val="24"/>
                <w:szCs w:val="24"/>
                <w:lang w:bidi="ar"/>
              </w:rPr>
              <w:t>/h</w:t>
            </w:r>
            <w:r>
              <w:rPr>
                <w:rFonts w:hint="eastAsia" w:ascii="Times New Roman" w:hAnsi="Times New Roman" w:eastAsia="仿宋"/>
                <w:color w:val="000000"/>
                <w:kern w:val="0"/>
                <w:sz w:val="24"/>
                <w:szCs w:val="24"/>
                <w:lang w:bidi="ar"/>
              </w:rPr>
              <w:t>以上(按设计）</w:t>
            </w:r>
          </w:p>
        </w:tc>
        <w:tc>
          <w:tcPr>
            <w:tcW w:w="2046" w:type="dxa"/>
            <w:vAlign w:val="center"/>
          </w:tcPr>
          <w:p w14:paraId="00668EBE">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筛孔规格</w:t>
            </w:r>
          </w:p>
        </w:tc>
        <w:tc>
          <w:tcPr>
            <w:tcW w:w="4330" w:type="dxa"/>
            <w:gridSpan w:val="2"/>
            <w:vAlign w:val="center"/>
          </w:tcPr>
          <w:p w14:paraId="752DB64C">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上层</w:t>
            </w:r>
            <w:r>
              <w:rPr>
                <w:rFonts w:ascii="Times New Roman" w:hAnsi="Times New Roman" w:eastAsia="仿宋"/>
                <w:sz w:val="24"/>
                <w:szCs w:val="24"/>
              </w:rPr>
              <w:t>Φ</w:t>
            </w:r>
            <w:r>
              <w:rPr>
                <w:rFonts w:ascii="Times New Roman" w:hAnsi="Times New Roman" w:eastAsia="仿宋"/>
                <w:color w:val="000000"/>
                <w:kern w:val="0"/>
                <w:sz w:val="24"/>
                <w:szCs w:val="24"/>
                <w:lang w:bidi="ar"/>
              </w:rPr>
              <w:t>55、中层</w:t>
            </w:r>
            <w:r>
              <w:rPr>
                <w:rFonts w:ascii="Times New Roman" w:hAnsi="Times New Roman" w:eastAsia="仿宋"/>
                <w:sz w:val="24"/>
                <w:szCs w:val="24"/>
              </w:rPr>
              <w:t>Φ</w:t>
            </w:r>
            <w:r>
              <w:rPr>
                <w:rFonts w:ascii="Times New Roman" w:hAnsi="Times New Roman" w:eastAsia="仿宋"/>
                <w:color w:val="000000"/>
                <w:kern w:val="0"/>
                <w:sz w:val="24"/>
                <w:szCs w:val="24"/>
                <w:lang w:bidi="ar"/>
              </w:rPr>
              <w:t>19、下层</w:t>
            </w:r>
            <w:r>
              <w:rPr>
                <w:rFonts w:ascii="Times New Roman" w:hAnsi="Times New Roman" w:eastAsia="仿宋"/>
                <w:sz w:val="24"/>
                <w:szCs w:val="24"/>
              </w:rPr>
              <w:t>Φ</w:t>
            </w:r>
            <w:r>
              <w:rPr>
                <w:rFonts w:ascii="Times New Roman" w:hAnsi="Times New Roman" w:eastAsia="仿宋"/>
                <w:color w:val="000000"/>
                <w:kern w:val="0"/>
                <w:sz w:val="24"/>
                <w:szCs w:val="24"/>
                <w:lang w:bidi="ar"/>
              </w:rPr>
              <w:t>7</w:t>
            </w:r>
          </w:p>
          <w:p w14:paraId="58E692CC">
            <w:pPr>
              <w:spacing w:line="360" w:lineRule="auto"/>
              <w:jc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下层筛板选用3</w:t>
            </w:r>
            <w:r>
              <w:rPr>
                <w:rFonts w:ascii="Times New Roman" w:hAnsi="Times New Roman" w:eastAsia="仿宋"/>
                <w:color w:val="000000"/>
                <w:kern w:val="0"/>
                <w:sz w:val="24"/>
                <w:szCs w:val="24"/>
                <w:lang w:bidi="ar"/>
              </w:rPr>
              <w:t>04</w:t>
            </w:r>
            <w:r>
              <w:rPr>
                <w:rFonts w:hint="eastAsia" w:ascii="Times New Roman" w:hAnsi="Times New Roman" w:eastAsia="仿宋"/>
                <w:color w:val="000000"/>
                <w:kern w:val="0"/>
                <w:sz w:val="24"/>
                <w:szCs w:val="24"/>
                <w:lang w:bidi="ar"/>
              </w:rPr>
              <w:t>材质</w:t>
            </w:r>
          </w:p>
        </w:tc>
      </w:tr>
      <w:tr w14:paraId="7846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6DB37C3B">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设备重量</w:t>
            </w:r>
          </w:p>
        </w:tc>
        <w:tc>
          <w:tcPr>
            <w:tcW w:w="1995" w:type="dxa"/>
            <w:vAlign w:val="center"/>
          </w:tcPr>
          <w:p w14:paraId="40A70E72">
            <w:pPr>
              <w:spacing w:line="360" w:lineRule="auto"/>
              <w:jc w:val="center"/>
              <w:rPr>
                <w:rFonts w:ascii="Times New Roman" w:hAnsi="Times New Roman" w:eastAsia="仿宋"/>
                <w:color w:val="000000"/>
                <w:kern w:val="0"/>
                <w:sz w:val="24"/>
                <w:szCs w:val="24"/>
                <w:lang w:bidi="ar"/>
              </w:rPr>
            </w:pPr>
          </w:p>
        </w:tc>
        <w:tc>
          <w:tcPr>
            <w:tcW w:w="2046" w:type="dxa"/>
            <w:vAlign w:val="center"/>
          </w:tcPr>
          <w:p w14:paraId="69F8C467">
            <w:pPr>
              <w:spacing w:line="360" w:lineRule="auto"/>
              <w:jc w:val="center"/>
              <w:rPr>
                <w:rFonts w:ascii="Times New Roman" w:hAnsi="Times New Roman" w:eastAsia="仿宋"/>
                <w:color w:val="000000"/>
                <w:kern w:val="0"/>
                <w:sz w:val="24"/>
                <w:szCs w:val="24"/>
                <w:lang w:bidi="ar"/>
              </w:rPr>
            </w:pPr>
          </w:p>
        </w:tc>
        <w:tc>
          <w:tcPr>
            <w:tcW w:w="4330" w:type="dxa"/>
            <w:gridSpan w:val="2"/>
            <w:vAlign w:val="center"/>
          </w:tcPr>
          <w:p w14:paraId="3056695F">
            <w:pPr>
              <w:spacing w:line="360" w:lineRule="auto"/>
              <w:jc w:val="center"/>
              <w:rPr>
                <w:rFonts w:ascii="Times New Roman" w:hAnsi="Times New Roman" w:eastAsia="仿宋"/>
                <w:color w:val="000000"/>
                <w:kern w:val="0"/>
                <w:sz w:val="24"/>
                <w:szCs w:val="24"/>
                <w:lang w:bidi="ar"/>
              </w:rPr>
            </w:pPr>
          </w:p>
        </w:tc>
      </w:tr>
      <w:tr w14:paraId="57D2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9238" w:type="dxa"/>
            <w:gridSpan w:val="5"/>
            <w:vAlign w:val="center"/>
          </w:tcPr>
          <w:p w14:paraId="714F017A">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单台设备关键件描述</w:t>
            </w:r>
          </w:p>
        </w:tc>
      </w:tr>
      <w:tr w14:paraId="2B20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1FF8D235">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序号</w:t>
            </w:r>
          </w:p>
        </w:tc>
        <w:tc>
          <w:tcPr>
            <w:tcW w:w="1995" w:type="dxa"/>
            <w:vAlign w:val="center"/>
          </w:tcPr>
          <w:p w14:paraId="33942D31">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名称</w:t>
            </w:r>
          </w:p>
        </w:tc>
        <w:tc>
          <w:tcPr>
            <w:tcW w:w="4536" w:type="dxa"/>
            <w:gridSpan w:val="2"/>
            <w:vAlign w:val="center"/>
          </w:tcPr>
          <w:p w14:paraId="1D81612C">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规格型号</w:t>
            </w:r>
          </w:p>
        </w:tc>
        <w:tc>
          <w:tcPr>
            <w:tcW w:w="1840" w:type="dxa"/>
            <w:vAlign w:val="center"/>
          </w:tcPr>
          <w:p w14:paraId="2B3E5741">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备注</w:t>
            </w:r>
          </w:p>
        </w:tc>
      </w:tr>
      <w:tr w14:paraId="38B5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41D5D60C">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1</w:t>
            </w:r>
          </w:p>
        </w:tc>
        <w:tc>
          <w:tcPr>
            <w:tcW w:w="1995" w:type="dxa"/>
            <w:vAlign w:val="center"/>
          </w:tcPr>
          <w:p w14:paraId="2446F02C">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电机</w:t>
            </w:r>
          </w:p>
        </w:tc>
        <w:tc>
          <w:tcPr>
            <w:tcW w:w="4536" w:type="dxa"/>
            <w:gridSpan w:val="2"/>
            <w:vAlign w:val="center"/>
          </w:tcPr>
          <w:p w14:paraId="779F8EF8">
            <w:pPr>
              <w:spacing w:line="360" w:lineRule="auto"/>
              <w:jc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按设计</w:t>
            </w:r>
          </w:p>
        </w:tc>
        <w:tc>
          <w:tcPr>
            <w:tcW w:w="1840" w:type="dxa"/>
            <w:vAlign w:val="center"/>
          </w:tcPr>
          <w:p w14:paraId="4A1CAAEE">
            <w:pPr>
              <w:spacing w:line="360" w:lineRule="auto"/>
              <w:jc w:val="center"/>
              <w:rPr>
                <w:rFonts w:ascii="Times New Roman" w:hAnsi="Times New Roman" w:eastAsia="仿宋"/>
                <w:color w:val="000000"/>
                <w:kern w:val="0"/>
                <w:sz w:val="24"/>
                <w:szCs w:val="24"/>
                <w:lang w:bidi="ar"/>
              </w:rPr>
            </w:pPr>
          </w:p>
        </w:tc>
      </w:tr>
      <w:tr w14:paraId="579E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613E6101">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2</w:t>
            </w:r>
          </w:p>
        </w:tc>
        <w:tc>
          <w:tcPr>
            <w:tcW w:w="1995" w:type="dxa"/>
            <w:vAlign w:val="center"/>
          </w:tcPr>
          <w:p w14:paraId="5EDEFC77">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轴</w:t>
            </w:r>
          </w:p>
        </w:tc>
        <w:tc>
          <w:tcPr>
            <w:tcW w:w="4536" w:type="dxa"/>
            <w:gridSpan w:val="2"/>
            <w:vAlign w:val="center"/>
          </w:tcPr>
          <w:p w14:paraId="7E85C9CD">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16Mn</w:t>
            </w:r>
          </w:p>
        </w:tc>
        <w:tc>
          <w:tcPr>
            <w:tcW w:w="1840" w:type="dxa"/>
            <w:vAlign w:val="center"/>
          </w:tcPr>
          <w:p w14:paraId="4CDD8547">
            <w:pPr>
              <w:spacing w:line="360" w:lineRule="auto"/>
              <w:jc w:val="center"/>
              <w:rPr>
                <w:rFonts w:ascii="Times New Roman" w:hAnsi="Times New Roman" w:eastAsia="仿宋"/>
                <w:color w:val="000000"/>
                <w:kern w:val="0"/>
                <w:sz w:val="24"/>
                <w:szCs w:val="24"/>
                <w:lang w:bidi="ar"/>
              </w:rPr>
            </w:pPr>
          </w:p>
        </w:tc>
      </w:tr>
      <w:tr w14:paraId="4027A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6B431C50">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3</w:t>
            </w:r>
          </w:p>
        </w:tc>
        <w:tc>
          <w:tcPr>
            <w:tcW w:w="1995" w:type="dxa"/>
            <w:vAlign w:val="center"/>
          </w:tcPr>
          <w:p w14:paraId="3A357F59">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轴承</w:t>
            </w:r>
          </w:p>
        </w:tc>
        <w:tc>
          <w:tcPr>
            <w:tcW w:w="4536" w:type="dxa"/>
            <w:gridSpan w:val="2"/>
            <w:vAlign w:val="center"/>
          </w:tcPr>
          <w:p w14:paraId="5D7F7A12">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组件</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SKF/FAG</w:t>
            </w:r>
          </w:p>
        </w:tc>
        <w:tc>
          <w:tcPr>
            <w:tcW w:w="1840" w:type="dxa"/>
            <w:vAlign w:val="center"/>
          </w:tcPr>
          <w:p w14:paraId="77EAD9AF">
            <w:pPr>
              <w:spacing w:line="360" w:lineRule="auto"/>
              <w:jc w:val="center"/>
              <w:rPr>
                <w:rFonts w:ascii="Times New Roman" w:hAnsi="Times New Roman" w:eastAsia="仿宋"/>
                <w:color w:val="000000"/>
                <w:kern w:val="0"/>
                <w:sz w:val="24"/>
                <w:szCs w:val="24"/>
                <w:lang w:bidi="ar"/>
              </w:rPr>
            </w:pPr>
          </w:p>
        </w:tc>
      </w:tr>
      <w:tr w14:paraId="57155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10B0F5EB">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4</w:t>
            </w:r>
          </w:p>
        </w:tc>
        <w:tc>
          <w:tcPr>
            <w:tcW w:w="1995" w:type="dxa"/>
            <w:vAlign w:val="center"/>
          </w:tcPr>
          <w:p w14:paraId="5D4C3AA8">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筛框</w:t>
            </w:r>
          </w:p>
        </w:tc>
        <w:tc>
          <w:tcPr>
            <w:tcW w:w="4536" w:type="dxa"/>
            <w:gridSpan w:val="2"/>
            <w:vAlign w:val="center"/>
          </w:tcPr>
          <w:p w14:paraId="3A7854A1">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Q235组件</w:t>
            </w:r>
          </w:p>
        </w:tc>
        <w:tc>
          <w:tcPr>
            <w:tcW w:w="1840" w:type="dxa"/>
            <w:vAlign w:val="center"/>
          </w:tcPr>
          <w:p w14:paraId="39B788B6">
            <w:pPr>
              <w:spacing w:line="360" w:lineRule="auto"/>
              <w:jc w:val="center"/>
              <w:rPr>
                <w:rFonts w:ascii="Times New Roman" w:hAnsi="Times New Roman" w:eastAsia="仿宋"/>
                <w:color w:val="000000"/>
                <w:kern w:val="0"/>
                <w:sz w:val="24"/>
                <w:szCs w:val="24"/>
                <w:lang w:bidi="ar"/>
              </w:rPr>
            </w:pPr>
          </w:p>
        </w:tc>
      </w:tr>
      <w:tr w14:paraId="5B89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5D34CF61">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5</w:t>
            </w:r>
          </w:p>
        </w:tc>
        <w:tc>
          <w:tcPr>
            <w:tcW w:w="1995" w:type="dxa"/>
            <w:vAlign w:val="center"/>
          </w:tcPr>
          <w:p w14:paraId="1CBD91F4">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筛体</w:t>
            </w:r>
          </w:p>
        </w:tc>
        <w:tc>
          <w:tcPr>
            <w:tcW w:w="4536" w:type="dxa"/>
            <w:gridSpan w:val="2"/>
            <w:vAlign w:val="center"/>
          </w:tcPr>
          <w:p w14:paraId="20CBCF1C">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Q235组件，筛体的底板为304不锈钢材质，厚度3mm</w:t>
            </w:r>
            <w:r>
              <w:rPr>
                <w:rFonts w:hint="eastAsia" w:ascii="Times New Roman" w:hAnsi="Times New Roman" w:eastAsia="仿宋"/>
                <w:color w:val="000000"/>
                <w:kern w:val="0"/>
                <w:sz w:val="24"/>
                <w:szCs w:val="24"/>
                <w:lang w:bidi="ar"/>
              </w:rPr>
              <w:t>；</w:t>
            </w:r>
          </w:p>
        </w:tc>
        <w:tc>
          <w:tcPr>
            <w:tcW w:w="1840" w:type="dxa"/>
            <w:vAlign w:val="center"/>
          </w:tcPr>
          <w:p w14:paraId="6C65E5D9">
            <w:pPr>
              <w:spacing w:line="360" w:lineRule="auto"/>
              <w:jc w:val="center"/>
              <w:rPr>
                <w:rFonts w:ascii="Times New Roman" w:hAnsi="Times New Roman" w:eastAsia="仿宋"/>
                <w:color w:val="000000"/>
                <w:kern w:val="0"/>
                <w:sz w:val="24"/>
                <w:szCs w:val="24"/>
                <w:lang w:bidi="ar"/>
              </w:rPr>
            </w:pPr>
          </w:p>
        </w:tc>
      </w:tr>
      <w:tr w14:paraId="251E5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76C26DA5">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6</w:t>
            </w:r>
          </w:p>
        </w:tc>
        <w:tc>
          <w:tcPr>
            <w:tcW w:w="1995" w:type="dxa"/>
            <w:vAlign w:val="center"/>
          </w:tcPr>
          <w:p w14:paraId="5DAB7AC5">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筛网</w:t>
            </w:r>
          </w:p>
        </w:tc>
        <w:tc>
          <w:tcPr>
            <w:tcW w:w="4536" w:type="dxa"/>
            <w:gridSpan w:val="2"/>
            <w:vAlign w:val="center"/>
          </w:tcPr>
          <w:p w14:paraId="276888FA">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上层筛板：Q235A</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厚度5mm</w:t>
            </w:r>
            <w:r>
              <w:rPr>
                <w:rFonts w:hint="eastAsia" w:ascii="Times New Roman" w:hAnsi="Times New Roman" w:eastAsia="仿宋"/>
                <w:color w:val="000000"/>
                <w:kern w:val="0"/>
                <w:sz w:val="24"/>
                <w:szCs w:val="24"/>
                <w:lang w:bidi="ar"/>
              </w:rPr>
              <w:t>；</w:t>
            </w:r>
            <w:r>
              <w:rPr>
                <w:rFonts w:ascii="Times New Roman" w:hAnsi="Times New Roman" w:eastAsia="仿宋"/>
                <w:color w:val="000000"/>
                <w:kern w:val="0"/>
                <w:sz w:val="24"/>
                <w:szCs w:val="24"/>
                <w:lang w:bidi="ar"/>
              </w:rPr>
              <w:t>中层筛板：Q235A</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厚度4mm</w:t>
            </w:r>
            <w:r>
              <w:rPr>
                <w:rFonts w:hint="eastAsia" w:ascii="Times New Roman" w:hAnsi="Times New Roman" w:eastAsia="仿宋"/>
                <w:color w:val="000000"/>
                <w:kern w:val="0"/>
                <w:sz w:val="24"/>
                <w:szCs w:val="24"/>
                <w:lang w:bidi="ar"/>
              </w:rPr>
              <w:t>；</w:t>
            </w:r>
            <w:r>
              <w:rPr>
                <w:rFonts w:ascii="Times New Roman" w:hAnsi="Times New Roman" w:eastAsia="仿宋"/>
                <w:color w:val="000000"/>
                <w:kern w:val="0"/>
                <w:sz w:val="24"/>
                <w:szCs w:val="24"/>
                <w:lang w:bidi="ar"/>
              </w:rPr>
              <w:t>下层筛板：304</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厚度3mm</w:t>
            </w:r>
            <w:r>
              <w:rPr>
                <w:rFonts w:hint="eastAsia" w:ascii="Times New Roman" w:hAnsi="Times New Roman" w:eastAsia="仿宋"/>
                <w:color w:val="000000"/>
                <w:kern w:val="0"/>
                <w:sz w:val="24"/>
                <w:szCs w:val="24"/>
                <w:lang w:bidi="ar"/>
              </w:rPr>
              <w:t>；</w:t>
            </w:r>
          </w:p>
        </w:tc>
        <w:tc>
          <w:tcPr>
            <w:tcW w:w="1840" w:type="dxa"/>
            <w:vAlign w:val="center"/>
          </w:tcPr>
          <w:p w14:paraId="2E685521">
            <w:pPr>
              <w:spacing w:line="360" w:lineRule="auto"/>
              <w:jc w:val="center"/>
              <w:rPr>
                <w:rFonts w:ascii="Times New Roman" w:hAnsi="Times New Roman" w:eastAsia="仿宋"/>
                <w:color w:val="000000"/>
                <w:kern w:val="0"/>
                <w:sz w:val="24"/>
                <w:szCs w:val="24"/>
                <w:lang w:bidi="ar"/>
              </w:rPr>
            </w:pPr>
          </w:p>
        </w:tc>
      </w:tr>
      <w:tr w14:paraId="0DAE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5405F176">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7</w:t>
            </w:r>
          </w:p>
        </w:tc>
        <w:tc>
          <w:tcPr>
            <w:tcW w:w="1995" w:type="dxa"/>
            <w:vAlign w:val="center"/>
          </w:tcPr>
          <w:p w14:paraId="1818DB40">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钢丝绳</w:t>
            </w:r>
          </w:p>
        </w:tc>
        <w:tc>
          <w:tcPr>
            <w:tcW w:w="4536" w:type="dxa"/>
            <w:gridSpan w:val="2"/>
            <w:vAlign w:val="center"/>
          </w:tcPr>
          <w:p w14:paraId="1F077AF1">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特制</w:t>
            </w:r>
          </w:p>
        </w:tc>
        <w:tc>
          <w:tcPr>
            <w:tcW w:w="1840" w:type="dxa"/>
            <w:vAlign w:val="center"/>
          </w:tcPr>
          <w:p w14:paraId="7B8B7166">
            <w:pPr>
              <w:spacing w:line="360" w:lineRule="auto"/>
              <w:jc w:val="center"/>
              <w:rPr>
                <w:rFonts w:ascii="Times New Roman" w:hAnsi="Times New Roman" w:eastAsia="仿宋"/>
                <w:color w:val="000000"/>
                <w:kern w:val="0"/>
                <w:sz w:val="24"/>
                <w:szCs w:val="24"/>
                <w:lang w:bidi="ar"/>
              </w:rPr>
            </w:pPr>
          </w:p>
        </w:tc>
      </w:tr>
      <w:tr w14:paraId="64A0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6337D767">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8</w:t>
            </w:r>
          </w:p>
        </w:tc>
        <w:tc>
          <w:tcPr>
            <w:tcW w:w="1995" w:type="dxa"/>
            <w:vAlign w:val="center"/>
          </w:tcPr>
          <w:p w14:paraId="7DFE8F73">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筛体密封盖板</w:t>
            </w:r>
          </w:p>
        </w:tc>
        <w:tc>
          <w:tcPr>
            <w:tcW w:w="4536" w:type="dxa"/>
            <w:gridSpan w:val="2"/>
            <w:vAlign w:val="center"/>
          </w:tcPr>
          <w:p w14:paraId="311F0BAF">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Q235组件</w:t>
            </w:r>
          </w:p>
        </w:tc>
        <w:tc>
          <w:tcPr>
            <w:tcW w:w="1840" w:type="dxa"/>
            <w:vAlign w:val="center"/>
          </w:tcPr>
          <w:p w14:paraId="09A29E0E">
            <w:pPr>
              <w:spacing w:line="360" w:lineRule="auto"/>
              <w:jc w:val="center"/>
              <w:rPr>
                <w:rFonts w:ascii="Times New Roman" w:hAnsi="Times New Roman" w:eastAsia="仿宋"/>
                <w:color w:val="000000"/>
                <w:kern w:val="0"/>
                <w:sz w:val="24"/>
                <w:szCs w:val="24"/>
                <w:lang w:bidi="ar"/>
              </w:rPr>
            </w:pPr>
          </w:p>
        </w:tc>
      </w:tr>
      <w:tr w14:paraId="07B8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2ADE1F9A">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9</w:t>
            </w:r>
          </w:p>
        </w:tc>
        <w:tc>
          <w:tcPr>
            <w:tcW w:w="1995" w:type="dxa"/>
            <w:vAlign w:val="center"/>
          </w:tcPr>
          <w:p w14:paraId="06154C3F">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皮带轮</w:t>
            </w:r>
          </w:p>
        </w:tc>
        <w:tc>
          <w:tcPr>
            <w:tcW w:w="4536" w:type="dxa"/>
            <w:gridSpan w:val="2"/>
            <w:vAlign w:val="center"/>
          </w:tcPr>
          <w:p w14:paraId="4E57A1E8">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铸铁</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组件</w:t>
            </w:r>
          </w:p>
        </w:tc>
        <w:tc>
          <w:tcPr>
            <w:tcW w:w="1840" w:type="dxa"/>
            <w:vAlign w:val="center"/>
          </w:tcPr>
          <w:p w14:paraId="5E08F66D">
            <w:pPr>
              <w:spacing w:line="360" w:lineRule="auto"/>
              <w:jc w:val="center"/>
              <w:rPr>
                <w:rFonts w:ascii="Times New Roman" w:hAnsi="Times New Roman" w:eastAsia="仿宋"/>
                <w:color w:val="000000"/>
                <w:kern w:val="0"/>
                <w:sz w:val="24"/>
                <w:szCs w:val="24"/>
                <w:lang w:bidi="ar"/>
              </w:rPr>
            </w:pPr>
          </w:p>
        </w:tc>
      </w:tr>
      <w:tr w14:paraId="2A78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2EAFDF0A">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10</w:t>
            </w:r>
          </w:p>
        </w:tc>
        <w:tc>
          <w:tcPr>
            <w:tcW w:w="1995" w:type="dxa"/>
            <w:vAlign w:val="center"/>
          </w:tcPr>
          <w:p w14:paraId="52E33701">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自动润滑系统</w:t>
            </w:r>
          </w:p>
        </w:tc>
        <w:tc>
          <w:tcPr>
            <w:tcW w:w="4536" w:type="dxa"/>
            <w:gridSpan w:val="2"/>
            <w:vAlign w:val="center"/>
          </w:tcPr>
          <w:p w14:paraId="661CB5D8">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组件</w:t>
            </w:r>
          </w:p>
        </w:tc>
        <w:tc>
          <w:tcPr>
            <w:tcW w:w="1840" w:type="dxa"/>
            <w:vAlign w:val="center"/>
          </w:tcPr>
          <w:p w14:paraId="59F8F8BF">
            <w:pPr>
              <w:spacing w:line="360" w:lineRule="auto"/>
              <w:jc w:val="center"/>
              <w:rPr>
                <w:rFonts w:ascii="Times New Roman" w:hAnsi="Times New Roman" w:eastAsia="仿宋"/>
                <w:color w:val="000000"/>
                <w:kern w:val="0"/>
                <w:sz w:val="24"/>
                <w:szCs w:val="24"/>
                <w:lang w:bidi="ar"/>
              </w:rPr>
            </w:pPr>
          </w:p>
        </w:tc>
      </w:tr>
      <w:tr w14:paraId="3EAB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7" w:type="dxa"/>
            <w:vAlign w:val="center"/>
          </w:tcPr>
          <w:p w14:paraId="0F2A799A">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11</w:t>
            </w:r>
          </w:p>
        </w:tc>
        <w:tc>
          <w:tcPr>
            <w:tcW w:w="1995" w:type="dxa"/>
            <w:vAlign w:val="center"/>
          </w:tcPr>
          <w:p w14:paraId="7ADC7147">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现场控制箱</w:t>
            </w:r>
          </w:p>
        </w:tc>
        <w:tc>
          <w:tcPr>
            <w:tcW w:w="4536" w:type="dxa"/>
            <w:gridSpan w:val="2"/>
            <w:vAlign w:val="center"/>
          </w:tcPr>
          <w:p w14:paraId="7A1A4F82">
            <w:pPr>
              <w:spacing w:line="360" w:lineRule="auto"/>
              <w:jc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304厚度2mm、IP65、具备远就地切换、启动停止、急停</w:t>
            </w:r>
          </w:p>
        </w:tc>
        <w:tc>
          <w:tcPr>
            <w:tcW w:w="1840" w:type="dxa"/>
            <w:vAlign w:val="center"/>
          </w:tcPr>
          <w:p w14:paraId="0F9D61F3">
            <w:pPr>
              <w:spacing w:line="360" w:lineRule="auto"/>
              <w:jc w:val="center"/>
              <w:rPr>
                <w:rFonts w:ascii="Times New Roman" w:hAnsi="Times New Roman" w:eastAsia="仿宋"/>
                <w:color w:val="000000"/>
                <w:kern w:val="0"/>
                <w:sz w:val="24"/>
                <w:szCs w:val="24"/>
                <w:lang w:bidi="ar"/>
              </w:rPr>
            </w:pPr>
          </w:p>
        </w:tc>
      </w:tr>
    </w:tbl>
    <w:p w14:paraId="00A7E4FA">
      <w:pPr>
        <w:pStyle w:val="23"/>
        <w:ind w:firstLine="720"/>
        <w:jc w:val="both"/>
        <w:rPr>
          <w:rFonts w:hint="default"/>
        </w:rPr>
      </w:pPr>
      <w:r>
        <w:rPr>
          <w:lang w:val="en-US"/>
        </w:rPr>
        <w:t>9</w:t>
      </w:r>
      <w:r>
        <w:t>.3.5再碎机</w:t>
      </w:r>
    </w:p>
    <w:p w14:paraId="5C0AA13C">
      <w:pPr>
        <w:pStyle w:val="32"/>
        <w:ind w:firstLine="960"/>
        <w:jc w:val="both"/>
        <w:rPr>
          <w:rFonts w:hint="default"/>
        </w:rPr>
      </w:pPr>
      <w:r>
        <w:rPr>
          <w:lang w:val="en-US"/>
        </w:rPr>
        <w:t>技术</w:t>
      </w:r>
      <w:r>
        <w:t>特点</w:t>
      </w:r>
      <w:r>
        <w:rPr>
          <w:lang w:val="en-US"/>
        </w:rPr>
        <w:t>要求</w:t>
      </w:r>
      <w:r>
        <w:t>：</w:t>
      </w:r>
    </w:p>
    <w:p w14:paraId="01E0B3CB">
      <w:pPr>
        <w:pStyle w:val="32"/>
        <w:ind w:left="1080" w:hanging="120" w:firstLineChars="0"/>
        <w:jc w:val="both"/>
        <w:rPr>
          <w:rFonts w:hint="default"/>
        </w:rPr>
      </w:pPr>
      <w:r>
        <w:t>-将木片筛出来的过大竹片切碎成合格竹片，再通过刀盘的高速旋转，由旋风分离器回到木片筛再次筛选；进料形式为侧向，出料形式为顶部出料。</w:t>
      </w:r>
    </w:p>
    <w:p w14:paraId="7E3FEE0D">
      <w:pPr>
        <w:pStyle w:val="32"/>
        <w:ind w:firstLine="960"/>
        <w:jc w:val="both"/>
        <w:rPr>
          <w:rFonts w:hint="default"/>
        </w:rPr>
      </w:pPr>
      <w:r>
        <w:t>-驱动：通过电机与轴之间用皮带轮机构联接。</w:t>
      </w:r>
    </w:p>
    <w:p w14:paraId="40722E8C">
      <w:pPr>
        <w:pStyle w:val="32"/>
        <w:ind w:firstLine="960"/>
        <w:jc w:val="both"/>
        <w:rPr>
          <w:rFonts w:hint="default"/>
        </w:rPr>
      </w:pPr>
      <w:r>
        <w:t>-设备支撑：设备整体采用混凝土支撑，并通过二次灌浆加固。</w:t>
      </w:r>
    </w:p>
    <w:p w14:paraId="72253F53">
      <w:pPr>
        <w:pStyle w:val="32"/>
        <w:ind w:firstLine="960"/>
        <w:jc w:val="both"/>
        <w:rPr>
          <w:rFonts w:hint="default"/>
        </w:rPr>
      </w:pPr>
      <w:r>
        <w:t>相关参数：(单台)</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870"/>
        <w:gridCol w:w="2135"/>
        <w:gridCol w:w="310"/>
        <w:gridCol w:w="2385"/>
        <w:gridCol w:w="594"/>
        <w:gridCol w:w="2026"/>
      </w:tblGrid>
      <w:tr w14:paraId="6ADE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88" w:type="dxa"/>
            <w:gridSpan w:val="2"/>
            <w:vAlign w:val="center"/>
          </w:tcPr>
          <w:p w14:paraId="7A917C30">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输送物料</w:t>
            </w:r>
          </w:p>
        </w:tc>
        <w:tc>
          <w:tcPr>
            <w:tcW w:w="2445" w:type="dxa"/>
            <w:gridSpan w:val="2"/>
            <w:vAlign w:val="center"/>
          </w:tcPr>
          <w:p w14:paraId="14A885C8">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过大</w:t>
            </w:r>
            <w:r>
              <w:rPr>
                <w:rFonts w:hint="eastAsia" w:ascii="Times New Roman" w:hAnsi="Times New Roman" w:eastAsia="仿宋"/>
                <w:color w:val="000000"/>
                <w:kern w:val="0"/>
                <w:sz w:val="24"/>
                <w:szCs w:val="24"/>
                <w:lang w:bidi="ar"/>
              </w:rPr>
              <w:t>竹</w:t>
            </w:r>
            <w:r>
              <w:rPr>
                <w:rFonts w:ascii="Times New Roman" w:hAnsi="Times New Roman" w:eastAsia="仿宋"/>
                <w:color w:val="000000"/>
                <w:kern w:val="0"/>
                <w:sz w:val="24"/>
                <w:szCs w:val="24"/>
                <w:lang w:bidi="ar"/>
              </w:rPr>
              <w:t>片</w:t>
            </w:r>
          </w:p>
        </w:tc>
        <w:tc>
          <w:tcPr>
            <w:tcW w:w="2385" w:type="dxa"/>
            <w:vAlign w:val="center"/>
          </w:tcPr>
          <w:p w14:paraId="15F91A5F">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运行方向</w:t>
            </w:r>
          </w:p>
        </w:tc>
        <w:tc>
          <w:tcPr>
            <w:tcW w:w="2620" w:type="dxa"/>
            <w:gridSpan w:val="2"/>
            <w:vAlign w:val="center"/>
          </w:tcPr>
          <w:p w14:paraId="21489800">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单向</w:t>
            </w:r>
          </w:p>
        </w:tc>
      </w:tr>
      <w:tr w14:paraId="5BC6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88" w:type="dxa"/>
            <w:gridSpan w:val="2"/>
            <w:vAlign w:val="center"/>
          </w:tcPr>
          <w:p w14:paraId="4567024D">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处理能力</w:t>
            </w:r>
          </w:p>
        </w:tc>
        <w:tc>
          <w:tcPr>
            <w:tcW w:w="2445" w:type="dxa"/>
            <w:gridSpan w:val="2"/>
            <w:vAlign w:val="center"/>
          </w:tcPr>
          <w:p w14:paraId="299B6FC2">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100m</w:t>
            </w:r>
            <w:r>
              <w:rPr>
                <w:rFonts w:ascii="Times New Roman" w:hAnsi="Times New Roman" w:eastAsia="仿宋"/>
                <w:color w:val="000000"/>
                <w:kern w:val="0"/>
                <w:sz w:val="24"/>
                <w:szCs w:val="24"/>
                <w:vertAlign w:val="superscript"/>
                <w:lang w:bidi="ar"/>
              </w:rPr>
              <w:t>3</w:t>
            </w:r>
            <w:r>
              <w:rPr>
                <w:rFonts w:ascii="Times New Roman" w:hAnsi="Times New Roman" w:eastAsia="仿宋"/>
                <w:color w:val="000000"/>
                <w:kern w:val="0"/>
                <w:sz w:val="24"/>
                <w:szCs w:val="24"/>
                <w:lang w:bidi="ar"/>
              </w:rPr>
              <w:t>/h</w:t>
            </w:r>
            <w:r>
              <w:rPr>
                <w:rFonts w:hint="eastAsia" w:ascii="Times New Roman" w:hAnsi="Times New Roman" w:eastAsia="仿宋"/>
                <w:color w:val="000000"/>
                <w:kern w:val="0"/>
                <w:sz w:val="24"/>
                <w:szCs w:val="24"/>
                <w:lang w:bidi="ar"/>
              </w:rPr>
              <w:t>以上（按设计）</w:t>
            </w:r>
          </w:p>
        </w:tc>
        <w:tc>
          <w:tcPr>
            <w:tcW w:w="2385" w:type="dxa"/>
            <w:vAlign w:val="center"/>
          </w:tcPr>
          <w:p w14:paraId="5634017B">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刀盘直径</w:t>
            </w:r>
          </w:p>
        </w:tc>
        <w:tc>
          <w:tcPr>
            <w:tcW w:w="2620" w:type="dxa"/>
            <w:gridSpan w:val="2"/>
            <w:vAlign w:val="center"/>
          </w:tcPr>
          <w:p w14:paraId="6E7A3BBE">
            <w:pPr>
              <w:widowControl/>
              <w:spacing w:line="360" w:lineRule="auto"/>
              <w:jc w:val="center"/>
              <w:textAlignment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按设计</w:t>
            </w:r>
          </w:p>
        </w:tc>
      </w:tr>
      <w:tr w14:paraId="5F18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88" w:type="dxa"/>
            <w:gridSpan w:val="2"/>
            <w:vAlign w:val="center"/>
          </w:tcPr>
          <w:p w14:paraId="7D34BE1E">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刀盘转速</w:t>
            </w:r>
          </w:p>
        </w:tc>
        <w:tc>
          <w:tcPr>
            <w:tcW w:w="2445" w:type="dxa"/>
            <w:gridSpan w:val="2"/>
            <w:vAlign w:val="center"/>
          </w:tcPr>
          <w:p w14:paraId="682C82EE">
            <w:pPr>
              <w:widowControl/>
              <w:spacing w:line="360" w:lineRule="auto"/>
              <w:jc w:val="center"/>
              <w:textAlignment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按设计</w:t>
            </w:r>
          </w:p>
        </w:tc>
        <w:tc>
          <w:tcPr>
            <w:tcW w:w="2385" w:type="dxa"/>
            <w:vAlign w:val="center"/>
          </w:tcPr>
          <w:p w14:paraId="54A0CCB2">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再碎合格率</w:t>
            </w:r>
          </w:p>
        </w:tc>
        <w:tc>
          <w:tcPr>
            <w:tcW w:w="2620" w:type="dxa"/>
            <w:gridSpan w:val="2"/>
            <w:vAlign w:val="center"/>
          </w:tcPr>
          <w:p w14:paraId="25FC1B75">
            <w:pPr>
              <w:widowControl/>
              <w:spacing w:line="360" w:lineRule="auto"/>
              <w:jc w:val="center"/>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≥80%</w:t>
            </w:r>
          </w:p>
        </w:tc>
      </w:tr>
      <w:tr w14:paraId="238B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88" w:type="dxa"/>
            <w:gridSpan w:val="2"/>
            <w:vAlign w:val="center"/>
          </w:tcPr>
          <w:p w14:paraId="54C30E1F">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设备重量</w:t>
            </w:r>
          </w:p>
        </w:tc>
        <w:tc>
          <w:tcPr>
            <w:tcW w:w="2445" w:type="dxa"/>
            <w:gridSpan w:val="2"/>
            <w:vAlign w:val="center"/>
          </w:tcPr>
          <w:p w14:paraId="20484D35">
            <w:pPr>
              <w:widowControl/>
              <w:spacing w:line="360" w:lineRule="auto"/>
              <w:jc w:val="center"/>
              <w:textAlignment w:val="top"/>
              <w:rPr>
                <w:rFonts w:ascii="Times New Roman" w:hAnsi="Times New Roman" w:eastAsia="仿宋"/>
                <w:color w:val="000000"/>
                <w:kern w:val="0"/>
                <w:sz w:val="24"/>
                <w:szCs w:val="24"/>
                <w:lang w:bidi="ar"/>
              </w:rPr>
            </w:pPr>
          </w:p>
        </w:tc>
        <w:tc>
          <w:tcPr>
            <w:tcW w:w="2385" w:type="dxa"/>
            <w:vAlign w:val="center"/>
          </w:tcPr>
          <w:p w14:paraId="1742CA55">
            <w:pPr>
              <w:spacing w:line="360" w:lineRule="auto"/>
              <w:jc w:val="center"/>
              <w:rPr>
                <w:rFonts w:ascii="Times New Roman" w:hAnsi="Times New Roman" w:eastAsia="仿宋"/>
                <w:color w:val="000000"/>
                <w:kern w:val="0"/>
                <w:sz w:val="24"/>
                <w:szCs w:val="24"/>
                <w:lang w:bidi="ar"/>
              </w:rPr>
            </w:pPr>
          </w:p>
        </w:tc>
        <w:tc>
          <w:tcPr>
            <w:tcW w:w="2620" w:type="dxa"/>
            <w:gridSpan w:val="2"/>
            <w:vAlign w:val="center"/>
          </w:tcPr>
          <w:p w14:paraId="36FF0C36">
            <w:pPr>
              <w:spacing w:line="360" w:lineRule="auto"/>
              <w:jc w:val="center"/>
              <w:rPr>
                <w:rFonts w:ascii="Times New Roman" w:hAnsi="Times New Roman" w:eastAsia="仿宋"/>
                <w:color w:val="000000"/>
                <w:kern w:val="0"/>
                <w:sz w:val="24"/>
                <w:szCs w:val="24"/>
                <w:lang w:bidi="ar"/>
              </w:rPr>
            </w:pPr>
          </w:p>
        </w:tc>
      </w:tr>
      <w:tr w14:paraId="7A2A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8" w:type="dxa"/>
            <w:gridSpan w:val="7"/>
            <w:vAlign w:val="center"/>
          </w:tcPr>
          <w:p w14:paraId="5C2C4AC6">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单台设备关键件描述</w:t>
            </w:r>
          </w:p>
        </w:tc>
      </w:tr>
      <w:tr w14:paraId="380B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2116A48E">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序号</w:t>
            </w:r>
          </w:p>
        </w:tc>
        <w:tc>
          <w:tcPr>
            <w:tcW w:w="3005" w:type="dxa"/>
            <w:gridSpan w:val="2"/>
            <w:vAlign w:val="center"/>
          </w:tcPr>
          <w:p w14:paraId="32A4AFBB">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名称</w:t>
            </w:r>
          </w:p>
        </w:tc>
        <w:tc>
          <w:tcPr>
            <w:tcW w:w="3289" w:type="dxa"/>
            <w:gridSpan w:val="3"/>
            <w:vAlign w:val="center"/>
          </w:tcPr>
          <w:p w14:paraId="031A3B03">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规格型号</w:t>
            </w:r>
          </w:p>
        </w:tc>
        <w:tc>
          <w:tcPr>
            <w:tcW w:w="2026" w:type="dxa"/>
            <w:vAlign w:val="center"/>
          </w:tcPr>
          <w:p w14:paraId="5D8E7FF6">
            <w:pPr>
              <w:spacing w:line="360" w:lineRule="auto"/>
              <w:jc w:val="center"/>
              <w:rPr>
                <w:rFonts w:ascii="Times New Roman" w:hAnsi="Times New Roman" w:eastAsia="仿宋"/>
                <w:b/>
                <w:bCs/>
                <w:color w:val="000000"/>
                <w:kern w:val="0"/>
                <w:sz w:val="24"/>
                <w:szCs w:val="24"/>
                <w:lang w:bidi="ar"/>
              </w:rPr>
            </w:pPr>
            <w:r>
              <w:rPr>
                <w:rFonts w:ascii="Times New Roman" w:hAnsi="Times New Roman" w:eastAsia="仿宋"/>
                <w:b/>
                <w:bCs/>
                <w:color w:val="000000"/>
                <w:kern w:val="0"/>
                <w:sz w:val="24"/>
                <w:szCs w:val="24"/>
                <w:lang w:bidi="ar"/>
              </w:rPr>
              <w:t>备注</w:t>
            </w:r>
          </w:p>
        </w:tc>
      </w:tr>
      <w:tr w14:paraId="707D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3D24C729">
            <w:pPr>
              <w:widowControl/>
              <w:spacing w:line="360" w:lineRule="auto"/>
              <w:jc w:val="center"/>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1</w:t>
            </w:r>
          </w:p>
        </w:tc>
        <w:tc>
          <w:tcPr>
            <w:tcW w:w="3005" w:type="dxa"/>
            <w:gridSpan w:val="2"/>
            <w:vAlign w:val="center"/>
          </w:tcPr>
          <w:p w14:paraId="254D9B59">
            <w:pPr>
              <w:widowControl/>
              <w:spacing w:line="360" w:lineRule="auto"/>
              <w:jc w:val="center"/>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电机</w:t>
            </w:r>
          </w:p>
        </w:tc>
        <w:tc>
          <w:tcPr>
            <w:tcW w:w="3289" w:type="dxa"/>
            <w:gridSpan w:val="3"/>
            <w:vAlign w:val="center"/>
          </w:tcPr>
          <w:p w14:paraId="364E5471">
            <w:pPr>
              <w:widowControl/>
              <w:spacing w:line="360" w:lineRule="auto"/>
              <w:jc w:val="center"/>
              <w:textAlignment w:val="center"/>
              <w:rPr>
                <w:rFonts w:ascii="Times New Roman" w:hAnsi="Times New Roman" w:eastAsia="仿宋"/>
                <w:color w:val="000000"/>
                <w:kern w:val="0"/>
                <w:sz w:val="24"/>
                <w:szCs w:val="24"/>
                <w:lang w:bidi="ar"/>
              </w:rPr>
            </w:pPr>
            <w:r>
              <w:rPr>
                <w:rFonts w:hint="eastAsia" w:ascii="Times New Roman" w:hAnsi="Times New Roman" w:eastAsia="仿宋"/>
                <w:color w:val="000000"/>
                <w:kern w:val="0"/>
                <w:sz w:val="24"/>
                <w:szCs w:val="24"/>
                <w:lang w:bidi="ar"/>
              </w:rPr>
              <w:t>按设计</w:t>
            </w:r>
          </w:p>
        </w:tc>
        <w:tc>
          <w:tcPr>
            <w:tcW w:w="2026" w:type="dxa"/>
            <w:vAlign w:val="center"/>
          </w:tcPr>
          <w:p w14:paraId="16012652">
            <w:pPr>
              <w:widowControl/>
              <w:spacing w:line="360" w:lineRule="auto"/>
              <w:jc w:val="center"/>
              <w:textAlignment w:val="top"/>
              <w:rPr>
                <w:rFonts w:ascii="Times New Roman" w:hAnsi="Times New Roman" w:eastAsia="仿宋"/>
                <w:color w:val="000000"/>
                <w:kern w:val="0"/>
                <w:sz w:val="24"/>
                <w:szCs w:val="24"/>
                <w:lang w:bidi="ar"/>
              </w:rPr>
            </w:pPr>
          </w:p>
        </w:tc>
      </w:tr>
      <w:tr w14:paraId="51715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55A96241">
            <w:pPr>
              <w:widowControl/>
              <w:spacing w:line="360" w:lineRule="auto"/>
              <w:jc w:val="center"/>
              <w:textAlignment w:val="center"/>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2</w:t>
            </w:r>
          </w:p>
        </w:tc>
        <w:tc>
          <w:tcPr>
            <w:tcW w:w="3005" w:type="dxa"/>
            <w:gridSpan w:val="2"/>
            <w:vAlign w:val="center"/>
          </w:tcPr>
          <w:p w14:paraId="45A25355">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轴</w:t>
            </w:r>
          </w:p>
        </w:tc>
        <w:tc>
          <w:tcPr>
            <w:tcW w:w="3289" w:type="dxa"/>
            <w:gridSpan w:val="3"/>
            <w:vAlign w:val="center"/>
          </w:tcPr>
          <w:p w14:paraId="715481BD">
            <w:pPr>
              <w:widowControl/>
              <w:spacing w:line="360" w:lineRule="auto"/>
              <w:jc w:val="center"/>
              <w:textAlignment w:val="top"/>
              <w:rPr>
                <w:rFonts w:ascii="Times New Roman" w:hAnsi="Times New Roman" w:eastAsia="仿宋"/>
                <w:color w:val="000000"/>
                <w:kern w:val="0"/>
                <w:sz w:val="24"/>
                <w:szCs w:val="24"/>
                <w:lang w:bidi="ar"/>
              </w:rPr>
            </w:pPr>
            <w:r>
              <w:rPr>
                <w:rFonts w:ascii="Times New Roman" w:hAnsi="Times New Roman" w:eastAsia="仿宋"/>
                <w:color w:val="000000"/>
                <w:kern w:val="0"/>
                <w:sz w:val="24"/>
                <w:szCs w:val="24"/>
                <w:lang w:bidi="ar"/>
              </w:rPr>
              <w:t>20#钢</w:t>
            </w:r>
          </w:p>
        </w:tc>
        <w:tc>
          <w:tcPr>
            <w:tcW w:w="2026" w:type="dxa"/>
            <w:vAlign w:val="center"/>
          </w:tcPr>
          <w:p w14:paraId="51D14EF3">
            <w:pPr>
              <w:spacing w:line="360" w:lineRule="auto"/>
              <w:jc w:val="center"/>
              <w:rPr>
                <w:rFonts w:ascii="Times New Roman" w:hAnsi="Times New Roman" w:eastAsia="仿宋"/>
                <w:color w:val="000000"/>
                <w:kern w:val="0"/>
                <w:sz w:val="24"/>
                <w:szCs w:val="24"/>
                <w:lang w:bidi="ar"/>
              </w:rPr>
            </w:pPr>
          </w:p>
        </w:tc>
      </w:tr>
      <w:tr w14:paraId="19B21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13D538DB">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3</w:t>
            </w:r>
          </w:p>
        </w:tc>
        <w:tc>
          <w:tcPr>
            <w:tcW w:w="3005" w:type="dxa"/>
            <w:gridSpan w:val="2"/>
            <w:vAlign w:val="center"/>
          </w:tcPr>
          <w:p w14:paraId="0D400683">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壳体</w:t>
            </w:r>
          </w:p>
        </w:tc>
        <w:tc>
          <w:tcPr>
            <w:tcW w:w="3289" w:type="dxa"/>
            <w:gridSpan w:val="3"/>
            <w:vAlign w:val="center"/>
          </w:tcPr>
          <w:p w14:paraId="34480A7B">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Q355组件</w:t>
            </w:r>
          </w:p>
        </w:tc>
        <w:tc>
          <w:tcPr>
            <w:tcW w:w="2026" w:type="dxa"/>
            <w:vAlign w:val="center"/>
          </w:tcPr>
          <w:p w14:paraId="245B1433">
            <w:pPr>
              <w:spacing w:line="360" w:lineRule="auto"/>
              <w:jc w:val="center"/>
              <w:rPr>
                <w:rFonts w:ascii="Times New Roman" w:hAnsi="Times New Roman" w:eastAsia="仿宋"/>
                <w:color w:val="000000"/>
                <w:kern w:val="0"/>
                <w:sz w:val="24"/>
                <w:szCs w:val="24"/>
                <w:lang w:bidi="ar"/>
              </w:rPr>
            </w:pPr>
          </w:p>
        </w:tc>
      </w:tr>
      <w:tr w14:paraId="76F0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11E09764">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4</w:t>
            </w:r>
          </w:p>
        </w:tc>
        <w:tc>
          <w:tcPr>
            <w:tcW w:w="3005" w:type="dxa"/>
            <w:gridSpan w:val="2"/>
            <w:vAlign w:val="center"/>
          </w:tcPr>
          <w:p w14:paraId="592A3F38">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轴承</w:t>
            </w:r>
          </w:p>
        </w:tc>
        <w:tc>
          <w:tcPr>
            <w:tcW w:w="3289" w:type="dxa"/>
            <w:gridSpan w:val="3"/>
            <w:vAlign w:val="center"/>
          </w:tcPr>
          <w:p w14:paraId="2F919A0C">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组件</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SKF/F</w:t>
            </w:r>
            <w:r>
              <w:rPr>
                <w:rFonts w:hint="eastAsia" w:ascii="Times New Roman" w:hAnsi="Times New Roman" w:eastAsia="仿宋"/>
                <w:color w:val="000000"/>
                <w:kern w:val="0"/>
                <w:sz w:val="24"/>
                <w:szCs w:val="24"/>
                <w:lang w:bidi="ar"/>
              </w:rPr>
              <w:t>A</w:t>
            </w:r>
            <w:r>
              <w:rPr>
                <w:rFonts w:ascii="Times New Roman" w:hAnsi="Times New Roman" w:eastAsia="仿宋"/>
                <w:color w:val="000000"/>
                <w:kern w:val="0"/>
                <w:sz w:val="24"/>
                <w:szCs w:val="24"/>
                <w:lang w:bidi="ar"/>
              </w:rPr>
              <w:t>G</w:t>
            </w:r>
            <w:r>
              <w:rPr>
                <w:rFonts w:hint="eastAsia" w:ascii="Times New Roman" w:hAnsi="Times New Roman" w:eastAsia="仿宋"/>
                <w:color w:val="000000"/>
                <w:kern w:val="0"/>
                <w:sz w:val="24"/>
                <w:szCs w:val="24"/>
                <w:lang w:bidi="ar"/>
              </w:rPr>
              <w:t>/NSK</w:t>
            </w:r>
          </w:p>
        </w:tc>
        <w:tc>
          <w:tcPr>
            <w:tcW w:w="2026" w:type="dxa"/>
            <w:vAlign w:val="center"/>
          </w:tcPr>
          <w:p w14:paraId="28651310">
            <w:pPr>
              <w:spacing w:line="360" w:lineRule="auto"/>
              <w:jc w:val="center"/>
              <w:rPr>
                <w:rFonts w:ascii="Times New Roman" w:hAnsi="Times New Roman" w:eastAsia="仿宋"/>
                <w:color w:val="000000"/>
                <w:kern w:val="0"/>
                <w:sz w:val="24"/>
                <w:szCs w:val="24"/>
                <w:lang w:bidi="ar"/>
              </w:rPr>
            </w:pPr>
          </w:p>
        </w:tc>
      </w:tr>
      <w:tr w14:paraId="179B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0FD5E6C3">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5</w:t>
            </w:r>
          </w:p>
        </w:tc>
        <w:tc>
          <w:tcPr>
            <w:tcW w:w="3005" w:type="dxa"/>
            <w:gridSpan w:val="2"/>
            <w:vAlign w:val="center"/>
          </w:tcPr>
          <w:p w14:paraId="30A2960F">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刀盘</w:t>
            </w:r>
          </w:p>
        </w:tc>
        <w:tc>
          <w:tcPr>
            <w:tcW w:w="3289" w:type="dxa"/>
            <w:gridSpan w:val="3"/>
            <w:vAlign w:val="center"/>
          </w:tcPr>
          <w:p w14:paraId="7076D19E">
            <w:pPr>
              <w:widowControl/>
              <w:spacing w:line="360" w:lineRule="auto"/>
              <w:jc w:val="center"/>
              <w:textAlignment w:val="center"/>
              <w:rPr>
                <w:rFonts w:ascii="Times New Roman" w:hAnsi="Times New Roman" w:eastAsia="仿宋"/>
                <w:color w:val="000000"/>
                <w:sz w:val="24"/>
                <w:szCs w:val="24"/>
              </w:rPr>
            </w:pPr>
            <w:r>
              <w:rPr>
                <w:rFonts w:hint="eastAsia" w:ascii="Times New Roman" w:hAnsi="Times New Roman" w:eastAsia="仿宋"/>
                <w:color w:val="000000"/>
                <w:kern w:val="0"/>
                <w:sz w:val="24"/>
                <w:szCs w:val="24"/>
                <w:lang w:bidi="ar"/>
              </w:rPr>
              <w:t>按设计</w:t>
            </w:r>
          </w:p>
        </w:tc>
        <w:tc>
          <w:tcPr>
            <w:tcW w:w="2026" w:type="dxa"/>
            <w:vAlign w:val="center"/>
          </w:tcPr>
          <w:p w14:paraId="39500933">
            <w:pPr>
              <w:spacing w:line="360" w:lineRule="auto"/>
              <w:jc w:val="center"/>
              <w:rPr>
                <w:rFonts w:ascii="Times New Roman" w:hAnsi="Times New Roman" w:eastAsia="仿宋"/>
                <w:color w:val="000000"/>
                <w:kern w:val="0"/>
                <w:sz w:val="24"/>
                <w:szCs w:val="24"/>
                <w:lang w:bidi="ar"/>
              </w:rPr>
            </w:pPr>
          </w:p>
        </w:tc>
      </w:tr>
      <w:tr w14:paraId="2369B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72B07D87">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6</w:t>
            </w:r>
          </w:p>
        </w:tc>
        <w:tc>
          <w:tcPr>
            <w:tcW w:w="3005" w:type="dxa"/>
            <w:gridSpan w:val="2"/>
            <w:vAlign w:val="center"/>
          </w:tcPr>
          <w:p w14:paraId="334DF472">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飞刀</w:t>
            </w:r>
          </w:p>
        </w:tc>
        <w:tc>
          <w:tcPr>
            <w:tcW w:w="3289" w:type="dxa"/>
            <w:gridSpan w:val="3"/>
            <w:vAlign w:val="center"/>
          </w:tcPr>
          <w:p w14:paraId="7E2EBADA">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合金钢</w:t>
            </w:r>
          </w:p>
        </w:tc>
        <w:tc>
          <w:tcPr>
            <w:tcW w:w="2026" w:type="dxa"/>
            <w:vAlign w:val="center"/>
          </w:tcPr>
          <w:p w14:paraId="4AA305E8">
            <w:pPr>
              <w:spacing w:line="360" w:lineRule="auto"/>
              <w:jc w:val="center"/>
              <w:rPr>
                <w:rFonts w:ascii="Times New Roman" w:hAnsi="Times New Roman" w:eastAsia="仿宋"/>
                <w:color w:val="000000"/>
                <w:kern w:val="0"/>
                <w:sz w:val="24"/>
                <w:szCs w:val="24"/>
                <w:lang w:bidi="ar"/>
              </w:rPr>
            </w:pPr>
          </w:p>
        </w:tc>
      </w:tr>
      <w:tr w14:paraId="0B70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06EE26C4">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7</w:t>
            </w:r>
          </w:p>
        </w:tc>
        <w:tc>
          <w:tcPr>
            <w:tcW w:w="3005" w:type="dxa"/>
            <w:gridSpan w:val="2"/>
            <w:vAlign w:val="center"/>
          </w:tcPr>
          <w:p w14:paraId="0950380B">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底刀</w:t>
            </w:r>
          </w:p>
        </w:tc>
        <w:tc>
          <w:tcPr>
            <w:tcW w:w="3289" w:type="dxa"/>
            <w:gridSpan w:val="3"/>
            <w:vAlign w:val="center"/>
          </w:tcPr>
          <w:p w14:paraId="6A8BCBE5">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合金钢</w:t>
            </w:r>
          </w:p>
        </w:tc>
        <w:tc>
          <w:tcPr>
            <w:tcW w:w="2026" w:type="dxa"/>
            <w:vAlign w:val="center"/>
          </w:tcPr>
          <w:p w14:paraId="2A21D425">
            <w:pPr>
              <w:spacing w:line="360" w:lineRule="auto"/>
              <w:jc w:val="center"/>
              <w:rPr>
                <w:rFonts w:ascii="Times New Roman" w:hAnsi="Times New Roman" w:eastAsia="仿宋"/>
                <w:color w:val="000000"/>
                <w:kern w:val="0"/>
                <w:sz w:val="24"/>
                <w:szCs w:val="24"/>
                <w:lang w:bidi="ar"/>
              </w:rPr>
            </w:pPr>
          </w:p>
        </w:tc>
      </w:tr>
      <w:tr w14:paraId="0F7DE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1D2D196D">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8</w:t>
            </w:r>
          </w:p>
        </w:tc>
        <w:tc>
          <w:tcPr>
            <w:tcW w:w="3005" w:type="dxa"/>
            <w:gridSpan w:val="2"/>
            <w:vAlign w:val="center"/>
          </w:tcPr>
          <w:p w14:paraId="673B2EA0">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罩壳防护装置</w:t>
            </w:r>
          </w:p>
        </w:tc>
        <w:tc>
          <w:tcPr>
            <w:tcW w:w="3289" w:type="dxa"/>
            <w:gridSpan w:val="3"/>
            <w:vAlign w:val="center"/>
          </w:tcPr>
          <w:p w14:paraId="431546AA">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组件</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施耐德</w:t>
            </w:r>
          </w:p>
        </w:tc>
        <w:tc>
          <w:tcPr>
            <w:tcW w:w="2026" w:type="dxa"/>
            <w:vAlign w:val="center"/>
          </w:tcPr>
          <w:p w14:paraId="32CC78C9">
            <w:pPr>
              <w:spacing w:line="360" w:lineRule="auto"/>
              <w:jc w:val="center"/>
              <w:rPr>
                <w:rFonts w:ascii="Times New Roman" w:hAnsi="Times New Roman" w:eastAsia="仿宋"/>
                <w:color w:val="000000"/>
                <w:kern w:val="0"/>
                <w:sz w:val="24"/>
                <w:szCs w:val="24"/>
                <w:lang w:bidi="ar"/>
              </w:rPr>
            </w:pPr>
          </w:p>
        </w:tc>
      </w:tr>
      <w:tr w14:paraId="7A43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4665920E">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9</w:t>
            </w:r>
          </w:p>
        </w:tc>
        <w:tc>
          <w:tcPr>
            <w:tcW w:w="3005" w:type="dxa"/>
            <w:gridSpan w:val="2"/>
            <w:vAlign w:val="center"/>
          </w:tcPr>
          <w:p w14:paraId="226DF747">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零速开关</w:t>
            </w:r>
          </w:p>
        </w:tc>
        <w:tc>
          <w:tcPr>
            <w:tcW w:w="3289" w:type="dxa"/>
            <w:gridSpan w:val="3"/>
            <w:vAlign w:val="center"/>
          </w:tcPr>
          <w:p w14:paraId="394BF2D7">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组件</w:t>
            </w:r>
            <w:r>
              <w:rPr>
                <w:rFonts w:hint="eastAsia" w:ascii="Times New Roman" w:hAnsi="Times New Roman" w:eastAsia="仿宋"/>
                <w:color w:val="000000"/>
                <w:kern w:val="0"/>
                <w:sz w:val="24"/>
                <w:szCs w:val="24"/>
                <w:lang w:bidi="ar"/>
              </w:rPr>
              <w:t xml:space="preserve"> </w:t>
            </w:r>
            <w:r>
              <w:rPr>
                <w:rFonts w:ascii="Times New Roman" w:hAnsi="Times New Roman" w:eastAsia="仿宋"/>
                <w:color w:val="000000"/>
                <w:kern w:val="0"/>
                <w:sz w:val="24"/>
                <w:szCs w:val="24"/>
                <w:lang w:bidi="ar"/>
              </w:rPr>
              <w:t>施耐德</w:t>
            </w:r>
          </w:p>
        </w:tc>
        <w:tc>
          <w:tcPr>
            <w:tcW w:w="2026" w:type="dxa"/>
            <w:vAlign w:val="center"/>
          </w:tcPr>
          <w:p w14:paraId="3A94F546">
            <w:pPr>
              <w:spacing w:line="360" w:lineRule="auto"/>
              <w:jc w:val="center"/>
              <w:rPr>
                <w:rFonts w:ascii="Times New Roman" w:hAnsi="Times New Roman" w:eastAsia="仿宋"/>
                <w:color w:val="000000"/>
                <w:kern w:val="0"/>
                <w:sz w:val="24"/>
                <w:szCs w:val="24"/>
                <w:lang w:bidi="ar"/>
              </w:rPr>
            </w:pPr>
          </w:p>
        </w:tc>
      </w:tr>
      <w:tr w14:paraId="068F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525C01B8">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10</w:t>
            </w:r>
          </w:p>
        </w:tc>
        <w:tc>
          <w:tcPr>
            <w:tcW w:w="3005" w:type="dxa"/>
            <w:gridSpan w:val="2"/>
            <w:vAlign w:val="center"/>
          </w:tcPr>
          <w:p w14:paraId="7A15E4B3">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现场控制箱</w:t>
            </w:r>
          </w:p>
        </w:tc>
        <w:tc>
          <w:tcPr>
            <w:tcW w:w="3289" w:type="dxa"/>
            <w:gridSpan w:val="3"/>
            <w:vAlign w:val="center"/>
          </w:tcPr>
          <w:p w14:paraId="5ACB2102">
            <w:pPr>
              <w:widowControl/>
              <w:spacing w:line="360" w:lineRule="auto"/>
              <w:jc w:val="center"/>
              <w:textAlignment w:val="top"/>
              <w:rPr>
                <w:rFonts w:ascii="Times New Roman" w:hAnsi="Times New Roman" w:eastAsia="仿宋"/>
                <w:color w:val="000000"/>
                <w:sz w:val="24"/>
                <w:szCs w:val="24"/>
              </w:rPr>
            </w:pPr>
            <w:r>
              <w:rPr>
                <w:rFonts w:ascii="Times New Roman" w:hAnsi="Times New Roman" w:eastAsia="仿宋"/>
                <w:color w:val="000000"/>
                <w:kern w:val="0"/>
                <w:sz w:val="24"/>
                <w:szCs w:val="24"/>
                <w:lang w:bidi="ar"/>
              </w:rPr>
              <w:t>304厚度2mm、IP65、具备远就地切换、启动停止、急停</w:t>
            </w:r>
          </w:p>
        </w:tc>
        <w:tc>
          <w:tcPr>
            <w:tcW w:w="2026" w:type="dxa"/>
            <w:vAlign w:val="center"/>
          </w:tcPr>
          <w:p w14:paraId="12035F6D">
            <w:pPr>
              <w:spacing w:line="360" w:lineRule="auto"/>
              <w:jc w:val="center"/>
              <w:rPr>
                <w:rFonts w:ascii="Times New Roman" w:hAnsi="Times New Roman" w:eastAsia="仿宋"/>
                <w:color w:val="000000"/>
                <w:kern w:val="0"/>
                <w:sz w:val="24"/>
                <w:szCs w:val="24"/>
                <w:lang w:bidi="ar"/>
              </w:rPr>
            </w:pPr>
          </w:p>
        </w:tc>
      </w:tr>
      <w:tr w14:paraId="6A11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18" w:type="dxa"/>
            <w:vAlign w:val="center"/>
          </w:tcPr>
          <w:p w14:paraId="7976D3C3">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11</w:t>
            </w:r>
          </w:p>
        </w:tc>
        <w:tc>
          <w:tcPr>
            <w:tcW w:w="3005" w:type="dxa"/>
            <w:gridSpan w:val="2"/>
            <w:vAlign w:val="center"/>
          </w:tcPr>
          <w:p w14:paraId="755686CC">
            <w:pPr>
              <w:widowControl/>
              <w:spacing w:line="360" w:lineRule="auto"/>
              <w:jc w:val="center"/>
              <w:textAlignment w:val="center"/>
              <w:rPr>
                <w:rFonts w:ascii="Times New Roman" w:hAnsi="Times New Roman" w:eastAsia="仿宋"/>
                <w:color w:val="000000"/>
                <w:sz w:val="24"/>
                <w:szCs w:val="24"/>
              </w:rPr>
            </w:pPr>
            <w:r>
              <w:rPr>
                <w:rFonts w:ascii="Times New Roman" w:hAnsi="Times New Roman" w:eastAsia="仿宋"/>
                <w:color w:val="000000"/>
                <w:kern w:val="0"/>
                <w:sz w:val="24"/>
                <w:szCs w:val="24"/>
                <w:lang w:bidi="ar"/>
              </w:rPr>
              <w:t>旋风分离器</w:t>
            </w:r>
          </w:p>
        </w:tc>
        <w:tc>
          <w:tcPr>
            <w:tcW w:w="3289" w:type="dxa"/>
            <w:gridSpan w:val="3"/>
            <w:vAlign w:val="center"/>
          </w:tcPr>
          <w:p w14:paraId="70B8383F">
            <w:pPr>
              <w:widowControl/>
              <w:spacing w:line="360" w:lineRule="auto"/>
              <w:jc w:val="center"/>
              <w:textAlignment w:val="center"/>
              <w:rPr>
                <w:rFonts w:ascii="Times New Roman" w:hAnsi="Times New Roman" w:eastAsia="仿宋"/>
                <w:color w:val="000000"/>
                <w:sz w:val="24"/>
                <w:szCs w:val="24"/>
              </w:rPr>
            </w:pPr>
            <w:r>
              <w:rPr>
                <w:rFonts w:hint="eastAsia" w:ascii="Times New Roman" w:hAnsi="Times New Roman" w:eastAsia="仿宋"/>
                <w:color w:val="000000"/>
                <w:sz w:val="24"/>
                <w:szCs w:val="24"/>
              </w:rPr>
              <w:t>带管道，材质16MN，壁厚不低于8mm</w:t>
            </w:r>
          </w:p>
        </w:tc>
        <w:tc>
          <w:tcPr>
            <w:tcW w:w="2026" w:type="dxa"/>
            <w:vAlign w:val="center"/>
          </w:tcPr>
          <w:p w14:paraId="586D89B2">
            <w:pPr>
              <w:spacing w:line="360" w:lineRule="auto"/>
              <w:jc w:val="center"/>
              <w:rPr>
                <w:rFonts w:ascii="Times New Roman" w:hAnsi="Times New Roman" w:eastAsia="仿宋"/>
                <w:color w:val="000000"/>
                <w:kern w:val="0"/>
                <w:sz w:val="24"/>
                <w:szCs w:val="24"/>
                <w:lang w:bidi="ar"/>
              </w:rPr>
            </w:pPr>
          </w:p>
        </w:tc>
      </w:tr>
    </w:tbl>
    <w:p w14:paraId="59F8646F">
      <w:pPr>
        <w:rPr>
          <w:rFonts w:ascii="宋体" w:hAnsi="宋体"/>
          <w:sz w:val="24"/>
        </w:rPr>
      </w:pPr>
      <w:r>
        <w:rPr>
          <w:rFonts w:hint="eastAsia" w:ascii="宋体" w:hAnsi="宋体"/>
          <w:sz w:val="24"/>
        </w:rPr>
        <w:t>注：以上参数以设计为准</w:t>
      </w:r>
    </w:p>
    <w:p w14:paraId="10D2324F">
      <w:pPr>
        <w:pStyle w:val="3"/>
        <w:spacing w:before="156" w:after="156"/>
        <w:ind w:firstLine="281"/>
      </w:pPr>
      <w:bookmarkStart w:id="116" w:name="_Toc31187"/>
      <w:bookmarkStart w:id="117" w:name="_Toc13021"/>
      <w:bookmarkStart w:id="118" w:name="_Toc18836"/>
      <w:r>
        <w:rPr>
          <w:rFonts w:hint="eastAsia"/>
        </w:rPr>
        <w:t>十、设备安装</w:t>
      </w:r>
      <w:bookmarkEnd w:id="116"/>
      <w:bookmarkEnd w:id="117"/>
      <w:bookmarkEnd w:id="118"/>
    </w:p>
    <w:p w14:paraId="4B7C8612">
      <w:pPr>
        <w:pStyle w:val="5"/>
        <w:ind w:left="1080" w:hanging="600" w:firstLineChars="0"/>
        <w:jc w:val="both"/>
      </w:pPr>
      <w:r>
        <w:rPr>
          <w:rFonts w:hint="eastAsia"/>
        </w:rPr>
        <w:t>10.1 设备制造后表面处理按“防腐蚀涂层涂装技术规范”。在制造厂家制成的构件，应在制造地进行预装配，确保安装配合无误后方可运至安装现场。安装所用自攻螺钉、螺栓、螺母、垫片根据安装图及材料清单，不锈钢除外，设备安装后投入运行前，由施工方加注符合规定的润滑脂和润滑油。</w:t>
      </w:r>
    </w:p>
    <w:p w14:paraId="0EBCEB00">
      <w:pPr>
        <w:pStyle w:val="5"/>
        <w:ind w:left="1082" w:hanging="602" w:firstLineChars="0"/>
        <w:jc w:val="both"/>
      </w:pPr>
      <w:r>
        <w:rPr>
          <w:rFonts w:hint="eastAsia"/>
        </w:rPr>
        <w:t>10.2 安装所用的所有非金属材料（设备的密封材料、润滑材料、涂层及保温材料等）中不能含有硅酮。</w:t>
      </w:r>
    </w:p>
    <w:p w14:paraId="48830EF4">
      <w:pPr>
        <w:pStyle w:val="5"/>
        <w:ind w:left="1082" w:hanging="602" w:firstLineChars="0"/>
        <w:jc w:val="both"/>
      </w:pPr>
      <w:r>
        <w:rPr>
          <w:rFonts w:hint="eastAsia"/>
        </w:rPr>
        <w:t>10.3 安装所用的各种计量和检测器具应符合国家现行计量法规的规定，其精度等级不应低于被检对象的精度等级。</w:t>
      </w:r>
    </w:p>
    <w:p w14:paraId="5E5EAF1A">
      <w:pPr>
        <w:pStyle w:val="5"/>
        <w:ind w:left="1082" w:hanging="602" w:firstLineChars="0"/>
        <w:jc w:val="both"/>
      </w:pPr>
      <w:r>
        <w:rPr>
          <w:rFonts w:hint="eastAsia"/>
        </w:rPr>
        <w:t>10.4 各种计量测试仪表与观察仪表等在安装、使用前，投标方需送检，经国家认可的计量检定部门检定合格（在检定周期内）、并持有检定证书或检定标识后，方可安装、使用。</w:t>
      </w:r>
    </w:p>
    <w:p w14:paraId="17B1B363">
      <w:pPr>
        <w:pStyle w:val="5"/>
        <w:ind w:left="1082" w:hanging="602" w:firstLineChars="0"/>
        <w:jc w:val="both"/>
      </w:pPr>
      <w:r>
        <w:rPr>
          <w:rFonts w:hint="eastAsia"/>
        </w:rPr>
        <w:t>10.5 安装中的隐蔽工程，应在工程隐蔽前进行检验，并作出记录，合格后方可继续安装。设备厂家提交隐蔽工程一览表，同时提交隐蔽工程的施工验收规范。</w:t>
      </w:r>
    </w:p>
    <w:p w14:paraId="54956090">
      <w:pPr>
        <w:pStyle w:val="5"/>
        <w:ind w:firstLine="480"/>
        <w:jc w:val="both"/>
      </w:pPr>
      <w:r>
        <w:rPr>
          <w:rFonts w:hint="eastAsia"/>
        </w:rPr>
        <w:t>10.6 安装基准</w:t>
      </w:r>
    </w:p>
    <w:p w14:paraId="3F01F4AF">
      <w:pPr>
        <w:pStyle w:val="23"/>
        <w:ind w:left="1562" w:hanging="842" w:firstLineChars="0"/>
        <w:jc w:val="both"/>
        <w:rPr>
          <w:rFonts w:hint="default"/>
        </w:rPr>
      </w:pPr>
      <w:r>
        <w:t>1</w:t>
      </w:r>
      <w:r>
        <w:rPr>
          <w:lang w:val="en-US"/>
        </w:rPr>
        <w:t>0</w:t>
      </w:r>
      <w:r>
        <w:t>.6.1 设备安装标高应以工段地坪高为基准，地坪基准只允许有一个，若测量实在困难，可设置辅助基准。</w:t>
      </w:r>
    </w:p>
    <w:p w14:paraId="1E6D7EF9">
      <w:pPr>
        <w:pStyle w:val="23"/>
        <w:ind w:firstLine="720"/>
        <w:jc w:val="both"/>
        <w:rPr>
          <w:rFonts w:hint="default"/>
        </w:rPr>
      </w:pPr>
      <w:r>
        <w:t>1</w:t>
      </w:r>
      <w:r>
        <w:rPr>
          <w:lang w:val="en-US"/>
        </w:rPr>
        <w:t>0</w:t>
      </w:r>
      <w:r>
        <w:t>.6.2 设备位置应以工段柱网为基准。</w:t>
      </w:r>
    </w:p>
    <w:p w14:paraId="7E1038AB">
      <w:pPr>
        <w:pStyle w:val="5"/>
        <w:ind w:firstLine="480"/>
        <w:jc w:val="both"/>
      </w:pPr>
      <w:r>
        <w:rPr>
          <w:rFonts w:hint="eastAsia"/>
        </w:rPr>
        <w:t>10.7 设备基础</w:t>
      </w:r>
    </w:p>
    <w:p w14:paraId="02237FA6">
      <w:pPr>
        <w:pStyle w:val="23"/>
        <w:ind w:firstLine="720"/>
        <w:jc w:val="both"/>
        <w:rPr>
          <w:rFonts w:hint="default"/>
        </w:rPr>
      </w:pPr>
      <w:r>
        <w:t>1</w:t>
      </w:r>
      <w:r>
        <w:rPr>
          <w:lang w:val="en-US"/>
        </w:rPr>
        <w:t>0</w:t>
      </w:r>
      <w:r>
        <w:t>.7.1 设备基础必须符合工艺安装图和设备总图的要求，才能进行安装。</w:t>
      </w:r>
    </w:p>
    <w:p w14:paraId="5E22E96E">
      <w:pPr>
        <w:pStyle w:val="23"/>
        <w:ind w:left="1562" w:hanging="842" w:firstLineChars="0"/>
        <w:jc w:val="both"/>
        <w:rPr>
          <w:rFonts w:hint="default"/>
        </w:rPr>
      </w:pPr>
      <w:r>
        <w:t>1</w:t>
      </w:r>
      <w:r>
        <w:rPr>
          <w:lang w:val="en-US"/>
        </w:rPr>
        <w:t>0</w:t>
      </w:r>
      <w:r>
        <w:t>.7.2 设备基础位置标高不符合设计要求时，必须拿出可行性方案处理，经发包方确认后再进行安装。</w:t>
      </w:r>
    </w:p>
    <w:p w14:paraId="26B0111F">
      <w:pPr>
        <w:pStyle w:val="23"/>
        <w:ind w:left="1560" w:hanging="840" w:firstLineChars="0"/>
        <w:jc w:val="both"/>
        <w:rPr>
          <w:rFonts w:hint="default"/>
        </w:rPr>
      </w:pPr>
      <w:r>
        <w:t>1</w:t>
      </w:r>
      <w:r>
        <w:rPr>
          <w:lang w:val="en-US"/>
        </w:rPr>
        <w:t>0</w:t>
      </w:r>
      <w:r>
        <w:t>.7.3 对于安装在工段地坪或设备基础上的设备应采用预埋基础板（地脚螺栓）再进行二次浇灌。</w:t>
      </w:r>
    </w:p>
    <w:p w14:paraId="6AE6F9B8">
      <w:pPr>
        <w:pStyle w:val="23"/>
        <w:ind w:firstLine="720"/>
        <w:jc w:val="both"/>
        <w:rPr>
          <w:rFonts w:hint="default"/>
        </w:rPr>
      </w:pPr>
      <w:r>
        <w:t>1</w:t>
      </w:r>
      <w:r>
        <w:rPr>
          <w:lang w:val="en-US"/>
        </w:rPr>
        <w:t>0</w:t>
      </w:r>
      <w:r>
        <w:t>.7.4 立柱脚底板面与基础间的空隙，应用砂浆浇筑密实。</w:t>
      </w:r>
    </w:p>
    <w:p w14:paraId="72E1F06A">
      <w:pPr>
        <w:pStyle w:val="5"/>
        <w:ind w:firstLine="480"/>
        <w:jc w:val="both"/>
      </w:pPr>
      <w:r>
        <w:rPr>
          <w:rFonts w:hint="eastAsia"/>
        </w:rPr>
        <w:t>10.8 设备主体的安装</w:t>
      </w:r>
    </w:p>
    <w:p w14:paraId="4DD27BA7">
      <w:pPr>
        <w:pStyle w:val="23"/>
        <w:ind w:firstLine="720"/>
        <w:jc w:val="both"/>
        <w:rPr>
          <w:rFonts w:hint="default"/>
        </w:rPr>
      </w:pPr>
      <w:r>
        <w:t>1</w:t>
      </w:r>
      <w:r>
        <w:rPr>
          <w:lang w:val="en-US"/>
        </w:rPr>
        <w:t>0</w:t>
      </w:r>
      <w:r>
        <w:t>.8.1 设备主体安装前应核对设备基础的标高及基础相对坐标尺寸。</w:t>
      </w:r>
    </w:p>
    <w:p w14:paraId="6DD0E59E">
      <w:pPr>
        <w:pStyle w:val="23"/>
        <w:ind w:left="1560" w:hanging="840" w:firstLineChars="0"/>
        <w:jc w:val="both"/>
        <w:rPr>
          <w:rFonts w:hint="default"/>
        </w:rPr>
      </w:pPr>
      <w:r>
        <w:t>1</w:t>
      </w:r>
      <w:r>
        <w:rPr>
          <w:lang w:val="en-US"/>
        </w:rPr>
        <w:t>0</w:t>
      </w:r>
      <w:r>
        <w:t>.8.2 设备主体安装后应根据工艺安装图进行标高和相对坐标的尺寸校对，无误后，再进行其他部件的安装。</w:t>
      </w:r>
    </w:p>
    <w:p w14:paraId="6FE69B86">
      <w:pPr>
        <w:pStyle w:val="23"/>
        <w:ind w:left="1560" w:hanging="840" w:firstLineChars="0"/>
        <w:jc w:val="both"/>
        <w:rPr>
          <w:rFonts w:hint="default"/>
        </w:rPr>
      </w:pPr>
      <w:r>
        <w:t>1</w:t>
      </w:r>
      <w:r>
        <w:rPr>
          <w:lang w:val="en-US"/>
        </w:rPr>
        <w:t>0</w:t>
      </w:r>
      <w:r>
        <w:t>.8.3 设备主体的立柱设计为焊接在预埋基础的钢板上时，必须校对坐标尺寸无误后再进行焊接。</w:t>
      </w:r>
    </w:p>
    <w:p w14:paraId="3217E962">
      <w:pPr>
        <w:pStyle w:val="23"/>
        <w:ind w:left="1560" w:hanging="840" w:firstLineChars="0"/>
        <w:jc w:val="both"/>
        <w:rPr>
          <w:rFonts w:hint="default"/>
        </w:rPr>
      </w:pPr>
      <w:r>
        <w:t>1</w:t>
      </w:r>
      <w:r>
        <w:rPr>
          <w:lang w:val="en-US"/>
        </w:rPr>
        <w:t>0</w:t>
      </w:r>
      <w:r>
        <w:t>.8.4 泵和风机的安装位置应符合设计要求，叶轮的旋向应符合产品要求，并满足泵和风机的产品技术要求。</w:t>
      </w:r>
    </w:p>
    <w:p w14:paraId="48820D28">
      <w:pPr>
        <w:pStyle w:val="23"/>
        <w:ind w:firstLine="720"/>
        <w:jc w:val="both"/>
        <w:rPr>
          <w:rFonts w:hint="default"/>
        </w:rPr>
      </w:pPr>
      <w:r>
        <w:t>1</w:t>
      </w:r>
      <w:r>
        <w:rPr>
          <w:lang w:val="en-US"/>
        </w:rPr>
        <w:t>0</w:t>
      </w:r>
      <w:r>
        <w:t>.8.5 泵的安装轴线水平度不大于0.5/1000，测量时以加工面为基准。</w:t>
      </w:r>
    </w:p>
    <w:p w14:paraId="0579917C">
      <w:pPr>
        <w:pStyle w:val="23"/>
        <w:ind w:firstLine="720"/>
        <w:jc w:val="both"/>
        <w:rPr>
          <w:rFonts w:hint="default"/>
        </w:rPr>
      </w:pPr>
      <w:r>
        <w:t>1</w:t>
      </w:r>
      <w:r>
        <w:rPr>
          <w:lang w:val="en-US"/>
        </w:rPr>
        <w:t>0</w:t>
      </w:r>
      <w:r>
        <w:t>.8.6 叶轮与外壳的间隙应符合产品说明书的要求。</w:t>
      </w:r>
    </w:p>
    <w:p w14:paraId="09A3C3D1">
      <w:pPr>
        <w:pStyle w:val="23"/>
        <w:ind w:left="1560" w:hanging="840" w:firstLineChars="0"/>
        <w:jc w:val="both"/>
        <w:rPr>
          <w:rFonts w:hint="default"/>
        </w:rPr>
      </w:pPr>
      <w:r>
        <w:t>1</w:t>
      </w:r>
      <w:r>
        <w:rPr>
          <w:lang w:val="en-US"/>
        </w:rPr>
        <w:t>0</w:t>
      </w:r>
      <w:r>
        <w:t>.8.7 离心式风机轴承座水平度，纵、横向水平度的允许偏差不得大于0.2/1000。用水平仪在轴承水平中分面上检查。</w:t>
      </w:r>
    </w:p>
    <w:p w14:paraId="2883B609">
      <w:pPr>
        <w:pStyle w:val="23"/>
        <w:ind w:left="1560" w:hanging="840" w:firstLineChars="0"/>
        <w:jc w:val="both"/>
        <w:rPr>
          <w:rFonts w:hint="default"/>
        </w:rPr>
      </w:pPr>
      <w:r>
        <w:t>1</w:t>
      </w:r>
      <w:r>
        <w:rPr>
          <w:lang w:val="en-US"/>
        </w:rPr>
        <w:t>0</w:t>
      </w:r>
      <w:r>
        <w:t>.8.8 轴流式风机机身水平度，机身纵、横向水平度的允许偏差不得大于0.2/1000。</w:t>
      </w:r>
    </w:p>
    <w:p w14:paraId="2B598786">
      <w:pPr>
        <w:pStyle w:val="5"/>
        <w:ind w:firstLine="480"/>
        <w:jc w:val="both"/>
      </w:pPr>
      <w:r>
        <w:rPr>
          <w:rFonts w:hint="eastAsia"/>
        </w:rPr>
        <w:t>10.9 地脚螺栓及安装</w:t>
      </w:r>
    </w:p>
    <w:p w14:paraId="58A697A1">
      <w:pPr>
        <w:pStyle w:val="23"/>
        <w:ind w:firstLine="720"/>
        <w:jc w:val="both"/>
        <w:rPr>
          <w:rFonts w:hint="default"/>
        </w:rPr>
      </w:pPr>
      <w:r>
        <w:t>1</w:t>
      </w:r>
      <w:r>
        <w:rPr>
          <w:lang w:val="en-US"/>
        </w:rPr>
        <w:t>0</w:t>
      </w:r>
      <w:r>
        <w:t>.9.1 地脚螺栓的垂直度允差为1/100。</w:t>
      </w:r>
    </w:p>
    <w:p w14:paraId="492368E9">
      <w:pPr>
        <w:pStyle w:val="23"/>
        <w:ind w:firstLine="720"/>
        <w:jc w:val="both"/>
        <w:rPr>
          <w:rFonts w:hint="default"/>
        </w:rPr>
      </w:pPr>
      <w:r>
        <w:t>1</w:t>
      </w:r>
      <w:r>
        <w:rPr>
          <w:lang w:val="en-US"/>
        </w:rPr>
        <w:t>0</w:t>
      </w:r>
      <w:r>
        <w:t>.9.2 螺母与垫圈、垫圈与设备底座均应接触良好。</w:t>
      </w:r>
    </w:p>
    <w:p w14:paraId="7A269CE2">
      <w:pPr>
        <w:pStyle w:val="23"/>
        <w:ind w:left="1562" w:hanging="842" w:firstLineChars="0"/>
        <w:jc w:val="both"/>
        <w:rPr>
          <w:rFonts w:hint="default"/>
        </w:rPr>
      </w:pPr>
      <w:r>
        <w:t>1</w:t>
      </w:r>
      <w:r>
        <w:rPr>
          <w:lang w:val="en-US"/>
        </w:rPr>
        <w:t>0</w:t>
      </w:r>
      <w:r>
        <w:t>.9.3 需二次浇灌的地脚螺栓，浇灌前应把浇灌孔清理干净。浇灌的砂浆料应选用比原基础高一级的水泥砂浆，灌浆时应捣固密实，地脚螺栓不允许歪斜，并控制间距尺寸。</w:t>
      </w:r>
    </w:p>
    <w:p w14:paraId="5BD87D06">
      <w:pPr>
        <w:pStyle w:val="23"/>
        <w:ind w:left="1560" w:hanging="840" w:firstLineChars="0"/>
        <w:jc w:val="both"/>
        <w:rPr>
          <w:rFonts w:hint="default"/>
        </w:rPr>
      </w:pPr>
      <w:r>
        <w:t>1</w:t>
      </w:r>
      <w:r>
        <w:rPr>
          <w:lang w:val="en-US"/>
        </w:rPr>
        <w:t>0</w:t>
      </w:r>
      <w:r>
        <w:t>.9.4 在所浇灌混凝土达到规定强度75%之后，才允许拧紧地脚螺栓的螺母。</w:t>
      </w:r>
    </w:p>
    <w:p w14:paraId="2E85103A">
      <w:pPr>
        <w:pStyle w:val="23"/>
        <w:ind w:left="1562" w:hanging="842" w:firstLineChars="0"/>
        <w:jc w:val="both"/>
        <w:rPr>
          <w:rFonts w:hint="default"/>
        </w:rPr>
      </w:pPr>
      <w:r>
        <w:t>1</w:t>
      </w:r>
      <w:r>
        <w:rPr>
          <w:lang w:val="en-US"/>
        </w:rPr>
        <w:t>0</w:t>
      </w:r>
      <w:r>
        <w:t>.9.5 对于振动负荷设备（泵、风机等）的地脚螺栓应带有垫片和防松螺母进行锁紧。</w:t>
      </w:r>
    </w:p>
    <w:p w14:paraId="6FE42FB9">
      <w:pPr>
        <w:pStyle w:val="5"/>
        <w:ind w:firstLine="480"/>
        <w:jc w:val="both"/>
      </w:pPr>
      <w:r>
        <w:rPr>
          <w:rFonts w:hint="eastAsia"/>
        </w:rPr>
        <w:t>10.10 管道安装</w:t>
      </w:r>
    </w:p>
    <w:p w14:paraId="3191A114">
      <w:pPr>
        <w:pStyle w:val="23"/>
        <w:ind w:left="1680" w:hanging="960" w:firstLineChars="0"/>
        <w:jc w:val="both"/>
        <w:rPr>
          <w:rFonts w:hint="default"/>
        </w:rPr>
      </w:pPr>
      <w:r>
        <w:t>1</w:t>
      </w:r>
      <w:r>
        <w:rPr>
          <w:lang w:val="en-US"/>
        </w:rPr>
        <w:t>0</w:t>
      </w:r>
      <w:r>
        <w:t>.10.1 管子、管件及阀门经检验合格，按设计要求校对无误后，才可安装。</w:t>
      </w:r>
    </w:p>
    <w:p w14:paraId="0CA4E0B3">
      <w:pPr>
        <w:pStyle w:val="23"/>
        <w:ind w:left="1680" w:hanging="960" w:firstLineChars="0"/>
        <w:jc w:val="both"/>
        <w:rPr>
          <w:rFonts w:hint="default"/>
        </w:rPr>
      </w:pPr>
      <w:r>
        <w:t>1</w:t>
      </w:r>
      <w:r>
        <w:rPr>
          <w:lang w:val="en-US"/>
        </w:rPr>
        <w:t>0</w:t>
      </w:r>
      <w:r>
        <w:t>.10.2 管路安装严格按专业规定施工，要求整齐、美观、接口平整光滑并紧固以免震动；法兰连接采用3mm金属包覆垫，安装后不得泄漏。所有不锈钢管道、管件焊接采用氩弧焊打底、电弧焊盖面，焊接时进行充氩保护。</w:t>
      </w:r>
    </w:p>
    <w:p w14:paraId="6F4063CC">
      <w:pPr>
        <w:pStyle w:val="23"/>
        <w:ind w:left="1680" w:hanging="960" w:firstLineChars="0"/>
        <w:jc w:val="both"/>
        <w:rPr>
          <w:rFonts w:hint="default"/>
        </w:rPr>
      </w:pPr>
      <w:r>
        <w:t>1</w:t>
      </w:r>
      <w:r>
        <w:rPr>
          <w:lang w:val="en-US"/>
        </w:rPr>
        <w:t>0</w:t>
      </w:r>
      <w:r>
        <w:t>.10.3 用法兰联接的管道应采用二次安装，即将法兰与管道焊接后，再</w:t>
      </w:r>
      <w:r>
        <w:rPr>
          <w:lang w:val="en-US"/>
        </w:rPr>
        <w:t>拆</w:t>
      </w:r>
      <w:r>
        <w:t>卸、校正和清理，重新进行安装。</w:t>
      </w:r>
    </w:p>
    <w:p w14:paraId="7F4D3F7B">
      <w:pPr>
        <w:pStyle w:val="23"/>
        <w:ind w:left="1680" w:hanging="960" w:firstLineChars="0"/>
        <w:jc w:val="both"/>
        <w:rPr>
          <w:rFonts w:hint="default"/>
        </w:rPr>
      </w:pPr>
      <w:r>
        <w:t>1</w:t>
      </w:r>
      <w:r>
        <w:rPr>
          <w:lang w:val="en-US"/>
        </w:rPr>
        <w:t>0</w:t>
      </w:r>
      <w:r>
        <w:t>.10.4 管道应设支架固定，特别是有柔性接头的管道和不允许承重的管道，应另加支架固定。</w:t>
      </w:r>
    </w:p>
    <w:p w14:paraId="6D1E5F97">
      <w:pPr>
        <w:pStyle w:val="23"/>
        <w:ind w:firstLine="720"/>
        <w:jc w:val="both"/>
        <w:rPr>
          <w:rFonts w:hint="default"/>
        </w:rPr>
      </w:pPr>
      <w:r>
        <w:t>1</w:t>
      </w:r>
      <w:r>
        <w:rPr>
          <w:lang w:val="en-US"/>
        </w:rPr>
        <w:t>0</w:t>
      </w:r>
      <w:r>
        <w:t>.10.5 水平管道支撑间距如下：</w:t>
      </w:r>
    </w:p>
    <w:p w14:paraId="250B8C27">
      <w:pPr>
        <w:pStyle w:val="23"/>
        <w:ind w:left="840" w:leftChars="300" w:firstLine="720"/>
        <w:jc w:val="both"/>
        <w:rPr>
          <w:rFonts w:hint="default"/>
        </w:rPr>
      </w:pPr>
      <w:r>
        <w:t>（</w:t>
      </w:r>
      <w:r>
        <w:rPr>
          <w:lang w:val="en-US"/>
        </w:rPr>
        <w:t>1</w:t>
      </w:r>
      <w:r>
        <w:t>）DN25-50mm，间距2.5-3m；</w:t>
      </w:r>
    </w:p>
    <w:p w14:paraId="20D6622F">
      <w:pPr>
        <w:pStyle w:val="23"/>
        <w:ind w:left="840" w:leftChars="300" w:firstLine="720"/>
        <w:jc w:val="both"/>
        <w:rPr>
          <w:rFonts w:hint="default"/>
        </w:rPr>
      </w:pPr>
      <w:r>
        <w:t>（</w:t>
      </w:r>
      <w:r>
        <w:rPr>
          <w:lang w:val="en-US"/>
        </w:rPr>
        <w:t>2</w:t>
      </w:r>
      <w:r>
        <w:t>）DN50-125m</w:t>
      </w:r>
      <w:r>
        <w:rPr>
          <w:lang w:val="en-US"/>
        </w:rPr>
        <w:t>m</w:t>
      </w:r>
      <w:r>
        <w:t>，间距4-5m；</w:t>
      </w:r>
    </w:p>
    <w:p w14:paraId="2E50B52A">
      <w:pPr>
        <w:pStyle w:val="23"/>
        <w:ind w:left="840" w:leftChars="300" w:firstLine="720"/>
        <w:jc w:val="both"/>
        <w:rPr>
          <w:rFonts w:hint="default"/>
        </w:rPr>
      </w:pPr>
      <w:r>
        <w:t>（</w:t>
      </w:r>
      <w:r>
        <w:rPr>
          <w:lang w:val="en-US"/>
        </w:rPr>
        <w:t>3</w:t>
      </w:r>
      <w:r>
        <w:t>）DN125-200mm，间距5-7m；</w:t>
      </w:r>
    </w:p>
    <w:p w14:paraId="796A59D3">
      <w:pPr>
        <w:pStyle w:val="23"/>
        <w:ind w:left="840" w:leftChars="300" w:firstLine="720"/>
        <w:jc w:val="both"/>
        <w:rPr>
          <w:rFonts w:hint="default"/>
        </w:rPr>
      </w:pPr>
      <w:r>
        <w:t>（</w:t>
      </w:r>
      <w:r>
        <w:rPr>
          <w:lang w:val="en-US"/>
        </w:rPr>
        <w:t>4</w:t>
      </w:r>
      <w:r>
        <w:t>）大于DN200mm，间距8-12m；</w:t>
      </w:r>
    </w:p>
    <w:p w14:paraId="067551E4">
      <w:pPr>
        <w:pStyle w:val="23"/>
        <w:ind w:left="1680" w:hanging="960" w:firstLineChars="0"/>
        <w:jc w:val="both"/>
        <w:rPr>
          <w:rFonts w:hint="default"/>
        </w:rPr>
      </w:pPr>
      <w:r>
        <w:t>1</w:t>
      </w:r>
      <w:r>
        <w:rPr>
          <w:lang w:val="en-US"/>
        </w:rPr>
        <w:t>0</w:t>
      </w:r>
      <w:r>
        <w:t>.10.6 各蒸汽管、压缩空气管、上下水管、油管及其阀门和管件等在安装完成之后，必须按规定进行压力试验。</w:t>
      </w:r>
    </w:p>
    <w:p w14:paraId="531555D7">
      <w:pPr>
        <w:pStyle w:val="23"/>
        <w:ind w:firstLine="720"/>
        <w:jc w:val="both"/>
        <w:rPr>
          <w:rFonts w:hint="default"/>
        </w:rPr>
      </w:pPr>
      <w:r>
        <w:t>1</w:t>
      </w:r>
      <w:r>
        <w:rPr>
          <w:lang w:val="en-US"/>
        </w:rPr>
        <w:t>0</w:t>
      </w:r>
      <w:r>
        <w:t>.10.7 上、下水主管：上水送至使用点，下水接至排水沟或排水点。</w:t>
      </w:r>
    </w:p>
    <w:p w14:paraId="61783366">
      <w:pPr>
        <w:pStyle w:val="23"/>
        <w:ind w:firstLine="720"/>
        <w:jc w:val="both"/>
        <w:rPr>
          <w:rFonts w:hint="default"/>
        </w:rPr>
      </w:pPr>
      <w:r>
        <w:t>1</w:t>
      </w:r>
      <w:r>
        <w:rPr>
          <w:lang w:val="en-US"/>
        </w:rPr>
        <w:t>0</w:t>
      </w:r>
      <w:r>
        <w:t>.10.8 水平管线安装应按液体流动方向有一定斜度。</w:t>
      </w:r>
    </w:p>
    <w:p w14:paraId="6F51B5B3">
      <w:pPr>
        <w:pStyle w:val="23"/>
        <w:ind w:left="1680" w:hanging="960" w:firstLineChars="0"/>
        <w:jc w:val="both"/>
        <w:rPr>
          <w:rFonts w:hint="default"/>
        </w:rPr>
      </w:pPr>
      <w:r>
        <w:t>1</w:t>
      </w:r>
      <w:r>
        <w:rPr>
          <w:lang w:val="en-US"/>
        </w:rPr>
        <w:t>0</w:t>
      </w:r>
      <w:r>
        <w:t>.10.9 泵体不得承受出口管道及阀门的重量，泵的前后进出管道须设支架；管路的支干线均作支撑固定。</w:t>
      </w:r>
    </w:p>
    <w:p w14:paraId="01916FEE">
      <w:pPr>
        <w:pStyle w:val="23"/>
        <w:ind w:firstLine="720"/>
        <w:jc w:val="both"/>
        <w:rPr>
          <w:rFonts w:hint="default"/>
        </w:rPr>
      </w:pPr>
      <w:r>
        <w:t>1</w:t>
      </w:r>
      <w:r>
        <w:rPr>
          <w:lang w:val="en-US"/>
        </w:rPr>
        <w:t>0</w:t>
      </w:r>
      <w:r>
        <w:t>.10.10 管道的制作、安装、试验等其他要求按照管路设计总说明执行。</w:t>
      </w:r>
    </w:p>
    <w:p w14:paraId="5FA38C4F">
      <w:pPr>
        <w:pStyle w:val="23"/>
        <w:ind w:left="1802" w:hanging="1082" w:firstLineChars="0"/>
        <w:jc w:val="both"/>
        <w:rPr>
          <w:rFonts w:hint="default"/>
        </w:rPr>
      </w:pPr>
      <w:r>
        <w:t>1</w:t>
      </w:r>
      <w:r>
        <w:rPr>
          <w:lang w:val="en-US"/>
        </w:rPr>
        <w:t>0</w:t>
      </w:r>
      <w:r>
        <w:t>.10.11 各种观察仪表及测试仪表要求安装在操作人员易观察的部位，阀门手柄应便于操作。</w:t>
      </w:r>
    </w:p>
    <w:p w14:paraId="04DB0419">
      <w:pPr>
        <w:pStyle w:val="5"/>
        <w:ind w:firstLine="480"/>
        <w:jc w:val="both"/>
      </w:pPr>
      <w:r>
        <w:rPr>
          <w:rFonts w:hint="eastAsia"/>
        </w:rPr>
        <w:t>10.11 设备表面油漆：</w:t>
      </w:r>
    </w:p>
    <w:p w14:paraId="1081A76D">
      <w:pPr>
        <w:pStyle w:val="23"/>
        <w:ind w:left="1680" w:hanging="960" w:firstLineChars="0"/>
        <w:jc w:val="both"/>
        <w:rPr>
          <w:rFonts w:hint="default"/>
        </w:rPr>
      </w:pPr>
      <w:r>
        <w:t>1</w:t>
      </w:r>
      <w:r>
        <w:rPr>
          <w:lang w:val="en-US"/>
        </w:rPr>
        <w:t>0</w:t>
      </w:r>
      <w:r>
        <w:t>.11.1 所有热轧钢材或其制成的构件均须经过喷砂处理，露出材料金属光泽，并按要求涂漆。防腐采用二底二面，底漆选用：江苏兰陵 H53-16环氧厚浆底漆、海虹老人环氧厚浆底漆45880-11480或同等品质产品。面漆选用江苏兰陵S52-12脂肪族聚氨酯面漆、海虹老人聚氨酯面漆55210或同等品质产品。</w:t>
      </w:r>
    </w:p>
    <w:p w14:paraId="6BCD478F">
      <w:pPr>
        <w:pStyle w:val="23"/>
        <w:ind w:left="1680" w:hanging="960" w:firstLineChars="0"/>
        <w:jc w:val="both"/>
        <w:rPr>
          <w:rFonts w:hint="default"/>
        </w:rPr>
      </w:pPr>
      <w:r>
        <w:t>1</w:t>
      </w:r>
      <w:r>
        <w:rPr>
          <w:lang w:val="en-US"/>
        </w:rPr>
        <w:t>0</w:t>
      </w:r>
      <w:r>
        <w:t xml:space="preserve">.11.2 </w:t>
      </w:r>
      <w:r>
        <w:rPr>
          <w:lang w:val="en-US"/>
        </w:rPr>
        <w:t>涂</w:t>
      </w:r>
      <w:r>
        <w:t>漆前应将基体表面清理干净，不允许有灰尘、油迹、锈斑和杂物等。</w:t>
      </w:r>
    </w:p>
    <w:p w14:paraId="08FBA2EE">
      <w:pPr>
        <w:pStyle w:val="23"/>
        <w:ind w:firstLine="720"/>
        <w:jc w:val="both"/>
        <w:rPr>
          <w:rFonts w:hint="default"/>
        </w:rPr>
      </w:pPr>
      <w:r>
        <w:t>1</w:t>
      </w:r>
      <w:r>
        <w:rPr>
          <w:lang w:val="en-US"/>
        </w:rPr>
        <w:t>0</w:t>
      </w:r>
      <w:r>
        <w:t>.11.3 涂料的品种及涂层遍数、标记必须符合设计要求或施工规范</w:t>
      </w:r>
      <w:r>
        <w:rPr>
          <w:lang w:val="en-US"/>
        </w:rPr>
        <w:t>规定</w:t>
      </w:r>
      <w:r>
        <w:t>。</w:t>
      </w:r>
    </w:p>
    <w:p w14:paraId="33747CCB">
      <w:pPr>
        <w:pStyle w:val="23"/>
        <w:ind w:firstLine="720"/>
        <w:jc w:val="both"/>
        <w:rPr>
          <w:rFonts w:hint="default"/>
        </w:rPr>
      </w:pPr>
      <w:r>
        <w:t>1</w:t>
      </w:r>
      <w:r>
        <w:rPr>
          <w:lang w:val="en-US"/>
        </w:rPr>
        <w:t>0</w:t>
      </w:r>
      <w:r>
        <w:t>.11.4 对碳素钢结构件，在焊接或铆接前，先对型材涂刷防锈底漆。</w:t>
      </w:r>
    </w:p>
    <w:p w14:paraId="4911CA69">
      <w:pPr>
        <w:pStyle w:val="23"/>
        <w:ind w:firstLine="720"/>
        <w:jc w:val="both"/>
        <w:rPr>
          <w:rFonts w:hint="default"/>
        </w:rPr>
      </w:pPr>
      <w:r>
        <w:t>1</w:t>
      </w:r>
      <w:r>
        <w:rPr>
          <w:lang w:val="en-US"/>
        </w:rPr>
        <w:t>0</w:t>
      </w:r>
      <w:r>
        <w:t>.11.5 对于设备安装后不便涂漆的构件，应事先</w:t>
      </w:r>
      <w:r>
        <w:rPr>
          <w:lang w:val="en-US"/>
        </w:rPr>
        <w:t>涂</w:t>
      </w:r>
      <w:r>
        <w:t>漆。</w:t>
      </w:r>
    </w:p>
    <w:p w14:paraId="3B6C456A">
      <w:pPr>
        <w:pStyle w:val="23"/>
        <w:ind w:firstLine="720"/>
        <w:jc w:val="both"/>
        <w:rPr>
          <w:rFonts w:hint="default"/>
        </w:rPr>
      </w:pPr>
      <w:r>
        <w:t>1</w:t>
      </w:r>
      <w:r>
        <w:rPr>
          <w:lang w:val="en-US"/>
        </w:rPr>
        <w:t>0</w:t>
      </w:r>
      <w:r>
        <w:t>.11.6 焊接后对脱落的漆膜应进行补漆。</w:t>
      </w:r>
    </w:p>
    <w:p w14:paraId="5EBC561D">
      <w:pPr>
        <w:pStyle w:val="23"/>
        <w:ind w:firstLine="720"/>
        <w:jc w:val="both"/>
        <w:rPr>
          <w:rFonts w:hint="default"/>
        </w:rPr>
      </w:pPr>
      <w:r>
        <w:t>1</w:t>
      </w:r>
      <w:r>
        <w:rPr>
          <w:lang w:val="en-US"/>
        </w:rPr>
        <w:t>0</w:t>
      </w:r>
      <w:r>
        <w:t xml:space="preserve">.11.7 </w:t>
      </w:r>
      <w:r>
        <w:rPr>
          <w:lang w:val="en-US"/>
        </w:rPr>
        <w:t>涂</w:t>
      </w:r>
      <w:r>
        <w:t>漆后各活动部件保持灵活，阀门启闭标志明确，清晰美观。</w:t>
      </w:r>
    </w:p>
    <w:p w14:paraId="5E9A73C4">
      <w:pPr>
        <w:pStyle w:val="23"/>
        <w:ind w:firstLine="720"/>
        <w:jc w:val="both"/>
        <w:rPr>
          <w:rFonts w:hint="default"/>
        </w:rPr>
      </w:pPr>
      <w:r>
        <w:t>1</w:t>
      </w:r>
      <w:r>
        <w:rPr>
          <w:lang w:val="en-US"/>
        </w:rPr>
        <w:t>0</w:t>
      </w:r>
      <w:r>
        <w:t>.11.8 设备、管道及设施颜色和管道文字、流向箭头标识。</w:t>
      </w:r>
    </w:p>
    <w:p w14:paraId="0946F437">
      <w:pPr>
        <w:pStyle w:val="23"/>
        <w:ind w:left="1680" w:hanging="960" w:firstLineChars="0"/>
        <w:jc w:val="both"/>
        <w:rPr>
          <w:rFonts w:hint="default"/>
        </w:rPr>
      </w:pPr>
      <w:r>
        <w:t>1</w:t>
      </w:r>
      <w:r>
        <w:rPr>
          <w:lang w:val="en-US"/>
        </w:rPr>
        <w:t>0</w:t>
      </w:r>
      <w:r>
        <w:t>.11.9 设备及设施基本识别色及安全色涂刷按图纸要求施工；若图纸未明确要求的，其颜色的使用按甲方统一标准执行。</w:t>
      </w:r>
    </w:p>
    <w:p w14:paraId="27D45BAA">
      <w:pPr>
        <w:pStyle w:val="23"/>
        <w:ind w:left="1800" w:hanging="1080" w:firstLineChars="0"/>
        <w:jc w:val="both"/>
        <w:rPr>
          <w:rFonts w:hint="default"/>
        </w:rPr>
      </w:pPr>
      <w:r>
        <w:t>1</w:t>
      </w:r>
      <w:r>
        <w:rPr>
          <w:lang w:val="en-US"/>
        </w:rPr>
        <w:t>0</w:t>
      </w:r>
      <w:r>
        <w:t>.11.10 外购件不改变原有颜色，镀锌板、不锈钢和塑料制作的设备保持本色。</w:t>
      </w:r>
    </w:p>
    <w:p w14:paraId="54449DCB">
      <w:pPr>
        <w:pStyle w:val="23"/>
        <w:ind w:firstLine="720"/>
        <w:jc w:val="both"/>
        <w:rPr>
          <w:rFonts w:hint="default"/>
        </w:rPr>
      </w:pPr>
      <w:r>
        <w:t>1</w:t>
      </w:r>
      <w:r>
        <w:rPr>
          <w:lang w:val="en-US"/>
        </w:rPr>
        <w:t>0</w:t>
      </w:r>
      <w:r>
        <w:t>.11.11 压力表、压力开关和阀门等标识。</w:t>
      </w:r>
    </w:p>
    <w:p w14:paraId="7E3087A4">
      <w:pPr>
        <w:pStyle w:val="23"/>
        <w:ind w:firstLine="720"/>
        <w:jc w:val="both"/>
        <w:rPr>
          <w:rFonts w:hint="default"/>
        </w:rPr>
      </w:pPr>
      <w:r>
        <w:t>1</w:t>
      </w:r>
      <w:r>
        <w:rPr>
          <w:lang w:val="en-US"/>
        </w:rPr>
        <w:t>0</w:t>
      </w:r>
      <w:r>
        <w:t>.11.12 压力表、压力开关等用标签或其他方法指明正常工作范围。</w:t>
      </w:r>
    </w:p>
    <w:p w14:paraId="65223829">
      <w:pPr>
        <w:pStyle w:val="23"/>
        <w:ind w:firstLine="720"/>
        <w:jc w:val="both"/>
        <w:rPr>
          <w:rFonts w:hint="default"/>
        </w:rPr>
      </w:pPr>
      <w:r>
        <w:t>1</w:t>
      </w:r>
      <w:r>
        <w:rPr>
          <w:lang w:val="en-US"/>
        </w:rPr>
        <w:t>0</w:t>
      </w:r>
      <w:r>
        <w:t>.11.13 所有常开或常闭的阀门用铝标牌指明“常开”或“常闭”。</w:t>
      </w:r>
    </w:p>
    <w:p w14:paraId="6C504DC8">
      <w:pPr>
        <w:pStyle w:val="23"/>
        <w:ind w:firstLine="720"/>
        <w:jc w:val="both"/>
        <w:rPr>
          <w:rFonts w:hint="default"/>
        </w:rPr>
      </w:pPr>
      <w:r>
        <w:t>1</w:t>
      </w:r>
      <w:r>
        <w:rPr>
          <w:lang w:val="en-US"/>
        </w:rPr>
        <w:t>0</w:t>
      </w:r>
      <w:r>
        <w:t>.11.14 其他对危险工作岗位设置醒目的警示标志。</w:t>
      </w:r>
    </w:p>
    <w:p w14:paraId="2C87A5C4">
      <w:pPr>
        <w:pStyle w:val="5"/>
        <w:ind w:firstLine="480"/>
        <w:jc w:val="both"/>
      </w:pPr>
      <w:r>
        <w:rPr>
          <w:rFonts w:hint="eastAsia"/>
        </w:rPr>
        <w:t>10.12 设备、管道保温</w:t>
      </w:r>
    </w:p>
    <w:p w14:paraId="704620CA">
      <w:pPr>
        <w:pStyle w:val="23"/>
        <w:ind w:left="1620" w:hanging="900" w:firstLineChars="0"/>
        <w:jc w:val="both"/>
        <w:rPr>
          <w:rFonts w:hint="default"/>
        </w:rPr>
      </w:pPr>
      <w:r>
        <w:t>1</w:t>
      </w:r>
      <w:r>
        <w:rPr>
          <w:lang w:val="en-US"/>
        </w:rPr>
        <w:t>0</w:t>
      </w:r>
      <w:r>
        <w:t>.12.1在设备外壁上焊接保温钉、外护的板支撑件保温圈，材料采用：50×3的扁铁，间隔1500；角钢50×5，间隔500。所有焊点全部涂防腐油漆。保温层要有定位销或支承环，以防止保温材料在振动时滑落。保温钉规格：10号的镀锌铁丝。钉与钉间距300mm 左右，每层保温层达到设计厚度时，敷设一层六角铁丝网，最后把保温钉向上90°折弯，使铁丝网无空层，平整美观。</w:t>
      </w:r>
    </w:p>
    <w:p w14:paraId="2CCF110D">
      <w:pPr>
        <w:pStyle w:val="23"/>
        <w:ind w:left="1620" w:hanging="900" w:firstLineChars="0"/>
        <w:jc w:val="both"/>
        <w:rPr>
          <w:rFonts w:hint="default"/>
        </w:rPr>
      </w:pPr>
      <w:r>
        <w:t>1</w:t>
      </w:r>
      <w:r>
        <w:rPr>
          <w:lang w:val="en-US"/>
        </w:rPr>
        <w:t>0</w:t>
      </w:r>
      <w:r>
        <w:t>.12.2铺设保温岩棉板，岩棉板厚100mm，铺设时同层应错缝，内外层应压缝，其搭接长度大于50mm。岩棉板铺完后用14#</w:t>
      </w:r>
      <w:r>
        <w:rPr>
          <w:rFonts w:hint="default" w:ascii="Times New Roman" w:hAnsi="Times New Roman" w:cs="Times New Roman"/>
        </w:rPr>
        <w:t>~</w:t>
      </w:r>
      <w:r>
        <w:t>16#镀锌钢丝捆扎好，间距小于300mm。每块岩棉板至少进行二道捆扎。施工时岩棉板不得覆盖铭牌，可切割成喇叭口，开口处应密封规整，外形应规矩整齐。</w:t>
      </w:r>
    </w:p>
    <w:p w14:paraId="19DD298A">
      <w:pPr>
        <w:pStyle w:val="23"/>
        <w:ind w:left="1624" w:hanging="904" w:firstLineChars="0"/>
        <w:jc w:val="both"/>
        <w:rPr>
          <w:rFonts w:hint="default"/>
        </w:rPr>
      </w:pPr>
      <w:r>
        <w:t>1</w:t>
      </w:r>
      <w:r>
        <w:rPr>
          <w:lang w:val="en-US"/>
        </w:rPr>
        <w:t>0</w:t>
      </w:r>
      <w:r>
        <w:t>.12.3外护彩钢板需压瓦棱型，以增加彩钢板的强度。每个棱角两边用35mm的自攻螺丝钉牢，所有保温板上用的螺丝紧固件均采用不锈钢410自攻螺丝，螺丝钉帽用与彩钢板颜色相同的专用油漆涂刷，以防锈与增加颜色的美观。板缝之间所有接缝用玻璃胶密封，特殊的地方用保温砂浆抹平用以防水，外部用与彩钢板颜色相同的专用油漆涂刷。</w:t>
      </w:r>
    </w:p>
    <w:p w14:paraId="2B53AA1C">
      <w:pPr>
        <w:pStyle w:val="23"/>
        <w:ind w:left="1620" w:hanging="900" w:firstLineChars="0"/>
        <w:jc w:val="both"/>
        <w:rPr>
          <w:rFonts w:hint="default"/>
        </w:rPr>
      </w:pPr>
      <w:r>
        <w:t>1</w:t>
      </w:r>
      <w:r>
        <w:rPr>
          <w:lang w:val="en-US"/>
        </w:rPr>
        <w:t>0</w:t>
      </w:r>
      <w:r>
        <w:t>.12.4管道保温应在各部件（包括仪表测试管）安装完毕，严密性试验合格后进行；要求使用岩棉，保温厚度按《工业设备、管道防腐蚀工程施工及验收规范》GB50126-2008执行。</w:t>
      </w:r>
    </w:p>
    <w:p w14:paraId="23A488D4">
      <w:pPr>
        <w:pStyle w:val="32"/>
        <w:ind w:left="1560" w:hanging="600" w:firstLineChars="0"/>
        <w:jc w:val="both"/>
        <w:rPr>
          <w:rFonts w:hint="default"/>
        </w:rPr>
      </w:pPr>
      <w:r>
        <w:t>（1）施工前必须清除管道表面的油污、铁锈和泥土等污物，已防腐的管道，焊口及碰坏的防腐层重新防腐；保温管垂直段保温钉间距 1m，数量为4</w:t>
      </w:r>
      <w:r>
        <w:rPr>
          <w:rFonts w:hint="default" w:ascii="Times New Roman" w:hAnsi="Times New Roman" w:cs="Times New Roman"/>
        </w:rPr>
        <w:t>~</w:t>
      </w:r>
      <w:r>
        <w:t>5个用φ3</w:t>
      </w:r>
      <w:r>
        <w:rPr>
          <w:rFonts w:hint="default" w:ascii="Times New Roman" w:hAnsi="Times New Roman" w:cs="Times New Roman"/>
        </w:rPr>
        <w:t>~</w:t>
      </w:r>
      <w:r>
        <w:t>6mm圆钢制作的保温钉，以确保保温棉管不会因自身重量下沉而出现空隙；</w:t>
      </w:r>
    </w:p>
    <w:p w14:paraId="48B182EB">
      <w:pPr>
        <w:pStyle w:val="32"/>
        <w:ind w:left="1560" w:hanging="600" w:firstLineChars="0"/>
        <w:jc w:val="both"/>
        <w:rPr>
          <w:rFonts w:hint="default"/>
        </w:rPr>
      </w:pPr>
      <w:r>
        <w:t>（2）保温材料应绑扎牢固，每块保温材料最少为两道，绑扎材料不得倾斜，不得采用螺旋式缠绕捆扎，捆扎间距不应大于200mm，针刺毯保温时铁丝要捆扎三道，对振动部位应适当加强绑扎。拧紧后的铁丝头要嵌入保温材料缝隙内，铁丝距保温材料端头大于100mm；</w:t>
      </w:r>
    </w:p>
    <w:p w14:paraId="021940C5">
      <w:pPr>
        <w:pStyle w:val="32"/>
        <w:ind w:left="1560" w:hanging="600" w:firstLineChars="0"/>
        <w:jc w:val="both"/>
        <w:rPr>
          <w:rFonts w:hint="default"/>
        </w:rPr>
      </w:pPr>
      <w:r>
        <w:t>（3）单层保温棉保温时，保温棉切口必须朝下，保温管与管之间应紧凑，岩棉管保温厚度超过80mm时，保温棉应分两层，且两层保温棉厚度大致相等，</w:t>
      </w:r>
      <w:r>
        <w:rPr>
          <w:lang w:val="en-US"/>
        </w:rPr>
        <w:t>分层</w:t>
      </w:r>
      <w:r>
        <w:t>保温时两层岩棉管道层间应错缝，纵向错缝＞15°，环向错缝＞100mm，水平管道外层纵向保温接缝应避免留在管道顶部。而且保温棉切口应向下且不准重合，接缝应错开，层间和缝间不得有空隙，以减少热损失。</w:t>
      </w:r>
    </w:p>
    <w:p w14:paraId="28D918ED">
      <w:pPr>
        <w:pStyle w:val="32"/>
        <w:ind w:left="1560" w:hanging="600" w:firstLineChars="0"/>
        <w:jc w:val="both"/>
        <w:rPr>
          <w:rFonts w:hint="default"/>
        </w:rPr>
      </w:pPr>
      <w:r>
        <w:t>（4）保温棉的捆扎用镀锌铁丝，选用视保温层外径尺寸而定，具体规格分档范围如下：</w:t>
      </w:r>
    </w:p>
    <w:tbl>
      <w:tblPr>
        <w:tblStyle w:val="18"/>
        <w:tblW w:w="7100" w:type="dxa"/>
        <w:jc w:val="center"/>
        <w:tblLayout w:type="fixed"/>
        <w:tblCellMar>
          <w:top w:w="0" w:type="dxa"/>
          <w:left w:w="108" w:type="dxa"/>
          <w:bottom w:w="0" w:type="dxa"/>
          <w:right w:w="108" w:type="dxa"/>
        </w:tblCellMar>
      </w:tblPr>
      <w:tblGrid>
        <w:gridCol w:w="2334"/>
        <w:gridCol w:w="2066"/>
        <w:gridCol w:w="2700"/>
      </w:tblGrid>
      <w:tr w14:paraId="26452557">
        <w:tblPrEx>
          <w:tblCellMar>
            <w:top w:w="0" w:type="dxa"/>
            <w:left w:w="108" w:type="dxa"/>
            <w:bottom w:w="0" w:type="dxa"/>
            <w:right w:w="108" w:type="dxa"/>
          </w:tblCellMar>
        </w:tblPrEx>
        <w:trPr>
          <w:trHeight w:val="419" w:hRule="exact"/>
          <w:jc w:val="center"/>
        </w:trPr>
        <w:tc>
          <w:tcPr>
            <w:tcW w:w="2334" w:type="dxa"/>
            <w:tcBorders>
              <w:top w:val="single" w:color="000000" w:sz="4" w:space="0"/>
              <w:left w:val="single" w:color="000000" w:sz="4" w:space="0"/>
              <w:bottom w:val="single" w:color="000000" w:sz="4" w:space="0"/>
              <w:right w:val="single" w:color="000000" w:sz="4" w:space="0"/>
            </w:tcBorders>
            <w:tcMar>
              <w:left w:w="0" w:type="dxa"/>
              <w:right w:w="0" w:type="dxa"/>
            </w:tcMar>
          </w:tcPr>
          <w:p w14:paraId="571110EA">
            <w:pPr>
              <w:jc w:val="center"/>
              <w:rPr>
                <w:rFonts w:ascii="Times New Roman" w:hAnsi="Times New Roman" w:eastAsia="仿宋"/>
                <w:sz w:val="24"/>
                <w:szCs w:val="24"/>
              </w:rPr>
            </w:pPr>
            <w:r>
              <w:rPr>
                <w:rFonts w:ascii="Times New Roman" w:hAnsi="Times New Roman" w:eastAsia="仿宋"/>
                <w:sz w:val="24"/>
                <w:szCs w:val="24"/>
              </w:rPr>
              <w:t>保温外径（mm）</w:t>
            </w:r>
          </w:p>
        </w:tc>
        <w:tc>
          <w:tcPr>
            <w:tcW w:w="2066" w:type="dxa"/>
            <w:tcBorders>
              <w:top w:val="single" w:color="000000" w:sz="4" w:space="0"/>
              <w:left w:val="single" w:color="000000" w:sz="4" w:space="0"/>
              <w:bottom w:val="single" w:color="000000" w:sz="4" w:space="0"/>
              <w:right w:val="single" w:color="000000" w:sz="4" w:space="0"/>
            </w:tcBorders>
            <w:tcMar>
              <w:left w:w="0" w:type="dxa"/>
              <w:right w:w="0" w:type="dxa"/>
            </w:tcMar>
          </w:tcPr>
          <w:p w14:paraId="52141A4D">
            <w:pPr>
              <w:jc w:val="center"/>
              <w:rPr>
                <w:rFonts w:ascii="Times New Roman" w:hAnsi="Times New Roman" w:eastAsia="仿宋"/>
                <w:sz w:val="24"/>
                <w:szCs w:val="24"/>
              </w:rPr>
            </w:pPr>
            <w:r>
              <w:rPr>
                <w:rFonts w:ascii="Times New Roman" w:hAnsi="Times New Roman" w:eastAsia="仿宋"/>
                <w:sz w:val="24"/>
                <w:szCs w:val="24"/>
              </w:rPr>
              <w:t>镀锌铁丝规格</w:t>
            </w:r>
          </w:p>
        </w:tc>
        <w:tc>
          <w:tcPr>
            <w:tcW w:w="2700" w:type="dxa"/>
            <w:tcBorders>
              <w:top w:val="single" w:color="000000" w:sz="4" w:space="0"/>
              <w:left w:val="single" w:color="000000" w:sz="4" w:space="0"/>
              <w:bottom w:val="single" w:color="000000" w:sz="4" w:space="0"/>
              <w:right w:val="single" w:color="000000" w:sz="4" w:space="0"/>
            </w:tcBorders>
            <w:tcMar>
              <w:left w:w="0" w:type="dxa"/>
              <w:right w:w="0" w:type="dxa"/>
            </w:tcMar>
          </w:tcPr>
          <w:p w14:paraId="723EE678">
            <w:pPr>
              <w:jc w:val="center"/>
              <w:rPr>
                <w:rFonts w:ascii="Times New Roman" w:hAnsi="Times New Roman" w:eastAsia="仿宋"/>
                <w:sz w:val="24"/>
                <w:szCs w:val="24"/>
              </w:rPr>
            </w:pPr>
            <w:r>
              <w:rPr>
                <w:rFonts w:ascii="Times New Roman" w:hAnsi="Times New Roman" w:eastAsia="仿宋"/>
                <w:sz w:val="24"/>
                <w:szCs w:val="24"/>
              </w:rPr>
              <w:t>公称直径（mm）</w:t>
            </w:r>
          </w:p>
        </w:tc>
      </w:tr>
      <w:tr w14:paraId="10086F39">
        <w:tblPrEx>
          <w:tblCellMar>
            <w:top w:w="0" w:type="dxa"/>
            <w:left w:w="108" w:type="dxa"/>
            <w:bottom w:w="0" w:type="dxa"/>
            <w:right w:w="108" w:type="dxa"/>
          </w:tblCellMar>
        </w:tblPrEx>
        <w:trPr>
          <w:trHeight w:val="419" w:hRule="exact"/>
          <w:jc w:val="center"/>
        </w:trPr>
        <w:tc>
          <w:tcPr>
            <w:tcW w:w="2334" w:type="dxa"/>
            <w:tcBorders>
              <w:top w:val="single" w:color="000000" w:sz="4" w:space="0"/>
              <w:left w:val="single" w:color="000000" w:sz="4" w:space="0"/>
              <w:bottom w:val="single" w:color="000000" w:sz="4" w:space="0"/>
              <w:right w:val="single" w:color="000000" w:sz="4" w:space="0"/>
            </w:tcBorders>
            <w:tcMar>
              <w:left w:w="0" w:type="dxa"/>
              <w:right w:w="0" w:type="dxa"/>
            </w:tcMar>
          </w:tcPr>
          <w:p w14:paraId="5B930163">
            <w:pPr>
              <w:jc w:val="center"/>
              <w:rPr>
                <w:rFonts w:ascii="Times New Roman" w:hAnsi="Times New Roman" w:eastAsia="仿宋"/>
                <w:sz w:val="24"/>
                <w:szCs w:val="24"/>
              </w:rPr>
            </w:pPr>
            <w:r>
              <w:rPr>
                <w:rFonts w:ascii="Times New Roman" w:hAnsi="Times New Roman" w:eastAsia="仿宋"/>
                <w:sz w:val="24"/>
                <w:szCs w:val="24"/>
              </w:rPr>
              <w:t>＜200 或平面</w:t>
            </w:r>
          </w:p>
        </w:tc>
        <w:tc>
          <w:tcPr>
            <w:tcW w:w="2066" w:type="dxa"/>
            <w:tcBorders>
              <w:top w:val="single" w:color="000000" w:sz="4" w:space="0"/>
              <w:left w:val="single" w:color="000000" w:sz="4" w:space="0"/>
              <w:bottom w:val="single" w:color="000000" w:sz="4" w:space="0"/>
              <w:right w:val="single" w:color="000000" w:sz="4" w:space="0"/>
            </w:tcBorders>
            <w:tcMar>
              <w:left w:w="0" w:type="dxa"/>
              <w:right w:w="0" w:type="dxa"/>
            </w:tcMar>
          </w:tcPr>
          <w:p w14:paraId="7D4F1696">
            <w:pPr>
              <w:jc w:val="center"/>
              <w:rPr>
                <w:rFonts w:ascii="Times New Roman" w:hAnsi="Times New Roman" w:eastAsia="仿宋"/>
                <w:sz w:val="24"/>
                <w:szCs w:val="24"/>
              </w:rPr>
            </w:pPr>
            <w:r>
              <w:rPr>
                <w:rFonts w:hint="eastAsia" w:ascii="Times New Roman" w:hAnsi="Times New Roman" w:eastAsia="仿宋"/>
                <w:sz w:val="24"/>
                <w:szCs w:val="24"/>
              </w:rPr>
              <w:t>#</w:t>
            </w:r>
            <w:r>
              <w:rPr>
                <w:rFonts w:ascii="Times New Roman" w:hAnsi="Times New Roman" w:eastAsia="仿宋"/>
                <w:sz w:val="24"/>
                <w:szCs w:val="24"/>
              </w:rPr>
              <w:t>18</w:t>
            </w:r>
          </w:p>
        </w:tc>
        <w:tc>
          <w:tcPr>
            <w:tcW w:w="27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6CEBB02">
            <w:pPr>
              <w:jc w:val="center"/>
              <w:rPr>
                <w:rFonts w:ascii="Times New Roman" w:hAnsi="Times New Roman" w:eastAsia="仿宋"/>
                <w:sz w:val="24"/>
                <w:szCs w:val="24"/>
              </w:rPr>
            </w:pPr>
            <w:r>
              <w:rPr>
                <w:rFonts w:ascii="Times New Roman" w:hAnsi="Times New Roman" w:eastAsia="仿宋"/>
                <w:sz w:val="24"/>
                <w:szCs w:val="24"/>
              </w:rPr>
              <w:t>1.2</w:t>
            </w:r>
          </w:p>
        </w:tc>
      </w:tr>
      <w:tr w14:paraId="3E9BEC09">
        <w:tblPrEx>
          <w:tblCellMar>
            <w:top w:w="0" w:type="dxa"/>
            <w:left w:w="108" w:type="dxa"/>
            <w:bottom w:w="0" w:type="dxa"/>
            <w:right w:w="108" w:type="dxa"/>
          </w:tblCellMar>
        </w:tblPrEx>
        <w:trPr>
          <w:trHeight w:val="419" w:hRule="exact"/>
          <w:jc w:val="center"/>
        </w:trPr>
        <w:tc>
          <w:tcPr>
            <w:tcW w:w="2334" w:type="dxa"/>
            <w:tcBorders>
              <w:top w:val="single" w:color="000000" w:sz="4" w:space="0"/>
              <w:left w:val="single" w:color="000000" w:sz="4" w:space="0"/>
              <w:bottom w:val="single" w:color="000000" w:sz="4" w:space="0"/>
              <w:right w:val="single" w:color="000000" w:sz="4" w:space="0"/>
            </w:tcBorders>
            <w:tcMar>
              <w:left w:w="0" w:type="dxa"/>
              <w:right w:w="0" w:type="dxa"/>
            </w:tcMar>
          </w:tcPr>
          <w:p w14:paraId="2892FE61">
            <w:pPr>
              <w:jc w:val="center"/>
              <w:rPr>
                <w:rFonts w:ascii="Times New Roman" w:hAnsi="Times New Roman" w:eastAsia="仿宋"/>
                <w:sz w:val="24"/>
                <w:szCs w:val="24"/>
              </w:rPr>
            </w:pPr>
            <w:r>
              <w:rPr>
                <w:rFonts w:ascii="Times New Roman" w:hAnsi="Times New Roman" w:eastAsia="仿宋"/>
                <w:sz w:val="24"/>
                <w:szCs w:val="24"/>
              </w:rPr>
              <w:t>200</w:t>
            </w:r>
            <w:r>
              <w:rPr>
                <w:rFonts w:hint="eastAsia" w:ascii="Times New Roman" w:hAnsi="Times New Roman" w:eastAsia="仿宋"/>
                <w:sz w:val="24"/>
                <w:szCs w:val="24"/>
              </w:rPr>
              <w:t>~</w:t>
            </w:r>
            <w:r>
              <w:rPr>
                <w:rFonts w:ascii="Times New Roman" w:hAnsi="Times New Roman" w:eastAsia="仿宋"/>
                <w:sz w:val="24"/>
                <w:szCs w:val="24"/>
              </w:rPr>
              <w:t>600</w:t>
            </w:r>
          </w:p>
        </w:tc>
        <w:tc>
          <w:tcPr>
            <w:tcW w:w="2066" w:type="dxa"/>
            <w:tcBorders>
              <w:top w:val="single" w:color="000000" w:sz="4" w:space="0"/>
              <w:left w:val="single" w:color="000000" w:sz="4" w:space="0"/>
              <w:bottom w:val="single" w:color="000000" w:sz="4" w:space="0"/>
              <w:right w:val="single" w:color="000000" w:sz="4" w:space="0"/>
            </w:tcBorders>
            <w:tcMar>
              <w:left w:w="0" w:type="dxa"/>
              <w:right w:w="0" w:type="dxa"/>
            </w:tcMar>
          </w:tcPr>
          <w:p w14:paraId="4A7936B8">
            <w:pPr>
              <w:jc w:val="center"/>
              <w:rPr>
                <w:rFonts w:ascii="Times New Roman" w:hAnsi="Times New Roman" w:eastAsia="仿宋"/>
                <w:sz w:val="24"/>
                <w:szCs w:val="24"/>
              </w:rPr>
            </w:pPr>
            <w:r>
              <w:rPr>
                <w:rFonts w:hint="eastAsia" w:ascii="Times New Roman" w:hAnsi="Times New Roman" w:eastAsia="仿宋"/>
                <w:sz w:val="24"/>
                <w:szCs w:val="24"/>
              </w:rPr>
              <w:t>#</w:t>
            </w:r>
            <w:r>
              <w:rPr>
                <w:rFonts w:ascii="Times New Roman" w:hAnsi="Times New Roman" w:eastAsia="仿宋"/>
                <w:sz w:val="24"/>
                <w:szCs w:val="24"/>
              </w:rPr>
              <w:t>16</w:t>
            </w:r>
          </w:p>
        </w:tc>
        <w:tc>
          <w:tcPr>
            <w:tcW w:w="2700" w:type="dxa"/>
            <w:tcBorders>
              <w:top w:val="single" w:color="000000" w:sz="4" w:space="0"/>
              <w:left w:val="single" w:color="000000" w:sz="4" w:space="0"/>
              <w:bottom w:val="single" w:color="000000" w:sz="4" w:space="0"/>
              <w:right w:val="single" w:color="000000" w:sz="4" w:space="0"/>
            </w:tcBorders>
            <w:tcMar>
              <w:left w:w="0" w:type="dxa"/>
              <w:right w:w="0" w:type="dxa"/>
            </w:tcMar>
          </w:tcPr>
          <w:p w14:paraId="0BE1BAE2">
            <w:pPr>
              <w:jc w:val="center"/>
              <w:rPr>
                <w:rFonts w:ascii="Times New Roman" w:hAnsi="Times New Roman" w:eastAsia="仿宋"/>
                <w:sz w:val="24"/>
                <w:szCs w:val="24"/>
              </w:rPr>
            </w:pPr>
            <w:r>
              <w:rPr>
                <w:rFonts w:ascii="Times New Roman" w:hAnsi="Times New Roman" w:eastAsia="仿宋"/>
                <w:sz w:val="24"/>
                <w:szCs w:val="24"/>
              </w:rPr>
              <w:t>1.65</w:t>
            </w:r>
          </w:p>
        </w:tc>
      </w:tr>
      <w:tr w14:paraId="6F62B1AA">
        <w:tblPrEx>
          <w:tblCellMar>
            <w:top w:w="0" w:type="dxa"/>
            <w:left w:w="108" w:type="dxa"/>
            <w:bottom w:w="0" w:type="dxa"/>
            <w:right w:w="108" w:type="dxa"/>
          </w:tblCellMar>
        </w:tblPrEx>
        <w:trPr>
          <w:trHeight w:val="419" w:hRule="exact"/>
          <w:jc w:val="center"/>
        </w:trPr>
        <w:tc>
          <w:tcPr>
            <w:tcW w:w="2334" w:type="dxa"/>
            <w:tcBorders>
              <w:top w:val="single" w:color="000000" w:sz="4" w:space="0"/>
              <w:left w:val="single" w:color="000000" w:sz="4" w:space="0"/>
              <w:bottom w:val="single" w:color="000000" w:sz="4" w:space="0"/>
              <w:right w:val="single" w:color="000000" w:sz="4" w:space="0"/>
            </w:tcBorders>
            <w:tcMar>
              <w:left w:w="0" w:type="dxa"/>
              <w:right w:w="0" w:type="dxa"/>
            </w:tcMar>
          </w:tcPr>
          <w:p w14:paraId="40E1BE77">
            <w:pPr>
              <w:jc w:val="center"/>
              <w:rPr>
                <w:rFonts w:ascii="Times New Roman" w:hAnsi="Times New Roman" w:eastAsia="仿宋"/>
                <w:sz w:val="24"/>
                <w:szCs w:val="24"/>
              </w:rPr>
            </w:pPr>
            <w:r>
              <w:rPr>
                <w:rFonts w:hint="eastAsia" w:ascii="Times New Roman" w:hAnsi="Times New Roman" w:eastAsia="仿宋"/>
                <w:sz w:val="24"/>
                <w:szCs w:val="24"/>
              </w:rPr>
              <w:t>600~1000</w:t>
            </w:r>
          </w:p>
        </w:tc>
        <w:tc>
          <w:tcPr>
            <w:tcW w:w="2066" w:type="dxa"/>
            <w:tcBorders>
              <w:top w:val="single" w:color="000000" w:sz="4" w:space="0"/>
              <w:left w:val="single" w:color="000000" w:sz="4" w:space="0"/>
              <w:bottom w:val="single" w:color="000000" w:sz="4" w:space="0"/>
              <w:right w:val="single" w:color="000000" w:sz="4" w:space="0"/>
            </w:tcBorders>
            <w:tcMar>
              <w:left w:w="0" w:type="dxa"/>
              <w:right w:w="0" w:type="dxa"/>
            </w:tcMar>
          </w:tcPr>
          <w:p w14:paraId="1C09FA59">
            <w:pPr>
              <w:jc w:val="center"/>
              <w:rPr>
                <w:rFonts w:ascii="Times New Roman" w:hAnsi="Times New Roman" w:eastAsia="仿宋"/>
                <w:sz w:val="24"/>
                <w:szCs w:val="24"/>
              </w:rPr>
            </w:pPr>
            <w:r>
              <w:rPr>
                <w:rFonts w:hint="eastAsia" w:ascii="Times New Roman" w:hAnsi="Times New Roman" w:eastAsia="仿宋"/>
                <w:sz w:val="24"/>
                <w:szCs w:val="24"/>
              </w:rPr>
              <w:t>#</w:t>
            </w:r>
            <w:r>
              <w:rPr>
                <w:rFonts w:ascii="Times New Roman" w:hAnsi="Times New Roman" w:eastAsia="仿宋"/>
                <w:sz w:val="24"/>
                <w:szCs w:val="24"/>
              </w:rPr>
              <w:t>1</w:t>
            </w:r>
            <w:r>
              <w:rPr>
                <w:rFonts w:hint="eastAsia" w:ascii="Times New Roman" w:hAnsi="Times New Roman" w:eastAsia="仿宋"/>
                <w:sz w:val="24"/>
                <w:szCs w:val="24"/>
              </w:rPr>
              <w:t>4</w:t>
            </w:r>
          </w:p>
        </w:tc>
        <w:tc>
          <w:tcPr>
            <w:tcW w:w="27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22B6DD3">
            <w:pPr>
              <w:jc w:val="center"/>
              <w:rPr>
                <w:rFonts w:ascii="Times New Roman" w:hAnsi="Times New Roman" w:eastAsia="仿宋"/>
                <w:sz w:val="24"/>
                <w:szCs w:val="24"/>
              </w:rPr>
            </w:pPr>
            <w:r>
              <w:rPr>
                <w:rFonts w:hint="eastAsia" w:ascii="Times New Roman" w:hAnsi="Times New Roman" w:eastAsia="仿宋"/>
                <w:sz w:val="24"/>
                <w:szCs w:val="24"/>
              </w:rPr>
              <w:t>2.5</w:t>
            </w:r>
          </w:p>
        </w:tc>
      </w:tr>
      <w:tr w14:paraId="2045B141">
        <w:tblPrEx>
          <w:tblCellMar>
            <w:top w:w="0" w:type="dxa"/>
            <w:left w:w="108" w:type="dxa"/>
            <w:bottom w:w="0" w:type="dxa"/>
            <w:right w:w="108" w:type="dxa"/>
          </w:tblCellMar>
        </w:tblPrEx>
        <w:trPr>
          <w:trHeight w:val="419" w:hRule="exact"/>
          <w:jc w:val="center"/>
        </w:trPr>
        <w:tc>
          <w:tcPr>
            <w:tcW w:w="2334" w:type="dxa"/>
            <w:tcBorders>
              <w:top w:val="single" w:color="000000" w:sz="4" w:space="0"/>
              <w:left w:val="single" w:color="000000" w:sz="4" w:space="0"/>
              <w:bottom w:val="single" w:color="000000" w:sz="4" w:space="0"/>
              <w:right w:val="single" w:color="000000" w:sz="4" w:space="0"/>
            </w:tcBorders>
            <w:tcMar>
              <w:left w:w="0" w:type="dxa"/>
              <w:right w:w="0" w:type="dxa"/>
            </w:tcMar>
          </w:tcPr>
          <w:p w14:paraId="33E0A075">
            <w:pPr>
              <w:jc w:val="center"/>
              <w:rPr>
                <w:rFonts w:ascii="Times New Roman" w:hAnsi="Times New Roman" w:eastAsia="仿宋"/>
                <w:sz w:val="24"/>
                <w:szCs w:val="24"/>
              </w:rPr>
            </w:pPr>
            <w:r>
              <w:rPr>
                <w:rFonts w:ascii="Times New Roman" w:hAnsi="Times New Roman" w:eastAsia="仿宋"/>
                <w:sz w:val="24"/>
                <w:szCs w:val="24"/>
              </w:rPr>
              <w:t>＞1000</w:t>
            </w:r>
          </w:p>
        </w:tc>
        <w:tc>
          <w:tcPr>
            <w:tcW w:w="2066" w:type="dxa"/>
            <w:tcBorders>
              <w:top w:val="single" w:color="000000" w:sz="4" w:space="0"/>
              <w:left w:val="single" w:color="000000" w:sz="4" w:space="0"/>
              <w:bottom w:val="single" w:color="000000" w:sz="4" w:space="0"/>
              <w:right w:val="single" w:color="000000" w:sz="4" w:space="0"/>
            </w:tcBorders>
            <w:tcMar>
              <w:left w:w="0" w:type="dxa"/>
              <w:right w:w="0" w:type="dxa"/>
            </w:tcMar>
          </w:tcPr>
          <w:p w14:paraId="698C6120">
            <w:pPr>
              <w:jc w:val="center"/>
              <w:rPr>
                <w:rFonts w:ascii="Times New Roman" w:hAnsi="Times New Roman" w:eastAsia="仿宋"/>
                <w:sz w:val="24"/>
                <w:szCs w:val="24"/>
              </w:rPr>
            </w:pPr>
            <w:r>
              <w:rPr>
                <w:rFonts w:hint="eastAsia" w:ascii="Times New Roman" w:hAnsi="Times New Roman" w:eastAsia="仿宋"/>
                <w:sz w:val="24"/>
                <w:szCs w:val="24"/>
              </w:rPr>
              <w:t>不锈钢钢带</w:t>
            </w:r>
          </w:p>
        </w:tc>
        <w:tc>
          <w:tcPr>
            <w:tcW w:w="2700" w:type="dxa"/>
            <w:tcBorders>
              <w:top w:val="single" w:color="000000" w:sz="4" w:space="0"/>
              <w:left w:val="single" w:color="000000" w:sz="4" w:space="0"/>
              <w:bottom w:val="single" w:color="000000" w:sz="4" w:space="0"/>
              <w:right w:val="single" w:color="000000" w:sz="4" w:space="0"/>
            </w:tcBorders>
            <w:tcMar>
              <w:left w:w="0" w:type="dxa"/>
              <w:right w:w="0" w:type="dxa"/>
            </w:tcMar>
          </w:tcPr>
          <w:p w14:paraId="439F5A06">
            <w:pPr>
              <w:jc w:val="center"/>
              <w:rPr>
                <w:rFonts w:ascii="Times New Roman" w:hAnsi="Times New Roman" w:eastAsia="仿宋"/>
                <w:sz w:val="24"/>
                <w:szCs w:val="24"/>
              </w:rPr>
            </w:pPr>
            <w:r>
              <w:rPr>
                <w:rFonts w:hint="eastAsia" w:ascii="Times New Roman" w:hAnsi="Times New Roman" w:eastAsia="仿宋"/>
                <w:sz w:val="24"/>
                <w:szCs w:val="24"/>
              </w:rPr>
              <w:t>12*0.5</w:t>
            </w:r>
          </w:p>
        </w:tc>
      </w:tr>
    </w:tbl>
    <w:p w14:paraId="13E30416">
      <w:pPr>
        <w:pStyle w:val="32"/>
        <w:ind w:left="1540" w:leftChars="550" w:firstLine="0" w:firstLineChars="0"/>
        <w:jc w:val="both"/>
        <w:rPr>
          <w:rFonts w:hint="default"/>
        </w:rPr>
      </w:pPr>
      <w:r>
        <w:t>铁丝捆扎必须牢固，但不允许过紧以防接口处变形上翘，缠玻璃丝布时要求必须紧凑以起到塑形的效果，搭接不得少于20</w:t>
      </w:r>
      <w:r>
        <w:rPr>
          <w:lang w:val="en-US"/>
        </w:rPr>
        <w:t>厘米</w:t>
      </w:r>
      <w:r>
        <w:t>。</w:t>
      </w:r>
    </w:p>
    <w:p w14:paraId="6953B058">
      <w:pPr>
        <w:pStyle w:val="32"/>
        <w:ind w:left="1560" w:hanging="600" w:firstLineChars="0"/>
        <w:jc w:val="both"/>
        <w:rPr>
          <w:rFonts w:hint="default"/>
        </w:rPr>
      </w:pPr>
      <w:r>
        <w:t>（5）管道投运后，因热胀冷缩经常会出现保温棉管中间出现缝隙的情况，若投运后上铁皮，则必须提前进行填棉，然后才能上铁皮，对于因经常操作等情况对管道保温棉易踩踏坏掉的部分，必须进行垫棉（硅酸铝毯）处理，或局部将软质材料更换为硬质，以保证铁皮的平直均匀。</w:t>
      </w:r>
    </w:p>
    <w:p w14:paraId="4881EB42">
      <w:pPr>
        <w:pStyle w:val="32"/>
        <w:ind w:left="1560" w:hanging="600" w:firstLineChars="0"/>
        <w:jc w:val="both"/>
        <w:rPr>
          <w:rFonts w:hint="default"/>
        </w:rPr>
      </w:pPr>
      <w:r>
        <w:t>（6）两根相互交叉或平行的保温管道，其膨胀方向或介质温度不相同时，保温层之间留10</w:t>
      </w:r>
      <w:r>
        <w:rPr>
          <w:rFonts w:hint="default" w:ascii="Times New Roman" w:hAnsi="Times New Roman" w:cs="Times New Roman"/>
        </w:rPr>
        <w:t>~</w:t>
      </w:r>
      <w:r>
        <w:t>20mm的间隙。</w:t>
      </w:r>
    </w:p>
    <w:p w14:paraId="4D0B0D09">
      <w:pPr>
        <w:pStyle w:val="32"/>
        <w:ind w:left="1560" w:hanging="600" w:firstLineChars="0"/>
        <w:jc w:val="both"/>
        <w:rPr>
          <w:rFonts w:hint="default"/>
        </w:rPr>
      </w:pPr>
      <w:r>
        <w:t>（7）流量测量装置、阀门、伸缩节、蠕变测点等处的保温及铁皮做成可拆式结构，以满足运行检查和检修的需要。</w:t>
      </w:r>
    </w:p>
    <w:p w14:paraId="154EF37D">
      <w:pPr>
        <w:pStyle w:val="5"/>
        <w:ind w:firstLine="480"/>
        <w:jc w:val="both"/>
      </w:pPr>
      <w:r>
        <w:rPr>
          <w:rFonts w:hint="eastAsia"/>
        </w:rPr>
        <w:t>10.13 平台、楼梯、护栏</w:t>
      </w:r>
    </w:p>
    <w:p w14:paraId="5ACA858D">
      <w:pPr>
        <w:pStyle w:val="23"/>
        <w:ind w:firstLine="1200" w:firstLineChars="500"/>
        <w:jc w:val="both"/>
        <w:rPr>
          <w:rFonts w:hint="default"/>
        </w:rPr>
      </w:pPr>
      <w:r>
        <w:t>符合 GB4053 固定式钢梯及平台安全要求。</w:t>
      </w:r>
    </w:p>
    <w:p w14:paraId="7A181080">
      <w:pPr>
        <w:pStyle w:val="23"/>
        <w:ind w:left="720" w:firstLine="480" w:firstLineChars="200"/>
        <w:jc w:val="both"/>
        <w:rPr>
          <w:rFonts w:hint="default"/>
        </w:rPr>
      </w:pPr>
      <w:r>
        <w:t>扶梯宽度845mm以上，倾角≤45°；四周平台设备以外需有宽1.2m以上的走道，平台、楼梯踏板用热浸锌格板结构（厂家：广东美罗公司、无锡美罗公司或</w:t>
      </w:r>
      <w:r>
        <w:rPr>
          <w:lang w:val="en-US"/>
        </w:rPr>
        <w:t>不低于</w:t>
      </w:r>
      <w:r>
        <w:t>该公司品牌</w:t>
      </w:r>
      <w:r>
        <w:rPr>
          <w:lang w:val="en-US"/>
        </w:rPr>
        <w:t>品质</w:t>
      </w:r>
      <w:r>
        <w:t>的产品）栏杆及踢脚板全部使用304不锈钢材质，栏杆立柱及扶手采用φ32*2不锈钢管制作，横杆采用30mm*4mm不锈钢扁钢制作，踢脚板使用100mm*2mm不锈钢扁钢制作，（</w:t>
      </w:r>
      <w:r>
        <w:rPr>
          <w:lang w:val="en-US"/>
        </w:rPr>
        <w:t>室外材质选用不锈钢，室内选用碳钢</w:t>
      </w:r>
      <w:r>
        <w:t>）防滑型钢格栅规格要求（扁钢厚度≥3.5mm，扁钢中心距为40mm，加强筋直径≥8mm），格栅板用专门的格栅压板紧密地固定在钢支撑杆上，格栅的每个角落各有一块格栅压板。</w:t>
      </w:r>
    </w:p>
    <w:p w14:paraId="743FD599">
      <w:pPr>
        <w:pStyle w:val="23"/>
        <w:ind w:left="720" w:firstLine="480" w:firstLineChars="200"/>
        <w:jc w:val="both"/>
        <w:rPr>
          <w:rFonts w:hint="default"/>
        </w:rPr>
      </w:pPr>
      <w:r>
        <w:t>钢直爬梯攀登高度超过2000mm时应设护笼（固定在梯梁上，用于保护攀登者安全的构件），护笼下端距基准面为2000mm，护笼上端低于扶手（在钢直爬梯上端设置的安全把手）100mm；整体设计符合国家相应的规范。钢直爬梯整体采用不锈钢304材质制作（</w:t>
      </w:r>
      <w:r>
        <w:rPr>
          <w:lang w:val="en-US"/>
        </w:rPr>
        <w:t>室外材质选用不锈钢，室内材质选用碳钢</w:t>
      </w:r>
      <w:r>
        <w:t>）。</w:t>
      </w:r>
    </w:p>
    <w:p w14:paraId="0E4563ED">
      <w:pPr>
        <w:pStyle w:val="23"/>
        <w:ind w:firstLine="0" w:firstLineChars="0"/>
        <w:jc w:val="both"/>
        <w:rPr>
          <w:rFonts w:hint="default"/>
        </w:rPr>
      </w:pPr>
    </w:p>
    <w:p w14:paraId="1DD8653B">
      <w:r>
        <w:rPr>
          <w:rFonts w:hint="eastAsia"/>
        </w:rPr>
        <w:br w:type="page"/>
      </w:r>
    </w:p>
    <w:p w14:paraId="3E730502">
      <w:pPr>
        <w:jc w:val="center"/>
        <w:rPr>
          <w:rFonts w:ascii="宋体" w:hAnsi="宋体"/>
          <w:b/>
          <w:sz w:val="52"/>
          <w:szCs w:val="52"/>
        </w:rPr>
      </w:pPr>
    </w:p>
    <w:p w14:paraId="0A04F75A">
      <w:pPr>
        <w:jc w:val="center"/>
        <w:rPr>
          <w:rFonts w:ascii="宋体" w:hAnsi="宋体"/>
          <w:b/>
          <w:sz w:val="44"/>
          <w:szCs w:val="44"/>
        </w:rPr>
      </w:pPr>
      <w:r>
        <w:rPr>
          <w:rFonts w:hint="eastAsia" w:ascii="宋体" w:hAnsi="宋体"/>
          <w:b/>
          <w:sz w:val="44"/>
          <w:szCs w:val="44"/>
        </w:rPr>
        <w:t>50万吨食品包装原纸技改工程变更项目</w:t>
      </w:r>
    </w:p>
    <w:p w14:paraId="0149693A">
      <w:pPr>
        <w:jc w:val="center"/>
        <w:rPr>
          <w:rFonts w:ascii="宋体" w:hAnsi="宋体"/>
          <w:b/>
          <w:sz w:val="44"/>
          <w:szCs w:val="44"/>
        </w:rPr>
      </w:pPr>
      <w:r>
        <w:rPr>
          <w:rFonts w:hint="eastAsia" w:ascii="宋体" w:hAnsi="宋体"/>
          <w:b/>
          <w:sz w:val="44"/>
          <w:szCs w:val="44"/>
        </w:rPr>
        <w:t>（年产20万吨竹浆技改项目）</w:t>
      </w:r>
    </w:p>
    <w:p w14:paraId="0C6AD830">
      <w:pPr>
        <w:jc w:val="center"/>
        <w:rPr>
          <w:rFonts w:ascii="宋体" w:hAnsi="宋体"/>
          <w:b/>
          <w:sz w:val="44"/>
          <w:szCs w:val="44"/>
        </w:rPr>
      </w:pPr>
      <w:r>
        <w:rPr>
          <w:rFonts w:hint="eastAsia" w:ascii="宋体" w:hAnsi="宋体"/>
          <w:b/>
          <w:sz w:val="44"/>
          <w:szCs w:val="44"/>
        </w:rPr>
        <w:t>EPC工程总承包</w:t>
      </w:r>
    </w:p>
    <w:p w14:paraId="5F3B940D">
      <w:pPr>
        <w:jc w:val="center"/>
        <w:rPr>
          <w:rFonts w:ascii="宋体" w:hAnsi="宋体"/>
          <w:b/>
          <w:sz w:val="44"/>
          <w:szCs w:val="44"/>
          <w:lang w:bidi="he-IL"/>
        </w:rPr>
      </w:pPr>
      <w:r>
        <w:rPr>
          <w:rFonts w:hint="eastAsia" w:ascii="宋体" w:hAnsi="宋体"/>
          <w:b/>
          <w:sz w:val="44"/>
          <w:szCs w:val="44"/>
          <w:lang w:bidi="he-IL"/>
        </w:rPr>
        <w:t>技术协议书</w:t>
      </w:r>
    </w:p>
    <w:p w14:paraId="016859FC">
      <w:pPr>
        <w:jc w:val="center"/>
        <w:rPr>
          <w:rFonts w:ascii="宋体" w:hAnsi="宋体"/>
          <w:b/>
          <w:sz w:val="44"/>
          <w:szCs w:val="44"/>
          <w:lang w:bidi="he-IL"/>
        </w:rPr>
      </w:pPr>
      <w:r>
        <w:rPr>
          <w:rFonts w:hint="eastAsia" w:ascii="宋体" w:hAnsi="宋体"/>
          <w:b/>
          <w:sz w:val="44"/>
          <w:szCs w:val="44"/>
          <w:lang w:bidi="he-IL"/>
        </w:rPr>
        <w:t>第四篇</w:t>
      </w:r>
    </w:p>
    <w:p w14:paraId="271B883B">
      <w:pPr>
        <w:spacing w:line="480" w:lineRule="auto"/>
        <w:jc w:val="center"/>
        <w:outlineLvl w:val="0"/>
        <w:rPr>
          <w:rFonts w:ascii="宋体" w:hAnsi="宋体" w:eastAsia="等线"/>
          <w:b/>
          <w:sz w:val="44"/>
          <w:szCs w:val="44"/>
        </w:rPr>
      </w:pPr>
      <w:bookmarkStart w:id="119" w:name="_Toc14215"/>
      <w:bookmarkStart w:id="120" w:name="_Toc24637"/>
      <w:bookmarkStart w:id="121" w:name="_Toc1854"/>
      <w:r>
        <w:rPr>
          <w:rFonts w:hint="eastAsia" w:ascii="宋体" w:hAnsi="宋体"/>
          <w:b/>
          <w:sz w:val="44"/>
          <w:szCs w:val="44"/>
        </w:rPr>
        <w:t>电气</w:t>
      </w:r>
      <w:bookmarkEnd w:id="119"/>
      <w:bookmarkEnd w:id="120"/>
      <w:bookmarkEnd w:id="121"/>
    </w:p>
    <w:p w14:paraId="57516C1F">
      <w:pPr>
        <w:spacing w:line="480" w:lineRule="auto"/>
        <w:jc w:val="center"/>
        <w:rPr>
          <w:rFonts w:ascii="Times New Roman" w:hAnsi="Times New Roman"/>
          <w:b/>
          <w:sz w:val="52"/>
          <w:szCs w:val="52"/>
        </w:rPr>
      </w:pPr>
    </w:p>
    <w:p w14:paraId="6E3CD97C">
      <w:pPr>
        <w:spacing w:line="480" w:lineRule="auto"/>
        <w:jc w:val="center"/>
        <w:rPr>
          <w:rFonts w:ascii="Times New Roman" w:hAnsi="Times New Roman"/>
          <w:b/>
          <w:sz w:val="52"/>
          <w:szCs w:val="52"/>
        </w:rPr>
      </w:pPr>
    </w:p>
    <w:p w14:paraId="672F0675">
      <w:pPr>
        <w:spacing w:line="480" w:lineRule="auto"/>
        <w:jc w:val="center"/>
        <w:rPr>
          <w:rFonts w:ascii="Times New Roman" w:hAnsi="Times New Roman"/>
          <w:b/>
          <w:sz w:val="52"/>
          <w:szCs w:val="52"/>
        </w:rPr>
      </w:pPr>
    </w:p>
    <w:p w14:paraId="40E61E47">
      <w:pPr>
        <w:spacing w:line="480" w:lineRule="auto"/>
        <w:rPr>
          <w:rFonts w:ascii="Times New Roman" w:hAnsi="Times New Roman"/>
          <w:b/>
          <w:sz w:val="52"/>
          <w:szCs w:val="52"/>
        </w:rPr>
      </w:pPr>
    </w:p>
    <w:p w14:paraId="6A265163">
      <w:pPr>
        <w:spacing w:line="480" w:lineRule="auto"/>
        <w:rPr>
          <w:rFonts w:ascii="Times New Roman" w:hAnsi="Times New Roman"/>
          <w:b/>
          <w:sz w:val="72"/>
          <w:szCs w:val="72"/>
        </w:rPr>
      </w:pPr>
    </w:p>
    <w:p w14:paraId="0889B4BE">
      <w:pPr>
        <w:spacing w:line="500" w:lineRule="exact"/>
        <w:rPr>
          <w:rFonts w:ascii="Times New Roman" w:hAnsi="Times New Roman"/>
          <w:szCs w:val="28"/>
        </w:rPr>
      </w:pPr>
    </w:p>
    <w:p w14:paraId="00C52E3D">
      <w:pPr>
        <w:spacing w:line="500" w:lineRule="exact"/>
        <w:rPr>
          <w:rFonts w:ascii="Times New Roman" w:hAnsi="Times New Roman"/>
          <w:szCs w:val="28"/>
        </w:rPr>
      </w:pPr>
    </w:p>
    <w:p w14:paraId="4F9D62F6">
      <w:pPr>
        <w:spacing w:line="500" w:lineRule="exact"/>
        <w:rPr>
          <w:rFonts w:ascii="Times New Roman" w:hAnsi="Times New Roman"/>
          <w:szCs w:val="28"/>
        </w:rPr>
      </w:pPr>
    </w:p>
    <w:p w14:paraId="6A127AA4">
      <w:pPr>
        <w:spacing w:line="500" w:lineRule="exact"/>
        <w:rPr>
          <w:rFonts w:ascii="Times New Roman" w:hAnsi="Times New Roman"/>
          <w:szCs w:val="28"/>
        </w:rPr>
      </w:pPr>
    </w:p>
    <w:p w14:paraId="2FBBB42E">
      <w:pPr>
        <w:spacing w:line="500" w:lineRule="exact"/>
        <w:rPr>
          <w:rFonts w:ascii="Times New Roman" w:hAnsi="Times New Roman"/>
          <w:szCs w:val="28"/>
        </w:rPr>
      </w:pPr>
    </w:p>
    <w:p w14:paraId="4755B794">
      <w:pPr>
        <w:spacing w:line="500" w:lineRule="exact"/>
        <w:jc w:val="center"/>
        <w:rPr>
          <w:rFonts w:ascii="Times New Roman" w:hAnsi="Times New Roman"/>
          <w:sz w:val="32"/>
          <w:szCs w:val="32"/>
        </w:r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w:t>
      </w:r>
      <w:r>
        <w:rPr>
          <w:rFonts w:ascii="Times New Roman" w:hAnsi="Times New Roman"/>
          <w:sz w:val="32"/>
          <w:szCs w:val="32"/>
        </w:rPr>
        <w:t xml:space="preserve"> </w:t>
      </w:r>
      <w:r>
        <w:rPr>
          <w:rFonts w:hint="eastAsia" w:ascii="Times New Roman" w:hAnsi="Times New Roman"/>
          <w:sz w:val="32"/>
          <w:szCs w:val="32"/>
        </w:rPr>
        <w:t>月</w:t>
      </w:r>
    </w:p>
    <w:p w14:paraId="25C8E31A">
      <w:pPr>
        <w:pStyle w:val="17"/>
        <w:ind w:left="560"/>
        <w:sectPr>
          <w:pgSz w:w="11906" w:h="16838"/>
          <w:pgMar w:top="1440" w:right="1417" w:bottom="1440" w:left="1417" w:header="964" w:footer="992" w:gutter="0"/>
          <w:cols w:space="720" w:num="1"/>
          <w:docGrid w:type="lines" w:linePitch="312" w:charSpace="0"/>
        </w:sectPr>
      </w:pPr>
    </w:p>
    <w:p w14:paraId="69C240BE">
      <w:pPr>
        <w:pStyle w:val="2"/>
      </w:pPr>
      <w:bookmarkStart w:id="122" w:name="_Toc1022"/>
      <w:bookmarkStart w:id="123" w:name="_Toc13039"/>
      <w:bookmarkStart w:id="124" w:name="_Toc4687"/>
      <w:r>
        <w:rPr>
          <w:rFonts w:hint="eastAsia"/>
        </w:rPr>
        <w:t>一、概述</w:t>
      </w:r>
      <w:bookmarkEnd w:id="122"/>
      <w:bookmarkEnd w:id="123"/>
      <w:bookmarkEnd w:id="124"/>
    </w:p>
    <w:p w14:paraId="5C0F5229">
      <w:pPr>
        <w:pStyle w:val="5"/>
        <w:numPr>
          <w:ilvl w:val="0"/>
          <w:numId w:val="2"/>
        </w:numPr>
        <w:ind w:firstLineChars="0"/>
      </w:pPr>
      <w:r>
        <w:rPr>
          <w:rFonts w:hint="eastAsia"/>
        </w:rPr>
        <w:t>本条适用于年产50万吨食品包装原纸技改工程变更项目（年产</w:t>
      </w:r>
      <w:r>
        <w:t>20万吨竹浆技改项目）</w:t>
      </w:r>
      <w:r>
        <w:rPr>
          <w:rFonts w:hint="eastAsia"/>
        </w:rPr>
        <w:t>EPC工程总承包及配套</w:t>
      </w:r>
      <w:r>
        <w:rPr>
          <w:rFonts w:hint="eastAsia"/>
          <w:lang w:val="zh-CN"/>
        </w:rPr>
        <w:t>附属设备的所有高低压变</w:t>
      </w:r>
      <w:r>
        <w:rPr>
          <w:rFonts w:hint="eastAsia"/>
        </w:rPr>
        <w:t>配电、电气控制、测量与保护，照明、检修及防雷接地系统、电缆及其附件、变配电的空调、</w:t>
      </w:r>
      <w:r>
        <w:rPr>
          <w:rFonts w:hint="eastAsia"/>
          <w:lang w:val="zh-CN"/>
        </w:rPr>
        <w:t>通风</w:t>
      </w:r>
      <w:r>
        <w:rPr>
          <w:rFonts w:hint="eastAsia"/>
        </w:rPr>
        <w:t>等设施系统的勘探、设计、采购供货、包装运输、检验、安装、调试、验收、运行和交付生产、保修等。为保证系统的规范性、完整性要求，工程范围内未详尽描述到的部分，也在投标人承包范围之内。</w:t>
      </w:r>
    </w:p>
    <w:p w14:paraId="77705E8B">
      <w:pPr>
        <w:pStyle w:val="5"/>
        <w:numPr>
          <w:ilvl w:val="0"/>
          <w:numId w:val="2"/>
        </w:numPr>
        <w:ind w:firstLineChars="0"/>
      </w:pPr>
      <w:r>
        <w:rPr>
          <w:rFonts w:hint="eastAsia"/>
        </w:rPr>
        <w:t>投标方关于年产50万吨食品包装原纸技改工程变更项目（年产</w:t>
      </w:r>
      <w:r>
        <w:t>20万吨竹浆技改项目）EPC工程总承包</w:t>
      </w:r>
      <w:r>
        <w:rPr>
          <w:rFonts w:hint="eastAsia"/>
        </w:rPr>
        <w:t>的电气设备与其他配套、联络项目的电气设备等要求统一协调，以技改项目电气设备配置为准，也在投标人承包范围之内。</w:t>
      </w:r>
    </w:p>
    <w:p w14:paraId="5D603E90">
      <w:pPr>
        <w:pStyle w:val="5"/>
        <w:numPr>
          <w:ilvl w:val="0"/>
          <w:numId w:val="2"/>
        </w:numPr>
        <w:ind w:firstLine="480"/>
      </w:pPr>
      <w:r>
        <w:rPr>
          <w:rFonts w:hint="eastAsia"/>
        </w:rPr>
        <w:t>该项目与35kV高厂变的分界点：3</w:t>
      </w:r>
      <w:r>
        <w:t>5</w:t>
      </w:r>
      <w:r>
        <w:rPr>
          <w:rFonts w:hint="eastAsia"/>
        </w:rPr>
        <w:t>kV高厂变所有设计由投标方负责，高厂变满足该项目最大输出负荷及今后发展的要求,分界点以高厂变6kV低压进线柜电缆头为6kV分界点，分界点内电气设施由项目投标方负责，分界点外电气设施（含高厂变、高低压电缆、桥架、继电保护柜等）由招标方负责采购并接入。35kV高厂变高压开关由招标方南区35kV变电站提供。35kV高厂变土建基础及变压器室，由项目投标方负责；35kV高厂变保护柜设置在招标方南区35kV变电站继保间，35kV高厂变继电保护自动化系统须接入公司热电厂南区电气综合自动化监控系统。</w:t>
      </w:r>
    </w:p>
    <w:p w14:paraId="47A92A0B">
      <w:pPr>
        <w:pStyle w:val="5"/>
        <w:numPr>
          <w:ilvl w:val="0"/>
          <w:numId w:val="2"/>
        </w:numPr>
        <w:ind w:firstLine="480"/>
      </w:pPr>
      <w:r>
        <w:rPr>
          <w:rFonts w:hint="eastAsia"/>
        </w:rPr>
        <w:t>备料工段变压器容量及低压室空间等的设计需考虑后期新增活堆项目所需。</w:t>
      </w:r>
    </w:p>
    <w:p w14:paraId="7273AFC6">
      <w:pPr>
        <w:pStyle w:val="5"/>
        <w:numPr>
          <w:ilvl w:val="0"/>
          <w:numId w:val="2"/>
        </w:numPr>
        <w:ind w:firstLine="480"/>
      </w:pPr>
      <w:r>
        <w:rPr>
          <w:rFonts w:hint="eastAsia"/>
        </w:rPr>
        <w:t>满足2018版《国家电网公司十八项电网重大反事故措施》（修订版）。</w:t>
      </w:r>
    </w:p>
    <w:p w14:paraId="243E2075">
      <w:pPr>
        <w:adjustRightInd w:val="0"/>
        <w:snapToGrid w:val="0"/>
        <w:spacing w:line="400" w:lineRule="exact"/>
        <w:jc w:val="left"/>
        <w:rPr>
          <w:rStyle w:val="28"/>
        </w:rPr>
      </w:pPr>
    </w:p>
    <w:p w14:paraId="7201DB17">
      <w:pPr>
        <w:pStyle w:val="2"/>
        <w:rPr>
          <w:lang w:val="zh-CN"/>
        </w:rPr>
      </w:pPr>
      <w:bookmarkStart w:id="125" w:name="_Toc26462"/>
      <w:bookmarkStart w:id="126" w:name="_Toc24968"/>
      <w:bookmarkStart w:id="127" w:name="_Toc6243"/>
      <w:r>
        <w:rPr>
          <w:rFonts w:hint="eastAsia"/>
        </w:rPr>
        <w:t>二、</w:t>
      </w:r>
      <w:r>
        <w:rPr>
          <w:rFonts w:hint="eastAsia"/>
          <w:lang w:val="zh-CN"/>
        </w:rPr>
        <w:t>厂用电接线</w:t>
      </w:r>
      <w:bookmarkEnd w:id="125"/>
      <w:bookmarkEnd w:id="126"/>
      <w:bookmarkEnd w:id="127"/>
    </w:p>
    <w:p w14:paraId="0EAE8D3F">
      <w:pPr>
        <w:pStyle w:val="3"/>
        <w:numPr>
          <w:ilvl w:val="0"/>
          <w:numId w:val="3"/>
        </w:numPr>
        <w:spacing w:before="156" w:after="156"/>
        <w:ind w:firstLine="281"/>
      </w:pPr>
      <w:bookmarkStart w:id="128" w:name="_Toc18744"/>
      <w:bookmarkStart w:id="129" w:name="_Toc30203"/>
      <w:bookmarkStart w:id="130" w:name="_Toc18832"/>
      <w:r>
        <w:rPr>
          <w:rFonts w:hint="eastAsia"/>
        </w:rPr>
        <w:t>主要设计原则</w:t>
      </w:r>
      <w:bookmarkEnd w:id="128"/>
      <w:bookmarkEnd w:id="129"/>
      <w:bookmarkEnd w:id="130"/>
    </w:p>
    <w:p w14:paraId="5A000722">
      <w:pPr>
        <w:pStyle w:val="5"/>
        <w:ind w:firstLine="480"/>
      </w:pPr>
      <w:r>
        <w:rPr>
          <w:rFonts w:hint="eastAsia"/>
        </w:rPr>
        <w:t>1</w:t>
      </w:r>
      <w:r>
        <w:t>.1</w:t>
      </w:r>
      <w:r>
        <w:rPr>
          <w:rFonts w:hint="eastAsia"/>
        </w:rPr>
        <w:t xml:space="preserve"> 本工程技改一台3</w:t>
      </w:r>
      <w:r>
        <w:t>5</w:t>
      </w:r>
      <w:r>
        <w:rPr>
          <w:rFonts w:hint="eastAsia"/>
        </w:rPr>
        <w:t>kV高厂用变压器（初定</w:t>
      </w:r>
      <w:r>
        <w:t>20</w:t>
      </w:r>
      <w:r>
        <w:rPr>
          <w:rFonts w:hint="eastAsia"/>
        </w:rPr>
        <w:t>MVA）降压技改6kV厂用电。</w:t>
      </w:r>
    </w:p>
    <w:p w14:paraId="40851A01">
      <w:pPr>
        <w:pStyle w:val="23"/>
        <w:ind w:firstLine="720"/>
        <w:rPr>
          <w:rFonts w:hint="default"/>
        </w:rPr>
      </w:pPr>
      <w:r>
        <w:t>厂用电电压为6kV，配有6kV开关柜X面（具体以满足本工程的用电需求，且每段6kV母线需配置不少于二面备用柜，并预留造纸开关回路（不小于1600A），6kV配电室尺寸须考虑今后发展要求。接线方式为单母线分段。</w:t>
      </w:r>
    </w:p>
    <w:p w14:paraId="1EAE5EC3">
      <w:pPr>
        <w:pStyle w:val="5"/>
        <w:ind w:firstLine="480"/>
      </w:pPr>
      <w:r>
        <w:rPr>
          <w:rFonts w:hint="eastAsia"/>
        </w:rPr>
        <w:t>1.2 低压配电电压为0.</w:t>
      </w:r>
      <w:r>
        <w:t>69</w:t>
      </w:r>
      <w:r>
        <w:rPr>
          <w:rFonts w:hint="eastAsia"/>
        </w:rPr>
        <w:t>kV和0.</w:t>
      </w:r>
      <w:r>
        <w:t>38</w:t>
      </w:r>
      <w:r>
        <w:rPr>
          <w:rFonts w:hint="eastAsia"/>
        </w:rPr>
        <w:t>kV两级电压。容量小于2</w:t>
      </w:r>
      <w:r>
        <w:t>5</w:t>
      </w:r>
      <w:r>
        <w:rPr>
          <w:rFonts w:hint="eastAsia"/>
        </w:rPr>
        <w:t>0kW的一般电动机、照明和检修等低电压负荷由0.</w:t>
      </w:r>
      <w:r>
        <w:t>38</w:t>
      </w:r>
      <w:r>
        <w:rPr>
          <w:rFonts w:hint="eastAsia"/>
        </w:rPr>
        <w:t>kV供电，容量为2</w:t>
      </w:r>
      <w:r>
        <w:t>5</w:t>
      </w:r>
      <w:r>
        <w:rPr>
          <w:rFonts w:hint="eastAsia"/>
        </w:rPr>
        <w:t>0</w:t>
      </w:r>
      <w:r>
        <w:rPr>
          <w:rFonts w:ascii="Times New Roman" w:hAnsi="Times New Roman"/>
        </w:rPr>
        <w:t>~</w:t>
      </w:r>
      <w:r>
        <w:t>1000</w:t>
      </w:r>
      <w:r>
        <w:rPr>
          <w:rFonts w:hint="eastAsia"/>
        </w:rPr>
        <w:t>kW的变频电机由0.</w:t>
      </w:r>
      <w:r>
        <w:t>69</w:t>
      </w:r>
      <w:r>
        <w:rPr>
          <w:rFonts w:hint="eastAsia"/>
        </w:rPr>
        <w:t>kV供电，大于等于2</w:t>
      </w:r>
      <w:r>
        <w:t>50</w:t>
      </w:r>
      <w:r>
        <w:rPr>
          <w:rFonts w:hint="eastAsia"/>
        </w:rPr>
        <w:t>kW的直接启动的电机采用6kV供电，</w:t>
      </w:r>
      <w:r>
        <w:t>250</w:t>
      </w:r>
      <w:r>
        <w:rPr>
          <w:rFonts w:hint="eastAsia"/>
        </w:rPr>
        <w:t>kW及其以上电动机有在线测温及振动监测功能。</w:t>
      </w:r>
    </w:p>
    <w:p w14:paraId="3D2EDC71">
      <w:pPr>
        <w:pStyle w:val="23"/>
        <w:ind w:firstLine="720"/>
        <w:rPr>
          <w:rFonts w:hint="default"/>
        </w:rPr>
      </w:pPr>
      <w:r>
        <w:t>每段低压母线应配置一定数量的备用馈线支路，32</w:t>
      </w:r>
      <w:r>
        <w:rPr>
          <w:rFonts w:hint="default" w:ascii="Times New Roman" w:hAnsi="Times New Roman" w:cs="Times New Roman"/>
        </w:rPr>
        <w:t>~</w:t>
      </w:r>
      <w:r>
        <w:t>160A备用馈线支路4路，200A备用馈线支路4路，630A备用馈线支路1路,0.69kV和0.4kV辅机控制回路同规格数量最少按20%原则配置。</w:t>
      </w:r>
    </w:p>
    <w:p w14:paraId="77C9D86C">
      <w:pPr>
        <w:pStyle w:val="5"/>
        <w:ind w:firstLine="480"/>
      </w:pPr>
      <w:r>
        <w:rPr>
          <w:rFonts w:hint="eastAsia"/>
        </w:rPr>
        <w:t>1.3 控制、信号与测量</w:t>
      </w:r>
    </w:p>
    <w:p w14:paraId="3B948347">
      <w:pPr>
        <w:pStyle w:val="23"/>
        <w:ind w:firstLine="720"/>
        <w:rPr>
          <w:rFonts w:hint="default"/>
        </w:rPr>
      </w:pPr>
      <w:r>
        <w:t>所有电动机由DCS进行监控，工艺设备的联锁由DCS实现，电气设备控制采用硬接线。DCS与MCC柜之间的接线采用硬接线方式，模拟量为4</w:t>
      </w:r>
      <w:r>
        <w:rPr>
          <w:rFonts w:hint="default" w:ascii="Times New Roman" w:hAnsi="Times New Roman" w:cs="Times New Roman"/>
        </w:rPr>
        <w:t>~</w:t>
      </w:r>
      <w:r>
        <w:t>20mA的电流信号。22kW及以上电机、螺旋类电机及有工艺要求的电流信号进入DCS进行监控。</w:t>
      </w:r>
    </w:p>
    <w:p w14:paraId="1F41F51E">
      <w:pPr>
        <w:pStyle w:val="23"/>
        <w:ind w:firstLine="720"/>
        <w:rPr>
          <w:rFonts w:hint="default"/>
        </w:rPr>
      </w:pPr>
      <w:r>
        <w:t>1.3.1 设计DCS自动、就地控制箱及低压柜面板设置手动操作，低压柜可启停。保护具备过流、过载、显示、故障警等保护功能。</w:t>
      </w:r>
    </w:p>
    <w:p w14:paraId="4B7B2B0C">
      <w:pPr>
        <w:pStyle w:val="23"/>
        <w:ind w:firstLine="720"/>
        <w:rPr>
          <w:rFonts w:hint="default"/>
        </w:rPr>
      </w:pPr>
      <w:r>
        <w:t>1.3.2 就地控制箱及低压柜面板设置“远程”、“0位（检修）”、“就地（可就地启动）”选择开关。</w:t>
      </w:r>
    </w:p>
    <w:p w14:paraId="4A4F3755">
      <w:pPr>
        <w:pStyle w:val="23"/>
        <w:ind w:firstLine="720"/>
        <w:rPr>
          <w:rFonts w:hint="default"/>
        </w:rPr>
      </w:pPr>
      <w:r>
        <w:t>1.3.3</w:t>
      </w:r>
      <w:r>
        <w:rPr>
          <w:lang w:val="en-US"/>
        </w:rPr>
        <w:t xml:space="preserve"> </w:t>
      </w:r>
      <w:r>
        <w:t>电气信号及测量</w:t>
      </w:r>
    </w:p>
    <w:p w14:paraId="0D13170F">
      <w:pPr>
        <w:pStyle w:val="32"/>
        <w:ind w:firstLine="960"/>
        <w:rPr>
          <w:rFonts w:hint="default"/>
        </w:rPr>
      </w:pPr>
      <w:r>
        <w:t>电气量送入远程I/O实现数据自动采集、实时调阅、</w:t>
      </w:r>
      <w:r>
        <w:rPr>
          <w:lang w:val="en-US"/>
        </w:rPr>
        <w:t>事</w:t>
      </w:r>
      <w:r>
        <w:t>故自动记录及故障追忆等功能。</w:t>
      </w:r>
    </w:p>
    <w:p w14:paraId="289A20E8">
      <w:pPr>
        <w:pStyle w:val="32"/>
        <w:ind w:firstLine="960"/>
        <w:rPr>
          <w:rFonts w:hint="default"/>
        </w:rPr>
      </w:pPr>
      <w:r>
        <w:t>电动机回路，设置接触器作为操作电器，22kW及以上电动机回路配置马达保护器，马达保护器采用分体式，数据送至电气智能化管理系统。</w:t>
      </w:r>
    </w:p>
    <w:p w14:paraId="63BAF8AA">
      <w:pPr>
        <w:pStyle w:val="32"/>
        <w:ind w:firstLine="960"/>
        <w:rPr>
          <w:rFonts w:hint="default"/>
        </w:rPr>
      </w:pPr>
      <w:r>
        <w:t>110kW</w:t>
      </w:r>
      <w:r>
        <w:rPr>
          <w:rFonts w:hint="default" w:ascii="Times New Roman" w:hAnsi="Times New Roman" w:cs="Times New Roman"/>
        </w:rPr>
        <w:t>~</w:t>
      </w:r>
      <w:r>
        <w:t>220kW的一般电动机采用低压软启动器。配置选型比实际负载大一档。</w:t>
      </w:r>
    </w:p>
    <w:p w14:paraId="0F62655C">
      <w:pPr>
        <w:pStyle w:val="23"/>
        <w:ind w:firstLine="720"/>
        <w:rPr>
          <w:rFonts w:hint="default"/>
          <w:lang w:val="en-US"/>
        </w:rPr>
      </w:pPr>
      <w:r>
        <w:rPr>
          <w:lang w:val="en-US"/>
        </w:rPr>
        <w:t>1.3.4所有皮带运输机、螺旋类的电气安全技术要求</w:t>
      </w:r>
    </w:p>
    <w:p w14:paraId="084D4A61">
      <w:pPr>
        <w:pStyle w:val="32"/>
        <w:ind w:firstLine="960"/>
        <w:rPr>
          <w:rFonts w:hint="default"/>
          <w:lang w:val="en-US"/>
        </w:rPr>
      </w:pPr>
      <w:r>
        <w:rPr>
          <w:lang w:val="en-US"/>
        </w:rPr>
        <w:t>零速开关必须安装在被动辊侧。</w:t>
      </w:r>
    </w:p>
    <w:p w14:paraId="6884C187">
      <w:pPr>
        <w:pStyle w:val="32"/>
        <w:ind w:firstLine="960"/>
        <w:rPr>
          <w:rFonts w:hint="default"/>
          <w:lang w:val="en-US"/>
        </w:rPr>
      </w:pPr>
      <w:r>
        <w:rPr>
          <w:lang w:val="en-US"/>
        </w:rPr>
        <w:t>拉绳开关每60米分布一套；安装在每30米连接处。</w:t>
      </w:r>
    </w:p>
    <w:p w14:paraId="7AB489B6">
      <w:pPr>
        <w:pStyle w:val="23"/>
        <w:ind w:firstLine="960" w:firstLineChars="400"/>
        <w:rPr>
          <w:rFonts w:hint="default"/>
          <w:lang w:val="en-US"/>
        </w:rPr>
      </w:pPr>
      <w:r>
        <w:rPr>
          <w:lang w:val="en-US"/>
        </w:rPr>
        <w:t>所有皮带运输机及螺旋类设备须在就地控制箱设置急停开关。</w:t>
      </w:r>
    </w:p>
    <w:p w14:paraId="77CD94FD">
      <w:pPr>
        <w:pStyle w:val="23"/>
        <w:ind w:firstLine="720"/>
        <w:rPr>
          <w:rFonts w:hint="default"/>
        </w:rPr>
      </w:pPr>
      <w:r>
        <w:rPr>
          <w:lang w:val="en-US"/>
        </w:rPr>
        <w:t xml:space="preserve">1.3.5 </w:t>
      </w:r>
      <w:r>
        <w:t>重要的低压变频器（堆场出料螺旋及缓冲仓出料螺旋）另设直启回路。</w:t>
      </w:r>
    </w:p>
    <w:p w14:paraId="732EEFC3">
      <w:pPr>
        <w:pStyle w:val="23"/>
        <w:ind w:firstLine="720"/>
        <w:rPr>
          <w:rFonts w:hint="default"/>
          <w:lang w:val="en-US"/>
        </w:rPr>
      </w:pPr>
    </w:p>
    <w:p w14:paraId="1AAF87BF">
      <w:pPr>
        <w:pStyle w:val="3"/>
        <w:numPr>
          <w:ilvl w:val="0"/>
          <w:numId w:val="3"/>
        </w:numPr>
        <w:spacing w:before="156" w:after="156"/>
        <w:ind w:firstLine="281"/>
      </w:pPr>
      <w:bookmarkStart w:id="131" w:name="_Toc32681"/>
      <w:bookmarkStart w:id="132" w:name="_Toc2608"/>
      <w:bookmarkStart w:id="133" w:name="_Toc24110"/>
      <w:r>
        <w:rPr>
          <w:rFonts w:hint="eastAsia"/>
        </w:rPr>
        <w:t>电源质量</w:t>
      </w:r>
      <w:bookmarkEnd w:id="131"/>
      <w:bookmarkEnd w:id="132"/>
      <w:bookmarkEnd w:id="133"/>
    </w:p>
    <w:p w14:paraId="5C3BB77E">
      <w:pPr>
        <w:pStyle w:val="5"/>
        <w:ind w:firstLine="480"/>
      </w:pPr>
      <w:r>
        <w:t>2.1</w:t>
      </w:r>
      <w:r>
        <w:rPr>
          <w:rFonts w:hint="eastAsia"/>
        </w:rPr>
        <w:t xml:space="preserve"> 电压波动和闪变：造成电力系统供电电压变动和闪变的允许值应满足国家标准《电能质量电压波动和闪变》（GB/T 12326-2008）的要求。</w:t>
      </w:r>
    </w:p>
    <w:p w14:paraId="5ACD1A5C">
      <w:pPr>
        <w:pStyle w:val="5"/>
        <w:ind w:firstLine="480"/>
      </w:pPr>
      <w:r>
        <w:t xml:space="preserve">2.2 </w:t>
      </w:r>
      <w:r>
        <w:rPr>
          <w:rFonts w:hint="eastAsia"/>
        </w:rPr>
        <w:t>0</w:t>
      </w:r>
      <w:r>
        <w:t>.4</w:t>
      </w:r>
      <w:r>
        <w:rPr>
          <w:rFonts w:hint="eastAsia"/>
        </w:rPr>
        <w:t>kV侧采用SVG补偿装置，0</w:t>
      </w:r>
      <w:r>
        <w:t>.4</w:t>
      </w:r>
      <w:r>
        <w:rPr>
          <w:rFonts w:hint="eastAsia"/>
        </w:rPr>
        <w:t>kV</w:t>
      </w:r>
      <w:r>
        <w:rPr>
          <w:rFonts w:hint="eastAsia"/>
          <w:lang w:val="en-US" w:eastAsia="zh-CN"/>
        </w:rPr>
        <w:t>及0.69kV侧采用APF有源滤波装置，</w:t>
      </w:r>
      <w:r>
        <w:rPr>
          <w:rFonts w:hint="eastAsia"/>
        </w:rPr>
        <w:t>补偿后功率因数应不小于0.9</w:t>
      </w:r>
      <w:r>
        <w:t>5</w:t>
      </w:r>
      <w:r>
        <w:rPr>
          <w:rFonts w:hint="eastAsia"/>
        </w:rPr>
        <w:t>。</w:t>
      </w:r>
    </w:p>
    <w:p w14:paraId="3A59406E">
      <w:pPr>
        <w:pStyle w:val="5"/>
        <w:ind w:firstLine="480"/>
      </w:pPr>
      <w:r>
        <w:t>2.3</w:t>
      </w:r>
      <w:r>
        <w:rPr>
          <w:rFonts w:hint="eastAsia"/>
        </w:rPr>
        <w:t xml:space="preserve"> 谐波造成电网电压波形畸变率限值和用户注入电网的谐波电压、谐波电流允许值应满足国家标准的要求。</w:t>
      </w:r>
    </w:p>
    <w:p w14:paraId="7763F37D">
      <w:pPr>
        <w:pStyle w:val="5"/>
        <w:ind w:firstLine="480"/>
      </w:pPr>
      <w:r>
        <w:t>2.4</w:t>
      </w:r>
      <w:r>
        <w:rPr>
          <w:rFonts w:hint="eastAsia"/>
        </w:rPr>
        <w:t xml:space="preserve"> 电源系统电压偏差和频率偏差水平。</w:t>
      </w:r>
    </w:p>
    <w:p w14:paraId="0F51318D">
      <w:pPr>
        <w:adjustRightInd w:val="0"/>
        <w:snapToGrid w:val="0"/>
        <w:spacing w:line="400" w:lineRule="exact"/>
        <w:ind w:firstLine="480" w:firstLineChars="200"/>
        <w:jc w:val="center"/>
        <w:textAlignment w:val="baseline"/>
        <w:rPr>
          <w:rFonts w:ascii="宋体" w:hAnsi="宋体" w:cs="宋体"/>
          <w:sz w:val="24"/>
        </w:rPr>
      </w:pPr>
      <w:r>
        <w:rPr>
          <w:rFonts w:hint="eastAsia" w:ascii="宋体" w:hAnsi="宋体" w:cs="宋体"/>
          <w:sz w:val="24"/>
        </w:rPr>
        <w:t>表1-1   电源系统电压偏差和频率偏差水平</w:t>
      </w:r>
    </w:p>
    <w:tbl>
      <w:tblPr>
        <w:tblStyle w:val="18"/>
        <w:tblW w:w="7421" w:type="dxa"/>
        <w:jc w:val="center"/>
        <w:tblLayout w:type="fixed"/>
        <w:tblCellMar>
          <w:top w:w="0" w:type="dxa"/>
          <w:left w:w="0" w:type="dxa"/>
          <w:bottom w:w="0" w:type="dxa"/>
          <w:right w:w="0" w:type="dxa"/>
        </w:tblCellMar>
      </w:tblPr>
      <w:tblGrid>
        <w:gridCol w:w="2115"/>
        <w:gridCol w:w="2735"/>
        <w:gridCol w:w="2571"/>
      </w:tblGrid>
      <w:tr w14:paraId="2BC52C8E">
        <w:tblPrEx>
          <w:tblCellMar>
            <w:top w:w="0" w:type="dxa"/>
            <w:left w:w="0" w:type="dxa"/>
            <w:bottom w:w="0" w:type="dxa"/>
            <w:right w:w="0" w:type="dxa"/>
          </w:tblCellMar>
        </w:tblPrEx>
        <w:trPr>
          <w:trHeight w:val="300" w:hRule="atLeast"/>
          <w:jc w:val="center"/>
        </w:trPr>
        <w:tc>
          <w:tcPr>
            <w:tcW w:w="2115" w:type="dxa"/>
            <w:vMerge w:val="restart"/>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748BB730">
            <w:pPr>
              <w:widowControl/>
              <w:spacing w:line="400" w:lineRule="exact"/>
              <w:jc w:val="center"/>
              <w:textAlignment w:val="center"/>
              <w:rPr>
                <w:rFonts w:ascii="宋体" w:hAnsi="宋体" w:cs="宋体"/>
                <w:sz w:val="24"/>
              </w:rPr>
            </w:pPr>
            <w:r>
              <w:rPr>
                <w:rFonts w:hint="eastAsia" w:ascii="宋体" w:hAnsi="宋体" w:cs="宋体"/>
                <w:sz w:val="24"/>
              </w:rPr>
              <w:t>电压偏差</w:t>
            </w:r>
          </w:p>
        </w:tc>
        <w:tc>
          <w:tcPr>
            <w:tcW w:w="273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14:paraId="6E91C0A2">
            <w:pPr>
              <w:widowControl/>
              <w:spacing w:line="400" w:lineRule="exact"/>
              <w:jc w:val="center"/>
              <w:textAlignment w:val="center"/>
              <w:rPr>
                <w:rFonts w:ascii="宋体" w:hAnsi="宋体" w:cs="宋体"/>
                <w:sz w:val="24"/>
              </w:rPr>
            </w:pPr>
            <w:r>
              <w:rPr>
                <w:rFonts w:hint="eastAsia" w:ascii="宋体" w:hAnsi="宋体" w:cs="宋体"/>
                <w:sz w:val="24"/>
              </w:rPr>
              <w:t>220V 单相</w:t>
            </w:r>
          </w:p>
        </w:tc>
        <w:tc>
          <w:tcPr>
            <w:tcW w:w="2571"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14:paraId="4FE79D0D">
            <w:pPr>
              <w:widowControl/>
              <w:spacing w:line="400" w:lineRule="exact"/>
              <w:jc w:val="center"/>
              <w:textAlignment w:val="center"/>
              <w:rPr>
                <w:rFonts w:ascii="宋体" w:hAnsi="宋体" w:cs="宋体"/>
                <w:sz w:val="24"/>
              </w:rPr>
            </w:pPr>
            <w:r>
              <w:rPr>
                <w:rFonts w:hint="eastAsia" w:ascii="宋体" w:hAnsi="宋体" w:cs="宋体"/>
                <w:sz w:val="24"/>
              </w:rPr>
              <w:t>-10%～+7%</w:t>
            </w:r>
          </w:p>
        </w:tc>
      </w:tr>
      <w:tr w14:paraId="7F387799">
        <w:tblPrEx>
          <w:tblCellMar>
            <w:top w:w="0" w:type="dxa"/>
            <w:left w:w="0" w:type="dxa"/>
            <w:bottom w:w="0" w:type="dxa"/>
            <w:right w:w="0" w:type="dxa"/>
          </w:tblCellMar>
        </w:tblPrEx>
        <w:trPr>
          <w:trHeight w:val="300" w:hRule="atLeast"/>
          <w:jc w:val="center"/>
        </w:trPr>
        <w:tc>
          <w:tcPr>
            <w:tcW w:w="2115"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7DF3E60C">
            <w:pPr>
              <w:spacing w:line="400" w:lineRule="exact"/>
              <w:ind w:firstLine="480" w:firstLineChars="200"/>
              <w:rPr>
                <w:rFonts w:ascii="宋体" w:hAnsi="宋体" w:cs="宋体"/>
                <w:sz w:val="24"/>
              </w:rPr>
            </w:pPr>
          </w:p>
        </w:tc>
        <w:tc>
          <w:tcPr>
            <w:tcW w:w="2735" w:type="dxa"/>
            <w:tcBorders>
              <w:top w:val="nil"/>
              <w:left w:val="nil"/>
              <w:bottom w:val="single" w:color="000000" w:sz="8" w:space="0"/>
              <w:right w:val="single" w:color="000000" w:sz="8" w:space="0"/>
            </w:tcBorders>
            <w:tcMar>
              <w:top w:w="15" w:type="dxa"/>
              <w:left w:w="15" w:type="dxa"/>
              <w:right w:w="15" w:type="dxa"/>
            </w:tcMar>
            <w:vAlign w:val="center"/>
          </w:tcPr>
          <w:p w14:paraId="39943467">
            <w:pPr>
              <w:widowControl/>
              <w:spacing w:line="400" w:lineRule="exact"/>
              <w:jc w:val="center"/>
              <w:textAlignment w:val="center"/>
              <w:rPr>
                <w:rFonts w:ascii="宋体" w:hAnsi="宋体" w:cs="宋体"/>
                <w:sz w:val="24"/>
              </w:rPr>
            </w:pPr>
            <w:r>
              <w:rPr>
                <w:rFonts w:hint="eastAsia" w:ascii="宋体" w:hAnsi="宋体" w:cs="宋体"/>
                <w:sz w:val="24"/>
              </w:rPr>
              <w:t>0.38～</w:t>
            </w:r>
            <w:r>
              <w:rPr>
                <w:rFonts w:ascii="宋体" w:hAnsi="宋体" w:cs="宋体"/>
                <w:sz w:val="24"/>
              </w:rPr>
              <w:t>6.3</w:t>
            </w:r>
            <w:r>
              <w:rPr>
                <w:rFonts w:hint="eastAsia" w:ascii="宋体" w:hAnsi="宋体" w:cs="宋体"/>
                <w:sz w:val="24"/>
              </w:rPr>
              <w:t>kV</w:t>
            </w:r>
          </w:p>
        </w:tc>
        <w:tc>
          <w:tcPr>
            <w:tcW w:w="2571" w:type="dxa"/>
            <w:tcBorders>
              <w:top w:val="nil"/>
              <w:left w:val="nil"/>
              <w:bottom w:val="single" w:color="000000" w:sz="8" w:space="0"/>
              <w:right w:val="single" w:color="000000" w:sz="8" w:space="0"/>
            </w:tcBorders>
            <w:tcMar>
              <w:top w:w="15" w:type="dxa"/>
              <w:left w:w="15" w:type="dxa"/>
              <w:right w:w="15" w:type="dxa"/>
            </w:tcMar>
            <w:vAlign w:val="center"/>
          </w:tcPr>
          <w:p w14:paraId="50C443F4">
            <w:pPr>
              <w:widowControl/>
              <w:spacing w:line="400" w:lineRule="exact"/>
              <w:jc w:val="center"/>
              <w:textAlignment w:val="center"/>
              <w:rPr>
                <w:rFonts w:ascii="宋体" w:hAnsi="宋体" w:cs="宋体"/>
                <w:sz w:val="24"/>
              </w:rPr>
            </w:pPr>
            <w:r>
              <w:rPr>
                <w:rFonts w:hint="eastAsia" w:ascii="宋体" w:hAnsi="宋体" w:cs="宋体"/>
                <w:sz w:val="24"/>
              </w:rPr>
              <w:t>±7%</w:t>
            </w:r>
          </w:p>
        </w:tc>
      </w:tr>
      <w:tr w14:paraId="4143848B">
        <w:tblPrEx>
          <w:tblCellMar>
            <w:top w:w="0" w:type="dxa"/>
            <w:left w:w="0" w:type="dxa"/>
            <w:bottom w:w="0" w:type="dxa"/>
            <w:right w:w="0" w:type="dxa"/>
          </w:tblCellMar>
        </w:tblPrEx>
        <w:trPr>
          <w:trHeight w:val="300" w:hRule="atLeast"/>
          <w:jc w:val="center"/>
        </w:trPr>
        <w:tc>
          <w:tcPr>
            <w:tcW w:w="2115" w:type="dxa"/>
            <w:vMerge w:val="continue"/>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2E07F8EB">
            <w:pPr>
              <w:spacing w:line="400" w:lineRule="exact"/>
              <w:ind w:firstLine="480" w:firstLineChars="200"/>
              <w:rPr>
                <w:rFonts w:ascii="宋体" w:hAnsi="宋体" w:cs="宋体"/>
                <w:sz w:val="24"/>
              </w:rPr>
            </w:pPr>
          </w:p>
        </w:tc>
        <w:tc>
          <w:tcPr>
            <w:tcW w:w="2735" w:type="dxa"/>
            <w:tcBorders>
              <w:top w:val="nil"/>
              <w:left w:val="nil"/>
              <w:bottom w:val="single" w:color="000000" w:sz="8" w:space="0"/>
              <w:right w:val="single" w:color="000000" w:sz="8" w:space="0"/>
            </w:tcBorders>
            <w:tcMar>
              <w:top w:w="15" w:type="dxa"/>
              <w:left w:w="15" w:type="dxa"/>
              <w:right w:w="15" w:type="dxa"/>
            </w:tcMar>
            <w:vAlign w:val="center"/>
          </w:tcPr>
          <w:p w14:paraId="4923A739">
            <w:pPr>
              <w:widowControl/>
              <w:spacing w:line="400" w:lineRule="exact"/>
              <w:jc w:val="center"/>
              <w:textAlignment w:val="center"/>
              <w:rPr>
                <w:rFonts w:ascii="宋体" w:hAnsi="宋体" w:cs="宋体"/>
                <w:sz w:val="24"/>
              </w:rPr>
            </w:pPr>
            <w:r>
              <w:rPr>
                <w:rFonts w:hint="eastAsia" w:ascii="宋体" w:hAnsi="宋体" w:cs="宋体"/>
                <w:sz w:val="24"/>
              </w:rPr>
              <w:t>35kV</w:t>
            </w:r>
          </w:p>
        </w:tc>
        <w:tc>
          <w:tcPr>
            <w:tcW w:w="2571" w:type="dxa"/>
            <w:tcBorders>
              <w:top w:val="nil"/>
              <w:left w:val="nil"/>
              <w:bottom w:val="single" w:color="000000" w:sz="8" w:space="0"/>
              <w:right w:val="single" w:color="000000" w:sz="8" w:space="0"/>
            </w:tcBorders>
            <w:tcMar>
              <w:top w:w="15" w:type="dxa"/>
              <w:left w:w="15" w:type="dxa"/>
              <w:right w:w="15" w:type="dxa"/>
            </w:tcMar>
            <w:vAlign w:val="center"/>
          </w:tcPr>
          <w:p w14:paraId="2396306F">
            <w:pPr>
              <w:widowControl/>
              <w:spacing w:line="400" w:lineRule="exact"/>
              <w:jc w:val="center"/>
              <w:textAlignment w:val="center"/>
              <w:rPr>
                <w:rFonts w:ascii="宋体" w:hAnsi="宋体" w:cs="宋体"/>
                <w:sz w:val="24"/>
              </w:rPr>
            </w:pPr>
            <w:r>
              <w:rPr>
                <w:rFonts w:hint="eastAsia" w:ascii="宋体" w:hAnsi="宋体" w:cs="宋体"/>
                <w:sz w:val="24"/>
              </w:rPr>
              <w:t>±5%</w:t>
            </w:r>
          </w:p>
        </w:tc>
      </w:tr>
      <w:tr w14:paraId="59213A0B">
        <w:tblPrEx>
          <w:tblCellMar>
            <w:top w:w="0" w:type="dxa"/>
            <w:left w:w="0" w:type="dxa"/>
            <w:bottom w:w="0" w:type="dxa"/>
            <w:right w:w="0" w:type="dxa"/>
          </w:tblCellMar>
        </w:tblPrEx>
        <w:trPr>
          <w:trHeight w:val="300" w:hRule="atLeast"/>
          <w:jc w:val="center"/>
        </w:trPr>
        <w:tc>
          <w:tcPr>
            <w:tcW w:w="2115" w:type="dxa"/>
            <w:tcBorders>
              <w:top w:val="nil"/>
              <w:left w:val="single" w:color="000000" w:sz="8" w:space="0"/>
              <w:bottom w:val="single" w:color="000000" w:sz="8" w:space="0"/>
              <w:right w:val="single" w:color="000000" w:sz="8" w:space="0"/>
            </w:tcBorders>
            <w:tcMar>
              <w:top w:w="15" w:type="dxa"/>
              <w:left w:w="15" w:type="dxa"/>
              <w:right w:w="15" w:type="dxa"/>
            </w:tcMar>
            <w:vAlign w:val="center"/>
          </w:tcPr>
          <w:p w14:paraId="40D19944">
            <w:pPr>
              <w:widowControl/>
              <w:spacing w:line="400" w:lineRule="exact"/>
              <w:jc w:val="center"/>
              <w:textAlignment w:val="center"/>
              <w:rPr>
                <w:rFonts w:ascii="宋体" w:hAnsi="宋体" w:cs="宋体"/>
                <w:sz w:val="24"/>
              </w:rPr>
            </w:pPr>
            <w:r>
              <w:rPr>
                <w:rFonts w:hint="eastAsia" w:ascii="宋体" w:hAnsi="宋体" w:cs="宋体"/>
                <w:sz w:val="24"/>
              </w:rPr>
              <w:t>频率偏差</w:t>
            </w:r>
          </w:p>
        </w:tc>
        <w:tc>
          <w:tcPr>
            <w:tcW w:w="5306" w:type="dxa"/>
            <w:gridSpan w:val="2"/>
            <w:tcBorders>
              <w:top w:val="nil"/>
              <w:left w:val="nil"/>
              <w:bottom w:val="single" w:color="000000" w:sz="8" w:space="0"/>
              <w:right w:val="single" w:color="000000" w:sz="8" w:space="0"/>
            </w:tcBorders>
            <w:tcMar>
              <w:top w:w="15" w:type="dxa"/>
              <w:left w:w="15" w:type="dxa"/>
              <w:right w:w="15" w:type="dxa"/>
            </w:tcMar>
            <w:vAlign w:val="center"/>
          </w:tcPr>
          <w:p w14:paraId="26561C64">
            <w:pPr>
              <w:widowControl/>
              <w:spacing w:line="400" w:lineRule="exact"/>
              <w:jc w:val="center"/>
              <w:textAlignment w:val="center"/>
              <w:rPr>
                <w:rFonts w:ascii="宋体" w:hAnsi="宋体" w:cs="宋体"/>
                <w:sz w:val="24"/>
              </w:rPr>
            </w:pPr>
            <w:r>
              <w:rPr>
                <w:rFonts w:hint="eastAsia" w:ascii="宋体" w:hAnsi="宋体" w:cs="宋体"/>
                <w:sz w:val="24"/>
              </w:rPr>
              <w:t>±0.5Hz</w:t>
            </w:r>
          </w:p>
        </w:tc>
      </w:tr>
    </w:tbl>
    <w:p w14:paraId="09D6CA99">
      <w:pPr>
        <w:adjustRightInd w:val="0"/>
        <w:snapToGrid w:val="0"/>
        <w:spacing w:line="400" w:lineRule="exact"/>
        <w:ind w:firstLine="960" w:firstLineChars="400"/>
        <w:jc w:val="left"/>
        <w:rPr>
          <w:rFonts w:ascii="宋体" w:hAnsi="宋体" w:cs="宋体"/>
          <w:sz w:val="24"/>
        </w:rPr>
      </w:pPr>
      <w:r>
        <w:rPr>
          <w:rFonts w:hint="eastAsia" w:ascii="宋体" w:hAnsi="宋体" w:cs="宋体"/>
          <w:sz w:val="24"/>
        </w:rPr>
        <w:t>配电电压等级</w:t>
      </w:r>
    </w:p>
    <w:p w14:paraId="5EDC0621">
      <w:pPr>
        <w:adjustRightInd w:val="0"/>
        <w:snapToGrid w:val="0"/>
        <w:spacing w:line="400" w:lineRule="exact"/>
        <w:ind w:firstLine="960" w:firstLineChars="400"/>
        <w:jc w:val="left"/>
        <w:textAlignment w:val="baseline"/>
        <w:rPr>
          <w:rFonts w:ascii="宋体" w:hAnsi="宋体" w:cs="宋体"/>
          <w:sz w:val="24"/>
        </w:rPr>
      </w:pPr>
      <w:r>
        <w:rPr>
          <w:rFonts w:hint="eastAsia" w:ascii="宋体" w:hAnsi="宋体" w:cs="宋体"/>
          <w:sz w:val="24"/>
        </w:rPr>
        <w:t xml:space="preserve">用户受电电压： </w:t>
      </w:r>
      <w:r>
        <w:rPr>
          <w:rFonts w:ascii="宋体" w:hAnsi="宋体" w:cs="宋体"/>
          <w:sz w:val="24"/>
        </w:rPr>
        <w:t xml:space="preserve">         </w:t>
      </w:r>
      <w:r>
        <w:rPr>
          <w:rFonts w:hint="eastAsia" w:ascii="宋体" w:hAnsi="宋体" w:cs="宋体"/>
          <w:sz w:val="24"/>
        </w:rPr>
        <w:t>AC35kV、AC</w:t>
      </w:r>
      <w:r>
        <w:rPr>
          <w:rFonts w:ascii="宋体" w:hAnsi="宋体" w:cs="宋体"/>
          <w:sz w:val="24"/>
        </w:rPr>
        <w:t>6.3</w:t>
      </w:r>
      <w:r>
        <w:rPr>
          <w:rFonts w:hint="eastAsia" w:ascii="宋体" w:hAnsi="宋体" w:cs="宋体"/>
          <w:sz w:val="24"/>
        </w:rPr>
        <w:t>kV</w:t>
      </w:r>
    </w:p>
    <w:p w14:paraId="69A98A2E">
      <w:pPr>
        <w:adjustRightInd w:val="0"/>
        <w:snapToGrid w:val="0"/>
        <w:spacing w:line="400" w:lineRule="exact"/>
        <w:ind w:firstLine="960" w:firstLineChars="400"/>
        <w:jc w:val="left"/>
        <w:textAlignment w:val="baseline"/>
        <w:rPr>
          <w:rFonts w:ascii="宋体" w:hAnsi="宋体" w:cs="宋体"/>
          <w:sz w:val="24"/>
        </w:rPr>
      </w:pPr>
      <w:r>
        <w:rPr>
          <w:rFonts w:hint="eastAsia" w:ascii="宋体" w:hAnsi="宋体" w:cs="宋体"/>
          <w:sz w:val="24"/>
        </w:rPr>
        <w:t xml:space="preserve">变频传动电压：   </w:t>
      </w:r>
      <w:r>
        <w:rPr>
          <w:rFonts w:ascii="宋体" w:hAnsi="宋体" w:cs="宋体"/>
          <w:sz w:val="24"/>
        </w:rPr>
        <w:t xml:space="preserve">  </w:t>
      </w:r>
      <w:r>
        <w:rPr>
          <w:rFonts w:hint="eastAsia" w:ascii="宋体" w:hAnsi="宋体" w:cs="宋体"/>
          <w:sz w:val="24"/>
        </w:rPr>
        <w:t xml:space="preserve">     AC380V、AC</w:t>
      </w:r>
      <w:r>
        <w:rPr>
          <w:rFonts w:ascii="宋体" w:hAnsi="宋体" w:cs="宋体"/>
          <w:sz w:val="24"/>
        </w:rPr>
        <w:t>69</w:t>
      </w:r>
      <w:r>
        <w:rPr>
          <w:rFonts w:hint="eastAsia" w:ascii="宋体" w:hAnsi="宋体" w:cs="宋体"/>
          <w:sz w:val="24"/>
        </w:rPr>
        <w:t>0V、AC</w:t>
      </w:r>
      <w:r>
        <w:rPr>
          <w:rFonts w:ascii="宋体" w:hAnsi="宋体" w:cs="宋体"/>
          <w:sz w:val="24"/>
        </w:rPr>
        <w:t>6.3</w:t>
      </w:r>
      <w:r>
        <w:rPr>
          <w:rFonts w:hint="eastAsia" w:ascii="宋体" w:hAnsi="宋体" w:cs="宋体"/>
          <w:sz w:val="24"/>
        </w:rPr>
        <w:t>kV</w:t>
      </w:r>
    </w:p>
    <w:p w14:paraId="10C244F1">
      <w:pPr>
        <w:adjustRightInd w:val="0"/>
        <w:snapToGrid w:val="0"/>
        <w:spacing w:line="400" w:lineRule="exact"/>
        <w:ind w:firstLine="960" w:firstLineChars="400"/>
        <w:jc w:val="left"/>
        <w:textAlignment w:val="baseline"/>
        <w:rPr>
          <w:rFonts w:ascii="宋体" w:hAnsi="宋体" w:cs="宋体"/>
          <w:sz w:val="24"/>
        </w:rPr>
      </w:pPr>
      <w:r>
        <w:rPr>
          <w:rFonts w:hint="eastAsia" w:ascii="宋体" w:hAnsi="宋体" w:cs="宋体"/>
          <w:sz w:val="24"/>
        </w:rPr>
        <w:t>低压动力电压：          AC380、AC220V</w:t>
      </w:r>
    </w:p>
    <w:p w14:paraId="25BD2B51">
      <w:pPr>
        <w:adjustRightInd w:val="0"/>
        <w:snapToGrid w:val="0"/>
        <w:spacing w:line="400" w:lineRule="exact"/>
        <w:ind w:firstLine="960" w:firstLineChars="400"/>
        <w:jc w:val="left"/>
        <w:textAlignment w:val="baseline"/>
        <w:rPr>
          <w:rFonts w:ascii="宋体" w:hAnsi="宋体" w:cs="宋体"/>
          <w:sz w:val="24"/>
        </w:rPr>
      </w:pPr>
      <w:r>
        <w:rPr>
          <w:rFonts w:hint="eastAsia" w:ascii="宋体" w:hAnsi="宋体" w:cs="宋体"/>
          <w:sz w:val="24"/>
        </w:rPr>
        <w:t xml:space="preserve">照明电压： </w:t>
      </w:r>
      <w:r>
        <w:rPr>
          <w:rFonts w:ascii="宋体" w:hAnsi="宋体" w:cs="宋体"/>
          <w:sz w:val="24"/>
        </w:rPr>
        <w:t xml:space="preserve"> </w:t>
      </w:r>
      <w:r>
        <w:rPr>
          <w:rFonts w:hint="eastAsia" w:ascii="宋体" w:hAnsi="宋体" w:cs="宋体"/>
          <w:sz w:val="24"/>
        </w:rPr>
        <w:t xml:space="preserve">            AC220V、AC</w:t>
      </w:r>
      <w:r>
        <w:rPr>
          <w:rFonts w:ascii="宋体" w:hAnsi="宋体" w:cs="宋体"/>
          <w:sz w:val="24"/>
        </w:rPr>
        <w:t>36/</w:t>
      </w:r>
      <w:r>
        <w:rPr>
          <w:rFonts w:hint="eastAsia" w:ascii="宋体" w:hAnsi="宋体" w:cs="宋体"/>
          <w:sz w:val="24"/>
        </w:rPr>
        <w:t>24</w:t>
      </w:r>
      <w:r>
        <w:rPr>
          <w:rFonts w:ascii="宋体" w:hAnsi="宋体" w:cs="宋体"/>
          <w:sz w:val="24"/>
        </w:rPr>
        <w:t>/12</w:t>
      </w:r>
      <w:r>
        <w:rPr>
          <w:rFonts w:hint="eastAsia" w:ascii="宋体" w:hAnsi="宋体" w:cs="宋体"/>
          <w:sz w:val="24"/>
        </w:rPr>
        <w:t>V</w:t>
      </w:r>
    </w:p>
    <w:p w14:paraId="5E247910">
      <w:pPr>
        <w:adjustRightInd w:val="0"/>
        <w:snapToGrid w:val="0"/>
        <w:spacing w:line="400" w:lineRule="exact"/>
        <w:ind w:firstLine="960" w:firstLineChars="400"/>
        <w:jc w:val="left"/>
        <w:textAlignment w:val="baseline"/>
        <w:rPr>
          <w:rFonts w:ascii="宋体" w:hAnsi="宋体" w:cs="宋体"/>
          <w:sz w:val="24"/>
        </w:rPr>
      </w:pPr>
      <w:r>
        <w:rPr>
          <w:rFonts w:hint="eastAsia" w:ascii="宋体" w:hAnsi="宋体" w:cs="宋体"/>
          <w:sz w:val="24"/>
        </w:rPr>
        <w:t>控制电压：              AC220V、DC220V</w:t>
      </w:r>
    </w:p>
    <w:p w14:paraId="4FBAFFC6">
      <w:pPr>
        <w:adjustRightInd w:val="0"/>
        <w:snapToGrid w:val="0"/>
        <w:spacing w:line="400" w:lineRule="exact"/>
        <w:ind w:firstLine="960" w:firstLineChars="400"/>
        <w:jc w:val="left"/>
        <w:textAlignment w:val="baseline"/>
        <w:rPr>
          <w:rFonts w:ascii="宋体" w:hAnsi="宋体" w:cs="宋体"/>
          <w:sz w:val="24"/>
        </w:rPr>
      </w:pPr>
      <w:r>
        <w:rPr>
          <w:rFonts w:hint="eastAsia" w:ascii="宋体" w:hAnsi="宋体" w:cs="宋体"/>
          <w:sz w:val="24"/>
        </w:rPr>
        <w:t>直流合闸电源电压        DC220V</w:t>
      </w:r>
    </w:p>
    <w:p w14:paraId="644B1F7D">
      <w:pPr>
        <w:pStyle w:val="5"/>
        <w:ind w:firstLine="480"/>
      </w:pPr>
      <w:r>
        <w:rPr>
          <w:rFonts w:hint="eastAsia"/>
        </w:rPr>
        <w:t>2.</w:t>
      </w:r>
      <w:r>
        <w:t>5</w:t>
      </w:r>
      <w:r>
        <w:rPr>
          <w:rFonts w:hint="eastAsia"/>
        </w:rPr>
        <w:t xml:space="preserve"> 供配电系统接地方式</w:t>
      </w:r>
    </w:p>
    <w:p w14:paraId="68C2145A">
      <w:pPr>
        <w:pStyle w:val="23"/>
        <w:ind w:firstLine="720"/>
        <w:rPr>
          <w:rFonts w:hint="default"/>
        </w:rPr>
      </w:pPr>
      <w:r>
        <w:t>配电系统中性点接地方式见下表所示。</w:t>
      </w:r>
    </w:p>
    <w:p w14:paraId="388E5CD7">
      <w:pPr>
        <w:adjustRightInd w:val="0"/>
        <w:snapToGrid w:val="0"/>
        <w:spacing w:line="400" w:lineRule="exact"/>
        <w:jc w:val="center"/>
        <w:textAlignment w:val="baseline"/>
        <w:rPr>
          <w:rFonts w:ascii="宋体" w:hAnsi="宋体" w:cs="宋体"/>
          <w:sz w:val="24"/>
        </w:rPr>
      </w:pPr>
      <w:r>
        <w:rPr>
          <w:rFonts w:hint="eastAsia" w:ascii="宋体" w:hAnsi="宋体" w:cs="宋体"/>
          <w:sz w:val="24"/>
        </w:rPr>
        <w:t>表1-2   系统接地方式</w:t>
      </w:r>
    </w:p>
    <w:tbl>
      <w:tblPr>
        <w:tblStyle w:val="18"/>
        <w:tblW w:w="7487" w:type="dxa"/>
        <w:tblInd w:w="776" w:type="dxa"/>
        <w:tblLayout w:type="fixed"/>
        <w:tblCellMar>
          <w:top w:w="0" w:type="dxa"/>
          <w:left w:w="0" w:type="dxa"/>
          <w:bottom w:w="0" w:type="dxa"/>
          <w:right w:w="0" w:type="dxa"/>
        </w:tblCellMar>
      </w:tblPr>
      <w:tblGrid>
        <w:gridCol w:w="2200"/>
        <w:gridCol w:w="2462"/>
        <w:gridCol w:w="2825"/>
      </w:tblGrid>
      <w:tr w14:paraId="4222AE86">
        <w:tblPrEx>
          <w:tblCellMar>
            <w:top w:w="0" w:type="dxa"/>
            <w:left w:w="0" w:type="dxa"/>
            <w:bottom w:w="0" w:type="dxa"/>
            <w:right w:w="0" w:type="dxa"/>
          </w:tblCellMar>
        </w:tblPrEx>
        <w:trPr>
          <w:trHeight w:val="443" w:hRule="atLeast"/>
        </w:trPr>
        <w:tc>
          <w:tcPr>
            <w:tcW w:w="220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3C211F5C">
            <w:pPr>
              <w:widowControl/>
              <w:spacing w:line="400" w:lineRule="exact"/>
              <w:jc w:val="center"/>
              <w:textAlignment w:val="center"/>
              <w:rPr>
                <w:rFonts w:ascii="宋体" w:hAnsi="宋体" w:cs="宋体"/>
                <w:bCs/>
                <w:sz w:val="24"/>
              </w:rPr>
            </w:pPr>
            <w:r>
              <w:rPr>
                <w:rFonts w:hint="eastAsia" w:ascii="宋体" w:hAnsi="宋体" w:cs="宋体"/>
                <w:bCs/>
                <w:sz w:val="24"/>
              </w:rPr>
              <w:t>系统电压</w:t>
            </w:r>
          </w:p>
        </w:tc>
        <w:tc>
          <w:tcPr>
            <w:tcW w:w="2462"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3C52DA1D">
            <w:pPr>
              <w:widowControl/>
              <w:spacing w:line="400" w:lineRule="exact"/>
              <w:jc w:val="center"/>
              <w:textAlignment w:val="center"/>
              <w:rPr>
                <w:rFonts w:ascii="宋体" w:hAnsi="宋体" w:cs="宋体"/>
                <w:bCs/>
                <w:sz w:val="24"/>
              </w:rPr>
            </w:pPr>
            <w:r>
              <w:rPr>
                <w:rFonts w:hint="eastAsia" w:ascii="宋体" w:hAnsi="宋体" w:cs="宋体"/>
                <w:bCs/>
                <w:sz w:val="24"/>
              </w:rPr>
              <w:t>接地方式</w:t>
            </w:r>
          </w:p>
        </w:tc>
        <w:tc>
          <w:tcPr>
            <w:tcW w:w="282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5CC0610B">
            <w:pPr>
              <w:widowControl/>
              <w:spacing w:line="400" w:lineRule="exact"/>
              <w:jc w:val="center"/>
              <w:textAlignment w:val="center"/>
              <w:rPr>
                <w:rFonts w:ascii="宋体" w:hAnsi="宋体" w:cs="宋体"/>
                <w:bCs/>
                <w:sz w:val="24"/>
              </w:rPr>
            </w:pPr>
            <w:r>
              <w:rPr>
                <w:rFonts w:hint="eastAsia" w:ascii="宋体" w:hAnsi="宋体" w:cs="宋体"/>
                <w:bCs/>
                <w:sz w:val="24"/>
              </w:rPr>
              <w:t>备注</w:t>
            </w:r>
          </w:p>
        </w:tc>
      </w:tr>
      <w:tr w14:paraId="4CA825CB">
        <w:trPr>
          <w:trHeight w:val="585" w:hRule="atLeast"/>
        </w:trPr>
        <w:tc>
          <w:tcPr>
            <w:tcW w:w="220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21C14D1D">
            <w:pPr>
              <w:widowControl/>
              <w:spacing w:line="400" w:lineRule="exact"/>
              <w:ind w:left="420" w:hanging="420" w:hangingChars="175"/>
              <w:jc w:val="center"/>
              <w:textAlignment w:val="center"/>
              <w:rPr>
                <w:rFonts w:ascii="宋体" w:hAnsi="宋体" w:cs="宋体"/>
                <w:sz w:val="24"/>
              </w:rPr>
            </w:pPr>
            <w:r>
              <w:rPr>
                <w:rFonts w:ascii="宋体" w:hAnsi="宋体" w:cs="宋体"/>
                <w:sz w:val="24"/>
              </w:rPr>
              <w:t>6.3</w:t>
            </w:r>
            <w:r>
              <w:rPr>
                <w:rFonts w:hint="eastAsia" w:ascii="宋体" w:hAnsi="宋体" w:cs="宋体"/>
                <w:sz w:val="24"/>
              </w:rPr>
              <w:t>kV、35kV</w:t>
            </w:r>
          </w:p>
        </w:tc>
        <w:tc>
          <w:tcPr>
            <w:tcW w:w="2462"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11495E31">
            <w:pPr>
              <w:widowControl/>
              <w:spacing w:line="400" w:lineRule="exact"/>
              <w:ind w:left="420" w:hanging="420" w:hangingChars="175"/>
              <w:jc w:val="center"/>
              <w:textAlignment w:val="center"/>
              <w:rPr>
                <w:rFonts w:ascii="宋体" w:hAnsi="宋体" w:cs="宋体"/>
                <w:sz w:val="24"/>
              </w:rPr>
            </w:pPr>
            <w:r>
              <w:rPr>
                <w:rFonts w:hint="eastAsia" w:ascii="宋体" w:hAnsi="宋体" w:cs="宋体"/>
                <w:sz w:val="24"/>
              </w:rPr>
              <w:t>小电流接地系统</w:t>
            </w:r>
          </w:p>
        </w:tc>
        <w:tc>
          <w:tcPr>
            <w:tcW w:w="282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3AFBBA94">
            <w:pPr>
              <w:widowControl/>
              <w:spacing w:line="400" w:lineRule="exact"/>
              <w:jc w:val="center"/>
              <w:textAlignment w:val="center"/>
              <w:rPr>
                <w:rFonts w:ascii="宋体" w:hAnsi="宋体" w:cs="宋体"/>
                <w:sz w:val="24"/>
              </w:rPr>
            </w:pPr>
            <w:r>
              <w:rPr>
                <w:rFonts w:hint="eastAsia" w:ascii="宋体" w:hAnsi="宋体" w:cs="宋体"/>
                <w:sz w:val="24"/>
              </w:rPr>
              <w:t>中性点经消弧线圈接地</w:t>
            </w:r>
          </w:p>
        </w:tc>
      </w:tr>
      <w:tr w14:paraId="667069EC">
        <w:tblPrEx>
          <w:tblCellMar>
            <w:top w:w="0" w:type="dxa"/>
            <w:left w:w="0" w:type="dxa"/>
            <w:bottom w:w="0" w:type="dxa"/>
            <w:right w:w="0" w:type="dxa"/>
          </w:tblCellMar>
        </w:tblPrEx>
        <w:trPr>
          <w:trHeight w:val="531" w:hRule="atLeast"/>
        </w:trPr>
        <w:tc>
          <w:tcPr>
            <w:tcW w:w="2200"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72BF8DDE">
            <w:pPr>
              <w:widowControl/>
              <w:spacing w:line="400" w:lineRule="exact"/>
              <w:ind w:left="420" w:hanging="420" w:hangingChars="175"/>
              <w:jc w:val="center"/>
              <w:textAlignment w:val="center"/>
              <w:rPr>
                <w:rFonts w:ascii="宋体" w:hAnsi="宋体" w:cs="宋体"/>
                <w:sz w:val="24"/>
              </w:rPr>
            </w:pPr>
            <w:r>
              <w:rPr>
                <w:rFonts w:hint="eastAsia" w:ascii="宋体" w:hAnsi="宋体" w:cs="宋体"/>
                <w:sz w:val="24"/>
              </w:rPr>
              <w:t>380V</w:t>
            </w:r>
            <w:r>
              <w:rPr>
                <w:rFonts w:ascii="宋体" w:hAnsi="宋体" w:cs="宋体"/>
                <w:sz w:val="24"/>
              </w:rPr>
              <w:t>/690</w:t>
            </w:r>
            <w:r>
              <w:rPr>
                <w:rFonts w:hint="eastAsia" w:ascii="宋体" w:hAnsi="宋体" w:cs="宋体"/>
                <w:sz w:val="24"/>
              </w:rPr>
              <w:t>V</w:t>
            </w:r>
          </w:p>
        </w:tc>
        <w:tc>
          <w:tcPr>
            <w:tcW w:w="2462"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5ED2CB05">
            <w:pPr>
              <w:widowControl/>
              <w:spacing w:line="400" w:lineRule="exact"/>
              <w:ind w:left="420" w:hanging="420" w:hangingChars="175"/>
              <w:jc w:val="center"/>
              <w:textAlignment w:val="center"/>
              <w:rPr>
                <w:rFonts w:ascii="宋体" w:hAnsi="宋体" w:cs="宋体"/>
                <w:sz w:val="24"/>
              </w:rPr>
            </w:pPr>
            <w:r>
              <w:rPr>
                <w:rFonts w:hint="eastAsia" w:ascii="宋体" w:hAnsi="宋体" w:cs="宋体"/>
                <w:sz w:val="24"/>
              </w:rPr>
              <w:t>中性点直接接地</w:t>
            </w:r>
          </w:p>
        </w:tc>
        <w:tc>
          <w:tcPr>
            <w:tcW w:w="282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14:paraId="7DE594F8">
            <w:pPr>
              <w:spacing w:line="400" w:lineRule="exact"/>
              <w:jc w:val="center"/>
              <w:rPr>
                <w:rFonts w:ascii="宋体" w:hAnsi="宋体" w:cs="宋体"/>
                <w:sz w:val="24"/>
              </w:rPr>
            </w:pPr>
          </w:p>
        </w:tc>
      </w:tr>
    </w:tbl>
    <w:p w14:paraId="39AD51F1">
      <w:pPr>
        <w:pStyle w:val="3"/>
        <w:numPr>
          <w:ilvl w:val="0"/>
          <w:numId w:val="3"/>
        </w:numPr>
        <w:spacing w:before="156" w:after="156"/>
        <w:ind w:firstLine="281"/>
      </w:pPr>
      <w:bookmarkStart w:id="134" w:name="_Toc25969"/>
      <w:bookmarkStart w:id="135" w:name="_Toc8601"/>
      <w:bookmarkStart w:id="136" w:name="_Toc5228"/>
      <w:r>
        <w:rPr>
          <w:rFonts w:hint="eastAsia"/>
        </w:rPr>
        <w:t>变压器、配电要求</w:t>
      </w:r>
      <w:bookmarkEnd w:id="134"/>
      <w:bookmarkEnd w:id="135"/>
      <w:bookmarkEnd w:id="136"/>
    </w:p>
    <w:p w14:paraId="63F73513">
      <w:pPr>
        <w:pStyle w:val="5"/>
        <w:ind w:firstLine="480"/>
      </w:pPr>
      <w:r>
        <w:rPr>
          <w:rFonts w:hint="eastAsia"/>
        </w:rPr>
        <w:t>0.</w:t>
      </w:r>
      <w:r>
        <w:t>38</w:t>
      </w:r>
      <w:r>
        <w:rPr>
          <w:rFonts w:hint="eastAsia"/>
        </w:rPr>
        <w:t>kV、0.</w:t>
      </w:r>
      <w:r>
        <w:t>69</w:t>
      </w:r>
      <w:r>
        <w:rPr>
          <w:rFonts w:hint="eastAsia"/>
        </w:rPr>
        <w:t>kV厂用电均为单母线分段接线方式。0.</w:t>
      </w:r>
      <w:r>
        <w:t>69</w:t>
      </w:r>
      <w:r>
        <w:rPr>
          <w:rFonts w:hint="eastAsia"/>
        </w:rPr>
        <w:t>kV和0.</w:t>
      </w:r>
      <w:r>
        <w:t>38</w:t>
      </w:r>
      <w:r>
        <w:rPr>
          <w:rFonts w:hint="eastAsia"/>
        </w:rPr>
        <w:t>kV由技改不同母线段变压器供电，0.</w:t>
      </w:r>
      <w:r>
        <w:t>38</w:t>
      </w:r>
      <w:r>
        <w:rPr>
          <w:rFonts w:hint="eastAsia"/>
        </w:rPr>
        <w:t>kV需设有与公司现有3</w:t>
      </w:r>
      <w:r>
        <w:t>#</w:t>
      </w:r>
      <w:r>
        <w:rPr>
          <w:rFonts w:hint="eastAsia"/>
        </w:rPr>
        <w:t>洗选低压配电联络回路（设置一路</w:t>
      </w:r>
      <w:r>
        <w:t>630</w:t>
      </w:r>
      <w:r>
        <w:rPr>
          <w:rFonts w:hint="eastAsia"/>
        </w:rPr>
        <w:t>A断路器）。</w:t>
      </w:r>
    </w:p>
    <w:p w14:paraId="10BD74BB">
      <w:pPr>
        <w:pStyle w:val="5"/>
        <w:ind w:firstLine="480"/>
      </w:pPr>
      <w:r>
        <w:rPr>
          <w:rFonts w:hint="eastAsia"/>
        </w:rPr>
        <w:t>新建蒸煮低压室需包含以下旧设备的负荷：3#洗选单辊洗浆机电源、3#湿浆挤浆机电源共计约400kW，这部分负荷需新蒸煮低压室提供电源，单独设置一路800A框架断路器供电，重新铺设电源电缆及接线。新蒸煮低压室还需提供一路交流220V、20A的馈线回路作为3#洗选高压室的控制电源用，并铺设一根3*4mm</w:t>
      </w:r>
      <w:r>
        <w:rPr>
          <w:rFonts w:hint="eastAsia"/>
          <w:vertAlign w:val="superscript"/>
        </w:rPr>
        <w:t>2</w:t>
      </w:r>
      <w:r>
        <w:rPr>
          <w:rFonts w:hint="eastAsia"/>
        </w:rPr>
        <w:t>电缆连至3#洗选高压室。</w:t>
      </w:r>
    </w:p>
    <w:p w14:paraId="211B25EB">
      <w:pPr>
        <w:pStyle w:val="5"/>
        <w:ind w:firstLine="480"/>
      </w:pPr>
      <w:r>
        <w:rPr>
          <w:rFonts w:hint="eastAsia"/>
        </w:rPr>
        <w:t>各工段独立设置低压配电室，建议低压室设置在负荷中心。</w:t>
      </w:r>
    </w:p>
    <w:p w14:paraId="58C601B2">
      <w:pPr>
        <w:pStyle w:val="5"/>
        <w:ind w:firstLine="480"/>
      </w:pPr>
      <w:r>
        <w:rPr>
          <w:rFonts w:hint="eastAsia"/>
        </w:rPr>
        <w:t>各低压配电做联络线，采用暗备用方式，各低压母线联络电源电流不小于</w:t>
      </w:r>
      <w:r>
        <w:t>630</w:t>
      </w:r>
      <w:r>
        <w:rPr>
          <w:rFonts w:hint="eastAsia"/>
        </w:rPr>
        <w:t>A，满足运行负荷要求。</w:t>
      </w:r>
    </w:p>
    <w:p w14:paraId="303FE7B2">
      <w:pPr>
        <w:pStyle w:val="5"/>
        <w:ind w:firstLine="480"/>
      </w:pPr>
      <w:r>
        <w:rPr>
          <w:rFonts w:hint="eastAsia"/>
        </w:rPr>
        <w:t>低压绕组中性点直接接地，0.</w:t>
      </w:r>
      <w:r>
        <w:t>38</w:t>
      </w:r>
      <w:r>
        <w:rPr>
          <w:rFonts w:hint="eastAsia"/>
        </w:rPr>
        <w:t>kV照明与动力共用的三相五线制（TN-S系统）。</w:t>
      </w:r>
    </w:p>
    <w:p w14:paraId="633E0662">
      <w:pPr>
        <w:pStyle w:val="5"/>
        <w:ind w:firstLine="480"/>
      </w:pPr>
      <w:r>
        <w:rPr>
          <w:rFonts w:hint="eastAsia"/>
        </w:rPr>
        <w:t>所有元件降容系数：0.</w:t>
      </w:r>
      <w:r>
        <w:t>7</w:t>
      </w:r>
      <w:r>
        <w:rPr>
          <w:rFonts w:hint="eastAsia"/>
        </w:rPr>
        <w:t>。</w:t>
      </w:r>
    </w:p>
    <w:p w14:paraId="7573E4F5">
      <w:pPr>
        <w:pStyle w:val="3"/>
        <w:numPr>
          <w:ilvl w:val="0"/>
          <w:numId w:val="3"/>
        </w:numPr>
        <w:spacing w:before="156" w:after="156"/>
        <w:ind w:firstLine="281"/>
      </w:pPr>
      <w:bookmarkStart w:id="137" w:name="_Toc11540"/>
      <w:bookmarkStart w:id="138" w:name="_Toc18107"/>
      <w:bookmarkStart w:id="139" w:name="_Toc25262"/>
      <w:r>
        <w:rPr>
          <w:rFonts w:hint="eastAsia"/>
        </w:rPr>
        <w:t>继电保护、和电力自动化综合监控系统</w:t>
      </w:r>
      <w:bookmarkEnd w:id="137"/>
      <w:bookmarkEnd w:id="138"/>
      <w:bookmarkEnd w:id="139"/>
    </w:p>
    <w:p w14:paraId="42E9A6D7">
      <w:pPr>
        <w:pStyle w:val="5"/>
        <w:ind w:firstLine="480"/>
      </w:pPr>
      <w:r>
        <w:rPr>
          <w:rFonts w:hint="eastAsia"/>
        </w:rPr>
        <w:t>投标方应负责继电保护、和电力自动化综合监控系统的全部工作，中控楼中控室内显示屏等应与DCS等统一型号规格，投标方应负责将电力自动化综合监控系统引入集控中心大屏。</w:t>
      </w:r>
    </w:p>
    <w:p w14:paraId="65BB1A68">
      <w:pPr>
        <w:pStyle w:val="5"/>
        <w:ind w:firstLine="480"/>
      </w:pPr>
      <w:r>
        <w:rPr>
          <w:rFonts w:hint="eastAsia"/>
        </w:rPr>
        <w:t>技改6kV至碱回收6kV配电联络线，电流不小于</w:t>
      </w:r>
      <w:r>
        <w:t>1000</w:t>
      </w:r>
      <w:r>
        <w:rPr>
          <w:rFonts w:hint="eastAsia"/>
        </w:rPr>
        <w:t>A，配光纤差动等保护。光纤差动保护装置及所需的两侧电流互感器等由投标方统一设计、采购、安装。</w:t>
      </w:r>
    </w:p>
    <w:p w14:paraId="486C484F">
      <w:pPr>
        <w:pStyle w:val="5"/>
        <w:ind w:firstLine="480"/>
      </w:pPr>
      <w:r>
        <w:rPr>
          <w:rFonts w:hint="eastAsia"/>
        </w:rPr>
        <w:t>新建</w:t>
      </w:r>
      <w:r>
        <w:t>智能化电力监控系统。</w:t>
      </w:r>
      <w:r>
        <w:rPr>
          <w:rFonts w:hint="eastAsia"/>
        </w:rPr>
        <w:t>与公司MES系统进行数据通讯，由投标方负责完成。</w:t>
      </w:r>
    </w:p>
    <w:p w14:paraId="5F22DE69">
      <w:pPr>
        <w:pStyle w:val="5"/>
        <w:ind w:firstLine="480"/>
      </w:pPr>
      <w:r>
        <w:rPr>
          <w:rFonts w:hint="eastAsia"/>
        </w:rPr>
        <w:t>本工程单独设置直流系统。</w:t>
      </w:r>
    </w:p>
    <w:p w14:paraId="7FED4B26">
      <w:pPr>
        <w:pStyle w:val="3"/>
        <w:numPr>
          <w:ilvl w:val="0"/>
          <w:numId w:val="3"/>
        </w:numPr>
        <w:spacing w:before="156" w:after="156"/>
        <w:ind w:firstLine="281"/>
      </w:pPr>
      <w:bookmarkStart w:id="140" w:name="_Toc9960"/>
      <w:bookmarkStart w:id="141" w:name="_Toc21348"/>
      <w:bookmarkStart w:id="142" w:name="_Toc4081"/>
      <w:r>
        <w:rPr>
          <w:rFonts w:hint="eastAsia"/>
        </w:rPr>
        <w:t>6kV配电系统的消弧线圈由投标方依据配电系统容流确定。</w:t>
      </w:r>
      <w:bookmarkEnd w:id="140"/>
      <w:bookmarkEnd w:id="141"/>
      <w:bookmarkEnd w:id="142"/>
    </w:p>
    <w:p w14:paraId="69FF3CCE">
      <w:pPr>
        <w:spacing w:line="400" w:lineRule="exact"/>
        <w:jc w:val="left"/>
        <w:rPr>
          <w:rFonts w:ascii="宋体" w:hAnsi="宋体" w:cs="宋体"/>
          <w:sz w:val="24"/>
        </w:rPr>
      </w:pPr>
    </w:p>
    <w:p w14:paraId="242C4E2D">
      <w:pPr>
        <w:pStyle w:val="2"/>
      </w:pPr>
      <w:bookmarkStart w:id="143" w:name="_Toc6812"/>
      <w:bookmarkStart w:id="144" w:name="_Toc21539"/>
      <w:bookmarkStart w:id="145" w:name="_Toc25423"/>
      <w:r>
        <w:rPr>
          <w:rFonts w:hint="eastAsia"/>
        </w:rPr>
        <w:t>三、主要设备选择</w:t>
      </w:r>
      <w:bookmarkEnd w:id="143"/>
      <w:bookmarkEnd w:id="144"/>
      <w:bookmarkEnd w:id="145"/>
    </w:p>
    <w:p w14:paraId="6DCFC828">
      <w:pPr>
        <w:pStyle w:val="5"/>
        <w:numPr>
          <w:ilvl w:val="0"/>
          <w:numId w:val="4"/>
        </w:numPr>
        <w:ind w:firstLine="480"/>
      </w:pPr>
      <w:r>
        <w:rPr>
          <w:rFonts w:hint="eastAsia"/>
        </w:rPr>
        <w:t>高低压厂用电配电装置采用成套高低压配电柜。变压器采用油浸式变压器，能效必须最新能效在二级及二级以上。</w:t>
      </w:r>
    </w:p>
    <w:p w14:paraId="6A52EAD6">
      <w:pPr>
        <w:pStyle w:val="5"/>
        <w:numPr>
          <w:ilvl w:val="0"/>
          <w:numId w:val="4"/>
        </w:numPr>
        <w:ind w:firstLine="480"/>
      </w:pPr>
      <w:r>
        <w:rPr>
          <w:rFonts w:hint="eastAsia"/>
        </w:rPr>
        <w:t>电动机选用新型高效节能电机，YE</w:t>
      </w:r>
      <w:r>
        <w:t>4</w:t>
      </w:r>
      <w:r>
        <w:rPr>
          <w:rFonts w:hint="eastAsia"/>
        </w:rPr>
        <w:t>及以上，能效必须在最新二级及二级以上。除生产工艺要求调速的电机采用变频驱动外，其他负荷变化比较大的电机，如风机、水泵、浆泵等也尽量采用变频驱动，方便后期维护，以达到节能的目的。</w:t>
      </w:r>
    </w:p>
    <w:p w14:paraId="7058B75F">
      <w:pPr>
        <w:pStyle w:val="5"/>
        <w:numPr>
          <w:ilvl w:val="0"/>
          <w:numId w:val="4"/>
        </w:numPr>
        <w:ind w:firstLine="480"/>
        <w:rPr>
          <w:lang w:val="zh-CN"/>
        </w:rPr>
      </w:pPr>
      <w:r>
        <w:rPr>
          <w:rFonts w:hint="eastAsia"/>
          <w:lang w:val="zh-CN"/>
        </w:rPr>
        <w:t>木片筛电机、出料螺旋行走小车、装锅分配小车、移动皮带机、电动葫芦等连接电缆，须采用柔性电缆。</w:t>
      </w:r>
    </w:p>
    <w:p w14:paraId="1608C0BC">
      <w:pPr>
        <w:pStyle w:val="5"/>
        <w:numPr>
          <w:ilvl w:val="0"/>
          <w:numId w:val="4"/>
        </w:numPr>
        <w:ind w:firstLine="480"/>
      </w:pPr>
      <w:r>
        <w:rPr>
          <w:rFonts w:hint="eastAsia"/>
          <w:lang w:val="zh-CN"/>
        </w:rPr>
        <w:t>照明和检修</w:t>
      </w:r>
    </w:p>
    <w:p w14:paraId="0F7C5280">
      <w:pPr>
        <w:pStyle w:val="23"/>
        <w:ind w:firstLine="720"/>
        <w:rPr>
          <w:rFonts w:hint="default"/>
        </w:rPr>
      </w:pPr>
      <w:r>
        <w:t>本工程设正常照明、事故照明、局部照明。</w:t>
      </w:r>
    </w:p>
    <w:p w14:paraId="603A83E1">
      <w:pPr>
        <w:pStyle w:val="23"/>
        <w:ind w:firstLine="720"/>
        <w:rPr>
          <w:rFonts w:hint="default"/>
        </w:rPr>
      </w:pPr>
      <w:r>
        <w:t>正常照明由三相五线供电。事故照明采用直流屏供电和局部带蓄电池的应急照明灯具。检修照明，12V/24V/36V检修安全变压器供电。</w:t>
      </w:r>
    </w:p>
    <w:p w14:paraId="394F40EA">
      <w:pPr>
        <w:pStyle w:val="23"/>
        <w:ind w:firstLine="720"/>
        <w:rPr>
          <w:rFonts w:hint="default"/>
        </w:rPr>
      </w:pPr>
      <w:r>
        <w:t>设置检修电源，电源引自低压MCC段供电，检修箱采用单电源分组供电。</w:t>
      </w:r>
    </w:p>
    <w:p w14:paraId="2958C336">
      <w:pPr>
        <w:pStyle w:val="5"/>
        <w:numPr>
          <w:ilvl w:val="0"/>
          <w:numId w:val="4"/>
        </w:numPr>
        <w:ind w:firstLine="480"/>
      </w:pPr>
      <w:r>
        <w:rPr>
          <w:rFonts w:hint="eastAsia"/>
        </w:rPr>
        <w:t>过电压保护</w:t>
      </w:r>
    </w:p>
    <w:p w14:paraId="05686EC4">
      <w:pPr>
        <w:pStyle w:val="23"/>
        <w:ind w:firstLine="720"/>
        <w:rPr>
          <w:rFonts w:hint="default"/>
        </w:rPr>
      </w:pPr>
      <w:r>
        <w:t>本工程的防雷和接地按《建筑物防雷设计规范》和电力行业《18项反措》和国家有关规程规定执行。</w:t>
      </w:r>
    </w:p>
    <w:p w14:paraId="26DF55D7">
      <w:pPr>
        <w:pStyle w:val="5"/>
        <w:numPr>
          <w:ilvl w:val="0"/>
          <w:numId w:val="4"/>
        </w:numPr>
        <w:ind w:firstLine="480"/>
      </w:pPr>
      <w:r>
        <w:rPr>
          <w:rFonts w:hint="eastAsia"/>
        </w:rPr>
        <w:t>接地</w:t>
      </w:r>
    </w:p>
    <w:p w14:paraId="2E407E06">
      <w:pPr>
        <w:pStyle w:val="23"/>
        <w:ind w:firstLine="720"/>
        <w:rPr>
          <w:rFonts w:hint="default"/>
        </w:rPr>
      </w:pPr>
      <w:r>
        <w:t>所有电动机、变压器、开关柜及其他电气设备的金属外壳、接地母线，金属构架，电缆管道，金属箱罐、电缆桥架、电缆的屏蔽层和其他可能会偶然带电的金属物件、油箱、管道等牢固可靠地连接到主接地网上。管路分断连接处均应采用跨接线可靠连接并接地。项目接地网并入公司主接地网。</w:t>
      </w:r>
    </w:p>
    <w:p w14:paraId="6D928EA8">
      <w:pPr>
        <w:pStyle w:val="5"/>
        <w:numPr>
          <w:ilvl w:val="0"/>
          <w:numId w:val="4"/>
        </w:numPr>
        <w:ind w:firstLine="480"/>
      </w:pPr>
      <w:r>
        <w:rPr>
          <w:rFonts w:hint="eastAsia"/>
        </w:rPr>
        <w:t>所有电器设备、材料须提供型式试验报告，并提供型式试验报告一致产品。</w:t>
      </w:r>
    </w:p>
    <w:p w14:paraId="4C0D31DC">
      <w:pPr>
        <w:pStyle w:val="5"/>
        <w:numPr>
          <w:ilvl w:val="0"/>
          <w:numId w:val="4"/>
        </w:numPr>
        <w:ind w:firstLine="480"/>
      </w:pPr>
      <w:r>
        <w:rPr>
          <w:rFonts w:hint="eastAsia"/>
        </w:rPr>
        <w:t>消防及抗震</w:t>
      </w:r>
    </w:p>
    <w:p w14:paraId="4E4942CA">
      <w:pPr>
        <w:pStyle w:val="23"/>
        <w:ind w:firstLine="720"/>
        <w:rPr>
          <w:rFonts w:hint="default"/>
        </w:rPr>
      </w:pPr>
      <w:r>
        <w:t>8.1本工程应按照消防规范及要求在变压器室、配电室，控制室，电缆夹层及其他区域配置消防器材，设置感温和感烟火灾报警等系统。</w:t>
      </w:r>
    </w:p>
    <w:p w14:paraId="1DB44C8E">
      <w:pPr>
        <w:pStyle w:val="23"/>
        <w:ind w:firstLine="720"/>
        <w:rPr>
          <w:rFonts w:hint="default"/>
        </w:rPr>
      </w:pPr>
      <w:r>
        <w:t>8.2电缆采用阻燃电缆，穿电缆及开关柜的孔洞用防火材料封堵。</w:t>
      </w:r>
    </w:p>
    <w:p w14:paraId="34F45084">
      <w:pPr>
        <w:pStyle w:val="23"/>
        <w:ind w:firstLine="720"/>
        <w:rPr>
          <w:rFonts w:hint="default"/>
        </w:rPr>
      </w:pPr>
      <w:r>
        <w:t>8.3电气设备的抗震按地震烈度</w:t>
      </w:r>
      <w:r>
        <w:rPr>
          <w:rFonts w:hint="default"/>
        </w:rPr>
        <w:t>6</w:t>
      </w:r>
      <w:r>
        <w:t>度设防。</w:t>
      </w:r>
    </w:p>
    <w:p w14:paraId="6D5595B9">
      <w:pPr>
        <w:pStyle w:val="5"/>
        <w:numPr>
          <w:ilvl w:val="0"/>
          <w:numId w:val="4"/>
        </w:numPr>
        <w:ind w:firstLine="480"/>
      </w:pPr>
      <w:r>
        <w:rPr>
          <w:rFonts w:hint="eastAsia"/>
        </w:rPr>
        <w:t>施工要求：安装单位具有国家或行业下发的施工资质、安全生产许可证和业绩证明的专业施工单位施工，并按照国家及电力行业标准组织施工、验收。</w:t>
      </w:r>
    </w:p>
    <w:p w14:paraId="5815E360">
      <w:pPr>
        <w:pStyle w:val="5"/>
        <w:numPr>
          <w:ilvl w:val="0"/>
          <w:numId w:val="4"/>
        </w:numPr>
        <w:ind w:firstLine="480"/>
      </w:pPr>
      <w:r>
        <w:rPr>
          <w:rFonts w:hint="eastAsia"/>
        </w:rPr>
        <w:t>其他说明</w:t>
      </w:r>
    </w:p>
    <w:p w14:paraId="05503EEE">
      <w:pPr>
        <w:pStyle w:val="23"/>
        <w:ind w:firstLine="720"/>
        <w:rPr>
          <w:rFonts w:hint="default"/>
        </w:rPr>
      </w:pPr>
      <w:r>
        <w:t>10.1</w:t>
      </w:r>
      <w:r>
        <w:rPr>
          <w:lang w:val="en-US"/>
        </w:rPr>
        <w:t xml:space="preserve"> </w:t>
      </w:r>
      <w:r>
        <w:t>新建配电室应设有电缆夹层，夹层净高不低于2米，满足设计规范，便于安装桥架及敷设电缆；户外电缆原则上设置架空电缆通廊，如设有电缆沟须配置自动排水系统，根据水位信息自动进行排水，高水位信号采集至监控系统。</w:t>
      </w:r>
    </w:p>
    <w:p w14:paraId="2AE072D5">
      <w:pPr>
        <w:pStyle w:val="23"/>
        <w:ind w:firstLine="720"/>
        <w:rPr>
          <w:rFonts w:hint="default"/>
        </w:rPr>
      </w:pPr>
      <w:r>
        <w:t>10.2</w:t>
      </w:r>
      <w:r>
        <w:rPr>
          <w:lang w:val="en-US"/>
        </w:rPr>
        <w:t xml:space="preserve"> </w:t>
      </w:r>
      <w:r>
        <w:t>高低压配电室、设备间需配置不少于2台中央空调盘管风机，备料低压室使用不少于2台柜式空调，按全年室内温度不超过26摄氏度计算配置。</w:t>
      </w:r>
    </w:p>
    <w:p w14:paraId="298D49F9">
      <w:pPr>
        <w:pStyle w:val="23"/>
        <w:ind w:firstLine="720"/>
        <w:rPr>
          <w:rFonts w:hint="default"/>
        </w:rPr>
      </w:pPr>
      <w:r>
        <w:t>10.3</w:t>
      </w:r>
      <w:r>
        <w:rPr>
          <w:lang w:val="en-US"/>
        </w:rPr>
        <w:t xml:space="preserve"> </w:t>
      </w:r>
      <w:r>
        <w:t>变压器室、高低压配电室及相关设备室应装设不少于1台摄像机的高清视频监控系统和1台红外摄像头，具体数量按监控区域内无死角配置，（需带通讯接口，信号送至集控中心视频监控系统）。变压器室设置通风机。</w:t>
      </w:r>
    </w:p>
    <w:p w14:paraId="6B64B3C6">
      <w:pPr>
        <w:pStyle w:val="23"/>
        <w:ind w:firstLine="720"/>
        <w:rPr>
          <w:rFonts w:hint="default"/>
        </w:rPr>
      </w:pPr>
      <w:r>
        <w:t>10.4</w:t>
      </w:r>
      <w:r>
        <w:rPr>
          <w:lang w:val="en-US"/>
        </w:rPr>
        <w:t xml:space="preserve"> </w:t>
      </w:r>
      <w:r>
        <w:t>变配电室、变压器室做好现场6S定制、二级安全生产标准化定制和安全绿色通道、其他定制需求，配电室门口有安全风险告知牌，安全警示标识，地面规范划线，配备灭火器、挡鼠板、绝缘垫、安全防护用具、绝缘凳、工具柜等。</w:t>
      </w:r>
    </w:p>
    <w:p w14:paraId="362A4DFA">
      <w:pPr>
        <w:spacing w:line="400" w:lineRule="exact"/>
        <w:ind w:firstLine="420"/>
        <w:jc w:val="left"/>
        <w:rPr>
          <w:rFonts w:ascii="宋体" w:hAnsi="宋体" w:cs="宋体"/>
          <w:sz w:val="24"/>
        </w:rPr>
      </w:pPr>
    </w:p>
    <w:p w14:paraId="4B5E8DAD">
      <w:pPr>
        <w:pStyle w:val="2"/>
      </w:pPr>
      <w:bookmarkStart w:id="146" w:name="_Toc13715"/>
      <w:bookmarkStart w:id="147" w:name="_Toc4533"/>
      <w:bookmarkStart w:id="148" w:name="_Toc5508"/>
      <w:bookmarkStart w:id="149" w:name="_Toc343156327"/>
      <w:bookmarkStart w:id="150" w:name="_Toc342664746"/>
      <w:bookmarkStart w:id="151" w:name="_Toc343156328"/>
      <w:bookmarkStart w:id="152" w:name="_Toc342664747"/>
      <w:bookmarkStart w:id="153" w:name="_Toc172538398"/>
      <w:r>
        <w:rPr>
          <w:rFonts w:hint="eastAsia"/>
        </w:rPr>
        <w:t>四、电气设备安装要求</w:t>
      </w:r>
      <w:bookmarkEnd w:id="146"/>
      <w:bookmarkEnd w:id="147"/>
      <w:bookmarkEnd w:id="148"/>
      <w:bookmarkEnd w:id="149"/>
      <w:bookmarkEnd w:id="150"/>
    </w:p>
    <w:p w14:paraId="3ED76317">
      <w:pPr>
        <w:pStyle w:val="5"/>
        <w:ind w:firstLine="480"/>
        <w:rPr>
          <w:rFonts w:cs="宋体"/>
          <w:kern w:val="0"/>
        </w:rPr>
      </w:pPr>
      <w:r>
        <w:rPr>
          <w:rFonts w:hint="eastAsia"/>
        </w:rPr>
        <w:t>投标人负责所有电气设备及附属部件、主辅材等安装、调试、单机试运行，联动运行及技术服务、保修等。</w:t>
      </w:r>
      <w:bookmarkEnd w:id="151"/>
      <w:bookmarkEnd w:id="152"/>
      <w:bookmarkEnd w:id="153"/>
    </w:p>
    <w:p w14:paraId="289CF381">
      <w:pPr>
        <w:pStyle w:val="2"/>
      </w:pPr>
      <w:bookmarkStart w:id="154" w:name="_Toc7990"/>
      <w:bookmarkStart w:id="155" w:name="_Toc10816"/>
      <w:bookmarkStart w:id="156" w:name="_Toc27289"/>
      <w:r>
        <w:rPr>
          <w:rFonts w:hint="eastAsia"/>
          <w:lang w:val="zh-CN"/>
        </w:rPr>
        <w:t>五、</w:t>
      </w:r>
      <w:r>
        <w:rPr>
          <w:rFonts w:hint="eastAsia"/>
        </w:rPr>
        <w:t>电气设备技术要求</w:t>
      </w:r>
      <w:bookmarkEnd w:id="154"/>
      <w:bookmarkEnd w:id="155"/>
      <w:bookmarkEnd w:id="156"/>
    </w:p>
    <w:p w14:paraId="0984BDA3">
      <w:pPr>
        <w:pStyle w:val="5"/>
        <w:ind w:firstLine="480"/>
      </w:pPr>
      <w:r>
        <w:rPr>
          <w:rFonts w:hint="eastAsia"/>
        </w:rPr>
        <w:t>1.1 6kV变压器</w:t>
      </w:r>
    </w:p>
    <w:p w14:paraId="69D948B2">
      <w:pPr>
        <w:pStyle w:val="23"/>
        <w:ind w:firstLine="720"/>
        <w:rPr>
          <w:rFonts w:hint="default"/>
        </w:rPr>
      </w:pPr>
      <w:r>
        <w:rPr>
          <w:lang w:val="en-US"/>
        </w:rPr>
        <w:t>1.1</w:t>
      </w:r>
      <w:r>
        <w:t>.1</w:t>
      </w:r>
      <w:r>
        <w:rPr>
          <w:lang w:val="en-US"/>
        </w:rPr>
        <w:t xml:space="preserve"> </w:t>
      </w:r>
      <w:r>
        <w:t>本次技改原则上采用油浸式变压器。在6kV厂用变压器在安装条件不允许的情况下经甲方书面同意后采用干式变压器。</w:t>
      </w:r>
    </w:p>
    <w:p w14:paraId="1DE83A13">
      <w:pPr>
        <w:pStyle w:val="23"/>
        <w:ind w:firstLine="720"/>
        <w:rPr>
          <w:rFonts w:hint="default"/>
          <w:lang w:val="en-GB"/>
        </w:rPr>
      </w:pPr>
      <w:r>
        <w:rPr>
          <w:lang w:val="en-US"/>
        </w:rPr>
        <w:t>1.1</w:t>
      </w:r>
      <w:r>
        <w:t>.2</w:t>
      </w:r>
      <w:r>
        <w:rPr>
          <w:lang w:val="en-US"/>
        </w:rPr>
        <w:t xml:space="preserve"> </w:t>
      </w:r>
      <w:r>
        <w:rPr>
          <w:lang w:val="en-GB"/>
        </w:rPr>
        <w:t>变压器技术参数</w:t>
      </w:r>
    </w:p>
    <w:p w14:paraId="4382C2EE">
      <w:pPr>
        <w:pStyle w:val="23"/>
        <w:ind w:firstLine="720"/>
        <w:rPr>
          <w:rFonts w:hint="default"/>
          <w:bCs/>
          <w:lang w:val="en-GB"/>
        </w:rPr>
      </w:pPr>
      <w:r>
        <w:rPr>
          <w:lang w:val="en-GB"/>
        </w:rPr>
        <w:t>三相油浸式配电变压器具体参数：</w:t>
      </w:r>
    </w:p>
    <w:tbl>
      <w:tblPr>
        <w:tblStyle w:val="18"/>
        <w:tblW w:w="8545" w:type="dxa"/>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4980"/>
        <w:gridCol w:w="1962"/>
      </w:tblGrid>
      <w:tr w14:paraId="2409C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Borders>
              <w:tl2br w:val="nil"/>
              <w:tr2bl w:val="nil"/>
            </w:tcBorders>
            <w:vAlign w:val="center"/>
          </w:tcPr>
          <w:p w14:paraId="60DB8CC0">
            <w:pPr>
              <w:spacing w:line="400" w:lineRule="exact"/>
              <w:jc w:val="center"/>
              <w:rPr>
                <w:rFonts w:ascii="宋体" w:hAnsi="宋体" w:cs="宋体"/>
                <w:sz w:val="24"/>
                <w:lang w:val="en-GB"/>
              </w:rPr>
            </w:pPr>
            <w:r>
              <w:rPr>
                <w:rFonts w:hint="eastAsia" w:ascii="宋体" w:hAnsi="宋体" w:cs="宋体"/>
                <w:sz w:val="24"/>
                <w:lang w:val="en-GB"/>
              </w:rPr>
              <w:t>型号</w:t>
            </w:r>
          </w:p>
        </w:tc>
        <w:tc>
          <w:tcPr>
            <w:tcW w:w="4980" w:type="dxa"/>
            <w:tcBorders>
              <w:tl2br w:val="nil"/>
              <w:tr2bl w:val="nil"/>
            </w:tcBorders>
            <w:vAlign w:val="center"/>
          </w:tcPr>
          <w:p w14:paraId="1B29DC73">
            <w:pPr>
              <w:spacing w:line="400" w:lineRule="exact"/>
              <w:jc w:val="center"/>
              <w:rPr>
                <w:rFonts w:ascii="宋体" w:hAnsi="宋体" w:cs="宋体"/>
                <w:sz w:val="24"/>
                <w:lang w:val="en-GB"/>
              </w:rPr>
            </w:pPr>
            <w:r>
              <w:rPr>
                <w:rFonts w:hint="eastAsia" w:ascii="宋体" w:hAnsi="宋体" w:cs="宋体"/>
                <w:sz w:val="24"/>
                <w:lang w:val="en-GB"/>
              </w:rPr>
              <w:t>S</w:t>
            </w:r>
            <w:r>
              <w:rPr>
                <w:rFonts w:ascii="宋体" w:hAnsi="宋体" w:cs="宋体"/>
                <w:sz w:val="24"/>
                <w:lang w:val="en-GB"/>
              </w:rPr>
              <w:t>20</w:t>
            </w:r>
            <w:r>
              <w:rPr>
                <w:rFonts w:hint="eastAsia" w:ascii="宋体" w:hAnsi="宋体" w:cs="宋体"/>
                <w:sz w:val="24"/>
                <w:lang w:val="en-GB"/>
              </w:rPr>
              <w:t>系列以上   能耗二级及二级以上</w:t>
            </w:r>
          </w:p>
        </w:tc>
        <w:tc>
          <w:tcPr>
            <w:tcW w:w="1962" w:type="dxa"/>
            <w:tcBorders>
              <w:tl2br w:val="nil"/>
              <w:tr2bl w:val="nil"/>
            </w:tcBorders>
            <w:vAlign w:val="center"/>
          </w:tcPr>
          <w:p w14:paraId="394C25EB">
            <w:pPr>
              <w:spacing w:line="400" w:lineRule="exact"/>
              <w:jc w:val="center"/>
              <w:rPr>
                <w:rFonts w:ascii="宋体" w:hAnsi="宋体" w:cs="宋体"/>
                <w:sz w:val="24"/>
                <w:lang w:val="en-GB"/>
              </w:rPr>
            </w:pPr>
            <w:r>
              <w:rPr>
                <w:rFonts w:hint="eastAsia" w:ascii="宋体" w:hAnsi="宋体" w:cs="宋体"/>
                <w:sz w:val="24"/>
                <w:lang w:val="en-GB"/>
              </w:rPr>
              <w:t>备注</w:t>
            </w:r>
          </w:p>
        </w:tc>
      </w:tr>
      <w:tr w14:paraId="4260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Borders>
              <w:tl2br w:val="nil"/>
              <w:tr2bl w:val="nil"/>
            </w:tcBorders>
            <w:vAlign w:val="center"/>
          </w:tcPr>
          <w:p w14:paraId="254ECF08">
            <w:pPr>
              <w:spacing w:line="400" w:lineRule="exact"/>
              <w:jc w:val="center"/>
              <w:rPr>
                <w:rFonts w:ascii="宋体" w:hAnsi="宋体" w:cs="宋体"/>
                <w:sz w:val="24"/>
                <w:lang w:val="en-GB"/>
              </w:rPr>
            </w:pPr>
            <w:r>
              <w:rPr>
                <w:rFonts w:hint="eastAsia" w:ascii="宋体" w:hAnsi="宋体" w:cs="宋体"/>
                <w:sz w:val="24"/>
                <w:lang w:val="en-GB"/>
              </w:rPr>
              <w:t>名称</w:t>
            </w:r>
          </w:p>
        </w:tc>
        <w:tc>
          <w:tcPr>
            <w:tcW w:w="4980" w:type="dxa"/>
            <w:tcBorders>
              <w:tl2br w:val="nil"/>
              <w:tr2bl w:val="nil"/>
            </w:tcBorders>
            <w:vAlign w:val="center"/>
          </w:tcPr>
          <w:p w14:paraId="66F706BA">
            <w:pPr>
              <w:spacing w:line="400" w:lineRule="exact"/>
              <w:jc w:val="center"/>
              <w:rPr>
                <w:rFonts w:ascii="宋体" w:hAnsi="宋体" w:cs="宋体"/>
                <w:sz w:val="24"/>
                <w:lang w:val="en-GB"/>
              </w:rPr>
            </w:pPr>
            <w:r>
              <w:rPr>
                <w:rFonts w:hint="eastAsia" w:ascii="宋体" w:hAnsi="宋体" w:cs="宋体"/>
                <w:sz w:val="24"/>
                <w:lang w:val="en-GB"/>
              </w:rPr>
              <w:t>6.3kV三相无励磁调压变压器</w:t>
            </w:r>
          </w:p>
        </w:tc>
        <w:tc>
          <w:tcPr>
            <w:tcW w:w="1962" w:type="dxa"/>
            <w:vMerge w:val="restart"/>
            <w:tcBorders>
              <w:tl2br w:val="nil"/>
              <w:tr2bl w:val="nil"/>
            </w:tcBorders>
            <w:vAlign w:val="center"/>
          </w:tcPr>
          <w:p w14:paraId="4B9CA9E3">
            <w:pPr>
              <w:spacing w:line="400" w:lineRule="exact"/>
              <w:jc w:val="center"/>
              <w:rPr>
                <w:rFonts w:ascii="宋体" w:hAnsi="宋体" w:cs="宋体"/>
                <w:sz w:val="24"/>
                <w:lang w:val="en-GB"/>
              </w:rPr>
            </w:pPr>
            <w:r>
              <w:rPr>
                <w:rFonts w:hint="eastAsia" w:ascii="宋体" w:hAnsi="宋体" w:cs="宋体"/>
                <w:sz w:val="24"/>
                <w:lang w:val="en-GB"/>
              </w:rPr>
              <w:t>其余参数按国标要求执行</w:t>
            </w:r>
          </w:p>
        </w:tc>
      </w:tr>
      <w:tr w14:paraId="3464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Borders>
              <w:tl2br w:val="nil"/>
              <w:tr2bl w:val="nil"/>
            </w:tcBorders>
            <w:vAlign w:val="center"/>
          </w:tcPr>
          <w:p w14:paraId="7ABA65EB">
            <w:pPr>
              <w:spacing w:line="400" w:lineRule="exact"/>
              <w:jc w:val="center"/>
              <w:rPr>
                <w:rFonts w:ascii="宋体" w:hAnsi="宋体" w:cs="宋体"/>
                <w:sz w:val="24"/>
                <w:lang w:val="en-GB"/>
              </w:rPr>
            </w:pPr>
            <w:r>
              <w:rPr>
                <w:rFonts w:hint="eastAsia" w:ascii="宋体" w:hAnsi="宋体" w:cs="宋体"/>
                <w:sz w:val="24"/>
                <w:lang w:val="en-GB"/>
              </w:rPr>
              <w:t>额定容量</w:t>
            </w:r>
          </w:p>
        </w:tc>
        <w:tc>
          <w:tcPr>
            <w:tcW w:w="4980" w:type="dxa"/>
            <w:tcBorders>
              <w:tl2br w:val="nil"/>
              <w:tr2bl w:val="nil"/>
            </w:tcBorders>
            <w:vAlign w:val="center"/>
          </w:tcPr>
          <w:p w14:paraId="29453BDD">
            <w:pPr>
              <w:spacing w:line="400" w:lineRule="exact"/>
              <w:jc w:val="center"/>
              <w:rPr>
                <w:rFonts w:ascii="宋体" w:hAnsi="宋体" w:cs="宋体"/>
                <w:sz w:val="24"/>
                <w:lang w:val="en-GB"/>
              </w:rPr>
            </w:pPr>
            <w:r>
              <w:rPr>
                <w:rFonts w:hint="eastAsia" w:ascii="宋体" w:hAnsi="宋体" w:cs="宋体"/>
                <w:sz w:val="24"/>
                <w:lang w:val="en-GB"/>
              </w:rPr>
              <w:t>按设计</w:t>
            </w:r>
          </w:p>
        </w:tc>
        <w:tc>
          <w:tcPr>
            <w:tcW w:w="1962" w:type="dxa"/>
            <w:vMerge w:val="continue"/>
            <w:tcBorders>
              <w:tl2br w:val="nil"/>
              <w:tr2bl w:val="nil"/>
            </w:tcBorders>
            <w:vAlign w:val="center"/>
          </w:tcPr>
          <w:p w14:paraId="07248B9C">
            <w:pPr>
              <w:spacing w:line="400" w:lineRule="exact"/>
              <w:jc w:val="left"/>
              <w:rPr>
                <w:rFonts w:ascii="宋体" w:hAnsi="宋体" w:cs="宋体"/>
                <w:sz w:val="24"/>
                <w:lang w:val="en-GB"/>
              </w:rPr>
            </w:pPr>
          </w:p>
        </w:tc>
      </w:tr>
      <w:tr w14:paraId="3C1E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Borders>
              <w:tl2br w:val="nil"/>
              <w:tr2bl w:val="nil"/>
            </w:tcBorders>
            <w:vAlign w:val="center"/>
          </w:tcPr>
          <w:p w14:paraId="7B07E35A">
            <w:pPr>
              <w:spacing w:line="400" w:lineRule="exact"/>
              <w:jc w:val="center"/>
              <w:rPr>
                <w:rFonts w:ascii="宋体" w:hAnsi="宋体" w:cs="宋体"/>
                <w:sz w:val="24"/>
                <w:lang w:val="en-GB"/>
              </w:rPr>
            </w:pPr>
            <w:r>
              <w:rPr>
                <w:rFonts w:hint="eastAsia" w:ascii="宋体" w:hAnsi="宋体" w:cs="宋体"/>
                <w:sz w:val="24"/>
                <w:lang w:val="en-GB"/>
              </w:rPr>
              <w:t>额定电压</w:t>
            </w:r>
          </w:p>
        </w:tc>
        <w:tc>
          <w:tcPr>
            <w:tcW w:w="4980" w:type="dxa"/>
            <w:tcBorders>
              <w:tl2br w:val="nil"/>
              <w:tr2bl w:val="nil"/>
            </w:tcBorders>
            <w:vAlign w:val="center"/>
          </w:tcPr>
          <w:p w14:paraId="4D51DB1F">
            <w:pPr>
              <w:spacing w:line="400" w:lineRule="exact"/>
              <w:jc w:val="center"/>
              <w:rPr>
                <w:rFonts w:ascii="宋体" w:hAnsi="宋体" w:cs="宋体"/>
                <w:sz w:val="24"/>
                <w:lang w:val="en-GB"/>
              </w:rPr>
            </w:pPr>
            <w:r>
              <w:rPr>
                <w:rFonts w:hint="eastAsia" w:ascii="宋体" w:hAnsi="宋体" w:cs="宋体"/>
                <w:sz w:val="24"/>
                <w:lang w:val="en-GB"/>
              </w:rPr>
              <w:t>6.3±2×2.5%/0.4kV或6.3±2×2.5%/0.69kV</w:t>
            </w:r>
          </w:p>
        </w:tc>
        <w:tc>
          <w:tcPr>
            <w:tcW w:w="1962" w:type="dxa"/>
            <w:vMerge w:val="continue"/>
            <w:tcBorders>
              <w:tl2br w:val="nil"/>
              <w:tr2bl w:val="nil"/>
            </w:tcBorders>
            <w:vAlign w:val="center"/>
          </w:tcPr>
          <w:p w14:paraId="32ECBFBF">
            <w:pPr>
              <w:spacing w:line="400" w:lineRule="exact"/>
              <w:jc w:val="left"/>
              <w:rPr>
                <w:rFonts w:ascii="宋体" w:hAnsi="宋体" w:cs="宋体"/>
                <w:sz w:val="24"/>
                <w:lang w:val="en-GB"/>
              </w:rPr>
            </w:pPr>
          </w:p>
        </w:tc>
      </w:tr>
      <w:tr w14:paraId="00B46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3" w:type="dxa"/>
            <w:tcBorders>
              <w:tl2br w:val="nil"/>
              <w:tr2bl w:val="nil"/>
            </w:tcBorders>
            <w:vAlign w:val="center"/>
          </w:tcPr>
          <w:p w14:paraId="3B445711">
            <w:pPr>
              <w:spacing w:line="400" w:lineRule="exact"/>
              <w:jc w:val="center"/>
              <w:rPr>
                <w:rFonts w:ascii="宋体" w:hAnsi="宋体" w:cs="宋体"/>
                <w:sz w:val="24"/>
                <w:lang w:val="en-GB"/>
              </w:rPr>
            </w:pPr>
            <w:r>
              <w:rPr>
                <w:rFonts w:hint="eastAsia" w:ascii="宋体" w:hAnsi="宋体" w:cs="宋体"/>
                <w:sz w:val="24"/>
                <w:lang w:val="en-GB"/>
              </w:rPr>
              <w:t>阻抗电压</w:t>
            </w:r>
          </w:p>
        </w:tc>
        <w:tc>
          <w:tcPr>
            <w:tcW w:w="4980" w:type="dxa"/>
            <w:tcBorders>
              <w:tl2br w:val="nil"/>
              <w:tr2bl w:val="nil"/>
            </w:tcBorders>
            <w:vAlign w:val="center"/>
          </w:tcPr>
          <w:p w14:paraId="0AACAA86">
            <w:pPr>
              <w:spacing w:line="400" w:lineRule="exact"/>
              <w:jc w:val="center"/>
              <w:rPr>
                <w:rFonts w:ascii="宋体" w:hAnsi="宋体" w:cs="宋体"/>
                <w:sz w:val="24"/>
                <w:lang w:val="en-GB"/>
              </w:rPr>
            </w:pPr>
            <w:r>
              <w:rPr>
                <w:rFonts w:hint="eastAsia" w:ascii="宋体" w:hAnsi="宋体" w:cs="宋体"/>
                <w:sz w:val="24"/>
                <w:lang w:val="en-GB"/>
              </w:rPr>
              <w:t>按设计</w:t>
            </w:r>
          </w:p>
        </w:tc>
        <w:tc>
          <w:tcPr>
            <w:tcW w:w="1962" w:type="dxa"/>
            <w:vMerge w:val="continue"/>
            <w:tcBorders>
              <w:tl2br w:val="nil"/>
              <w:tr2bl w:val="nil"/>
            </w:tcBorders>
            <w:vAlign w:val="center"/>
          </w:tcPr>
          <w:p w14:paraId="3E151E07">
            <w:pPr>
              <w:spacing w:line="400" w:lineRule="exact"/>
              <w:jc w:val="left"/>
              <w:rPr>
                <w:rFonts w:ascii="宋体" w:hAnsi="宋体" w:cs="宋体"/>
                <w:sz w:val="24"/>
                <w:lang w:val="en-GB"/>
              </w:rPr>
            </w:pPr>
          </w:p>
        </w:tc>
      </w:tr>
      <w:tr w14:paraId="4771A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603" w:type="dxa"/>
            <w:tcBorders>
              <w:tl2br w:val="nil"/>
              <w:tr2bl w:val="nil"/>
            </w:tcBorders>
            <w:vAlign w:val="center"/>
          </w:tcPr>
          <w:p w14:paraId="20277A41">
            <w:pPr>
              <w:spacing w:line="400" w:lineRule="exact"/>
              <w:jc w:val="center"/>
              <w:rPr>
                <w:rFonts w:ascii="宋体" w:hAnsi="宋体" w:cs="宋体"/>
                <w:sz w:val="24"/>
                <w:lang w:val="en-GB"/>
              </w:rPr>
            </w:pPr>
            <w:r>
              <w:rPr>
                <w:rFonts w:hint="eastAsia" w:ascii="宋体" w:hAnsi="宋体" w:cs="宋体"/>
                <w:sz w:val="24"/>
                <w:lang w:val="en-GB"/>
              </w:rPr>
              <w:t>联接组别</w:t>
            </w:r>
          </w:p>
        </w:tc>
        <w:tc>
          <w:tcPr>
            <w:tcW w:w="4980" w:type="dxa"/>
            <w:tcBorders>
              <w:tl2br w:val="nil"/>
              <w:tr2bl w:val="nil"/>
            </w:tcBorders>
            <w:vAlign w:val="center"/>
          </w:tcPr>
          <w:p w14:paraId="7DF7CAE4">
            <w:pPr>
              <w:spacing w:line="400" w:lineRule="exact"/>
              <w:jc w:val="center"/>
              <w:rPr>
                <w:rFonts w:ascii="宋体" w:hAnsi="宋体" w:cs="宋体"/>
                <w:sz w:val="24"/>
                <w:lang w:val="en-GB"/>
              </w:rPr>
            </w:pPr>
            <w:r>
              <w:rPr>
                <w:rFonts w:hint="eastAsia" w:ascii="宋体" w:hAnsi="宋体" w:cs="宋体"/>
                <w:sz w:val="24"/>
                <w:lang w:val="en-GB"/>
              </w:rPr>
              <w:t>D/yn-11</w:t>
            </w:r>
          </w:p>
        </w:tc>
        <w:tc>
          <w:tcPr>
            <w:tcW w:w="1962" w:type="dxa"/>
            <w:vMerge w:val="continue"/>
            <w:tcBorders>
              <w:tl2br w:val="nil"/>
              <w:tr2bl w:val="nil"/>
            </w:tcBorders>
            <w:vAlign w:val="center"/>
          </w:tcPr>
          <w:p w14:paraId="7EDC649F">
            <w:pPr>
              <w:spacing w:line="400" w:lineRule="exact"/>
              <w:jc w:val="left"/>
              <w:rPr>
                <w:rFonts w:ascii="宋体" w:hAnsi="宋体" w:cs="宋体"/>
                <w:sz w:val="24"/>
                <w:lang w:val="en-GB"/>
              </w:rPr>
            </w:pPr>
          </w:p>
        </w:tc>
      </w:tr>
      <w:tr w14:paraId="18EF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603" w:type="dxa"/>
            <w:tcBorders>
              <w:tl2br w:val="nil"/>
              <w:tr2bl w:val="nil"/>
            </w:tcBorders>
            <w:vAlign w:val="center"/>
          </w:tcPr>
          <w:p w14:paraId="7E86C3B8">
            <w:pPr>
              <w:spacing w:line="400" w:lineRule="exact"/>
              <w:jc w:val="center"/>
              <w:rPr>
                <w:rFonts w:ascii="宋体" w:hAnsi="宋体" w:cs="宋体"/>
                <w:sz w:val="24"/>
                <w:lang w:val="en-GB"/>
              </w:rPr>
            </w:pPr>
            <w:r>
              <w:rPr>
                <w:rFonts w:hint="eastAsia" w:ascii="宋体" w:hAnsi="宋体" w:cs="宋体"/>
                <w:sz w:val="24"/>
                <w:lang w:val="en-GB"/>
              </w:rPr>
              <w:t>调压方式</w:t>
            </w:r>
          </w:p>
        </w:tc>
        <w:tc>
          <w:tcPr>
            <w:tcW w:w="4980" w:type="dxa"/>
            <w:tcBorders>
              <w:tl2br w:val="nil"/>
              <w:tr2bl w:val="nil"/>
            </w:tcBorders>
            <w:vAlign w:val="center"/>
          </w:tcPr>
          <w:p w14:paraId="284A82D7">
            <w:pPr>
              <w:spacing w:line="400" w:lineRule="exact"/>
              <w:jc w:val="center"/>
              <w:rPr>
                <w:rFonts w:ascii="宋体" w:hAnsi="宋体" w:cs="宋体"/>
                <w:sz w:val="24"/>
                <w:lang w:val="en-GB"/>
              </w:rPr>
            </w:pPr>
            <w:r>
              <w:rPr>
                <w:rFonts w:hint="eastAsia" w:ascii="宋体" w:hAnsi="宋体" w:cs="宋体"/>
                <w:sz w:val="24"/>
                <w:lang w:val="en-GB"/>
              </w:rPr>
              <w:t>无励磁调压</w:t>
            </w:r>
          </w:p>
        </w:tc>
        <w:tc>
          <w:tcPr>
            <w:tcW w:w="1962" w:type="dxa"/>
            <w:vMerge w:val="continue"/>
            <w:tcBorders>
              <w:tl2br w:val="nil"/>
              <w:tr2bl w:val="nil"/>
            </w:tcBorders>
            <w:vAlign w:val="center"/>
          </w:tcPr>
          <w:p w14:paraId="4FD1C7EA">
            <w:pPr>
              <w:spacing w:line="400" w:lineRule="exact"/>
              <w:jc w:val="left"/>
              <w:rPr>
                <w:rFonts w:ascii="宋体" w:hAnsi="宋体" w:cs="宋体"/>
                <w:sz w:val="24"/>
                <w:lang w:val="en-GB"/>
              </w:rPr>
            </w:pPr>
          </w:p>
        </w:tc>
      </w:tr>
      <w:tr w14:paraId="00E8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603" w:type="dxa"/>
            <w:tcBorders>
              <w:tl2br w:val="nil"/>
              <w:tr2bl w:val="nil"/>
            </w:tcBorders>
            <w:vAlign w:val="center"/>
          </w:tcPr>
          <w:p w14:paraId="3A70954E">
            <w:pPr>
              <w:spacing w:line="400" w:lineRule="exact"/>
              <w:jc w:val="center"/>
              <w:rPr>
                <w:rFonts w:ascii="宋体" w:hAnsi="宋体" w:cs="宋体"/>
                <w:sz w:val="24"/>
                <w:lang w:val="en-GB"/>
              </w:rPr>
            </w:pPr>
            <w:r>
              <w:rPr>
                <w:rFonts w:hint="eastAsia" w:ascii="宋体" w:hAnsi="宋体" w:cs="宋体"/>
                <w:sz w:val="24"/>
                <w:lang w:val="en-GB"/>
              </w:rPr>
              <w:t>冷却方式</w:t>
            </w:r>
          </w:p>
        </w:tc>
        <w:tc>
          <w:tcPr>
            <w:tcW w:w="4980" w:type="dxa"/>
            <w:tcBorders>
              <w:tl2br w:val="nil"/>
              <w:tr2bl w:val="nil"/>
            </w:tcBorders>
            <w:vAlign w:val="center"/>
          </w:tcPr>
          <w:p w14:paraId="2F7E4061">
            <w:pPr>
              <w:spacing w:line="400" w:lineRule="exact"/>
              <w:jc w:val="center"/>
              <w:rPr>
                <w:rFonts w:ascii="宋体" w:hAnsi="宋体" w:cs="宋体"/>
                <w:sz w:val="24"/>
                <w:lang w:val="en-GB"/>
              </w:rPr>
            </w:pPr>
            <w:r>
              <w:rPr>
                <w:rFonts w:hint="eastAsia" w:ascii="宋体" w:hAnsi="宋体" w:cs="宋体"/>
                <w:sz w:val="24"/>
                <w:lang w:val="en-GB"/>
              </w:rPr>
              <w:t>油浸自冷</w:t>
            </w:r>
          </w:p>
        </w:tc>
        <w:tc>
          <w:tcPr>
            <w:tcW w:w="1962" w:type="dxa"/>
            <w:vMerge w:val="continue"/>
            <w:tcBorders>
              <w:tl2br w:val="nil"/>
              <w:tr2bl w:val="nil"/>
            </w:tcBorders>
            <w:vAlign w:val="center"/>
          </w:tcPr>
          <w:p w14:paraId="71F265EC">
            <w:pPr>
              <w:spacing w:line="400" w:lineRule="exact"/>
              <w:jc w:val="left"/>
              <w:rPr>
                <w:rFonts w:ascii="宋体" w:hAnsi="宋体" w:cs="宋体"/>
                <w:sz w:val="24"/>
                <w:lang w:val="en-GB"/>
              </w:rPr>
            </w:pPr>
          </w:p>
        </w:tc>
      </w:tr>
    </w:tbl>
    <w:p w14:paraId="3E7CB388">
      <w:pPr>
        <w:pStyle w:val="23"/>
        <w:ind w:firstLine="720"/>
        <w:rPr>
          <w:rFonts w:hint="default"/>
          <w:lang w:val="en-GB"/>
        </w:rPr>
      </w:pPr>
      <w:r>
        <w:rPr>
          <w:lang w:val="en-US"/>
        </w:rPr>
        <w:t>1.1</w:t>
      </w:r>
      <w:r>
        <w:t xml:space="preserve">.3 </w:t>
      </w:r>
      <w:r>
        <w:rPr>
          <w:lang w:val="en-GB"/>
        </w:rPr>
        <w:t>结构要求</w:t>
      </w:r>
    </w:p>
    <w:p w14:paraId="5E4DA23C">
      <w:pPr>
        <w:pStyle w:val="32"/>
        <w:ind w:firstLine="720" w:firstLineChars="300"/>
        <w:rPr>
          <w:rFonts w:hint="default"/>
          <w:lang w:val="en-GB"/>
        </w:rPr>
      </w:pPr>
      <w:r>
        <w:rPr>
          <w:lang w:val="en-US"/>
        </w:rPr>
        <w:t>1.1</w:t>
      </w:r>
      <w:r>
        <w:t>.3.1</w:t>
      </w:r>
      <w:r>
        <w:rPr>
          <w:lang w:val="en-US"/>
        </w:rPr>
        <w:t xml:space="preserve"> </w:t>
      </w:r>
      <w:r>
        <w:rPr>
          <w:lang w:val="en-GB"/>
        </w:rPr>
        <w:t>选用高质量冷轧硅钢片。</w:t>
      </w:r>
    </w:p>
    <w:p w14:paraId="38083446">
      <w:pPr>
        <w:pStyle w:val="32"/>
        <w:ind w:firstLine="960"/>
        <w:rPr>
          <w:rFonts w:hint="default"/>
          <w:lang w:val="en-GB"/>
        </w:rPr>
      </w:pPr>
      <w:r>
        <w:rPr>
          <w:lang w:val="en-US"/>
        </w:rPr>
        <w:t>1.1</w:t>
      </w:r>
      <w:r>
        <w:t>.3.2</w:t>
      </w:r>
      <w:r>
        <w:rPr>
          <w:lang w:val="en-US"/>
        </w:rPr>
        <w:t xml:space="preserve"> </w:t>
      </w:r>
      <w:r>
        <w:rPr>
          <w:lang w:val="en-GB"/>
        </w:rPr>
        <w:t>低压线圈采用</w:t>
      </w:r>
      <w:r>
        <w:t>优质无氧铜导线绕制，纯度大于99.95%。</w:t>
      </w:r>
    </w:p>
    <w:p w14:paraId="74AA6441">
      <w:pPr>
        <w:pStyle w:val="23"/>
        <w:ind w:firstLine="960" w:firstLineChars="400"/>
        <w:rPr>
          <w:rFonts w:hint="default"/>
          <w:lang w:val="en-GB"/>
        </w:rPr>
      </w:pPr>
      <w:r>
        <w:rPr>
          <w:lang w:val="en-US"/>
        </w:rPr>
        <w:t>1.1</w:t>
      </w:r>
      <w:r>
        <w:t xml:space="preserve">.4 </w:t>
      </w:r>
      <w:r>
        <w:rPr>
          <w:lang w:val="en-GB"/>
        </w:rPr>
        <w:t>变压器承受短路能力</w:t>
      </w:r>
    </w:p>
    <w:p w14:paraId="7560E577">
      <w:pPr>
        <w:pStyle w:val="32"/>
        <w:ind w:firstLine="960"/>
        <w:rPr>
          <w:rFonts w:hint="default"/>
          <w:lang w:val="en-GB"/>
        </w:rPr>
      </w:pPr>
      <w:r>
        <w:rPr>
          <w:lang w:val="en-US"/>
        </w:rPr>
        <w:t>1.1</w:t>
      </w:r>
      <w:r>
        <w:t>.4.1</w:t>
      </w:r>
      <w:r>
        <w:rPr>
          <w:lang w:val="en-US"/>
        </w:rPr>
        <w:t xml:space="preserve"> </w:t>
      </w:r>
      <w:r>
        <w:rPr>
          <w:lang w:val="en-GB"/>
        </w:rPr>
        <w:t>在任何分接位置上，应能持续承受2S时间的外部短路耐热能力电流，并且其绕组温度不超过250℃（铜）。</w:t>
      </w:r>
    </w:p>
    <w:p w14:paraId="68F53789">
      <w:pPr>
        <w:pStyle w:val="32"/>
        <w:ind w:firstLine="960"/>
        <w:rPr>
          <w:rFonts w:hint="default"/>
          <w:lang w:val="en-GB"/>
        </w:rPr>
      </w:pPr>
      <w:r>
        <w:rPr>
          <w:lang w:val="en-US"/>
        </w:rPr>
        <w:t>1.1</w:t>
      </w:r>
      <w:r>
        <w:t>.4.2</w:t>
      </w:r>
      <w:r>
        <w:rPr>
          <w:lang w:val="en-US"/>
        </w:rPr>
        <w:t xml:space="preserve"> </w:t>
      </w:r>
      <w:r>
        <w:rPr>
          <w:lang w:val="en-GB"/>
        </w:rPr>
        <w:t>短路的动稳定能力:变压器运行在任何分接位置上，应能承受国家标准GB1094.5-2003所规定的短路试验电流值而不损坏或位移。</w:t>
      </w:r>
    </w:p>
    <w:p w14:paraId="42112D69">
      <w:pPr>
        <w:pStyle w:val="23"/>
        <w:ind w:firstLine="960" w:firstLineChars="400"/>
        <w:rPr>
          <w:rFonts w:hint="default"/>
          <w:lang w:val="en-GB"/>
        </w:rPr>
      </w:pPr>
      <w:r>
        <w:rPr>
          <w:lang w:val="en-US"/>
        </w:rPr>
        <w:t>1.1</w:t>
      </w:r>
      <w:r>
        <w:t>.5</w:t>
      </w:r>
      <w:r>
        <w:rPr>
          <w:lang w:val="en-US"/>
        </w:rPr>
        <w:t xml:space="preserve"> </w:t>
      </w:r>
      <w:r>
        <w:rPr>
          <w:lang w:val="en-GB"/>
        </w:rPr>
        <w:t>负载能力：变压器能满足GB/T15164油浸式电力变压器负载导则规定的过负载能力。</w:t>
      </w:r>
    </w:p>
    <w:p w14:paraId="0C8D7160">
      <w:pPr>
        <w:pStyle w:val="23"/>
        <w:ind w:firstLine="960" w:firstLineChars="400"/>
        <w:rPr>
          <w:rFonts w:hint="default"/>
          <w:lang w:val="en-GB"/>
        </w:rPr>
      </w:pPr>
      <w:r>
        <w:rPr>
          <w:lang w:val="en-US"/>
        </w:rPr>
        <w:t>1.1</w:t>
      </w:r>
      <w:r>
        <w:t>.6</w:t>
      </w:r>
      <w:r>
        <w:rPr>
          <w:lang w:val="en-US"/>
        </w:rPr>
        <w:t xml:space="preserve"> </w:t>
      </w:r>
      <w:r>
        <w:rPr>
          <w:lang w:val="en-GB"/>
        </w:rPr>
        <w:t>高低压引线全部采用软连接，分接引线与无激磁分接开关之间采用冷压焊接，所有紧固部分带有自锁防松螺母。变压器高低压侧采用电缆连接。</w:t>
      </w:r>
    </w:p>
    <w:p w14:paraId="6BF9F8E7">
      <w:pPr>
        <w:pStyle w:val="23"/>
        <w:ind w:firstLine="960" w:firstLineChars="400"/>
        <w:rPr>
          <w:rFonts w:hint="default"/>
        </w:rPr>
      </w:pPr>
      <w:r>
        <w:rPr>
          <w:lang w:val="en-US"/>
        </w:rPr>
        <w:t>1.1</w:t>
      </w:r>
      <w:r>
        <w:t>.7</w:t>
      </w:r>
      <w:r>
        <w:rPr>
          <w:lang w:val="en-US"/>
        </w:rPr>
        <w:t xml:space="preserve"> </w:t>
      </w:r>
      <w:r>
        <w:rPr>
          <w:lang w:val="en-GB"/>
        </w:rPr>
        <w:t>设置变压器室、变压器室设置通风机。</w:t>
      </w:r>
    </w:p>
    <w:p w14:paraId="47D0722A">
      <w:pPr>
        <w:pStyle w:val="23"/>
        <w:ind w:firstLine="960" w:firstLineChars="400"/>
        <w:rPr>
          <w:rFonts w:hint="default"/>
        </w:rPr>
      </w:pPr>
      <w:r>
        <w:rPr>
          <w:lang w:val="en-US"/>
        </w:rPr>
        <w:t>1.1</w:t>
      </w:r>
      <w:r>
        <w:t>.8 产品的设计和材料的选用</w:t>
      </w:r>
      <w:r>
        <w:rPr>
          <w:lang w:val="en-US"/>
        </w:rPr>
        <w:t>年限</w:t>
      </w:r>
      <w:r>
        <w:t>达到20年（除电子元器件不小于10年外）。</w:t>
      </w:r>
    </w:p>
    <w:p w14:paraId="3A6AFB6D">
      <w:pPr>
        <w:pStyle w:val="23"/>
        <w:ind w:firstLine="960" w:firstLineChars="400"/>
        <w:rPr>
          <w:rFonts w:hint="default"/>
        </w:rPr>
      </w:pPr>
      <w:r>
        <w:rPr>
          <w:lang w:val="en-US"/>
        </w:rPr>
        <w:t>1.1</w:t>
      </w:r>
      <w:r>
        <w:t>.9 变压器温度显示采用数显智能型，并上传至电力自动化监控系统。</w:t>
      </w:r>
    </w:p>
    <w:p w14:paraId="195FF799">
      <w:pPr>
        <w:pStyle w:val="23"/>
        <w:ind w:firstLine="960" w:firstLineChars="400"/>
        <w:rPr>
          <w:rFonts w:hint="default"/>
        </w:rPr>
      </w:pPr>
      <w:r>
        <w:t>1</w:t>
      </w:r>
      <w:r>
        <w:rPr>
          <w:rFonts w:hint="default"/>
        </w:rPr>
        <w:t>.</w:t>
      </w:r>
      <w:r>
        <w:rPr>
          <w:lang w:val="en-US"/>
        </w:rPr>
        <w:t>1</w:t>
      </w:r>
      <w:r>
        <w:rPr>
          <w:rFonts w:hint="default"/>
        </w:rPr>
        <w:t xml:space="preserve">.10 </w:t>
      </w:r>
      <w:r>
        <w:t>变压器油选用</w:t>
      </w:r>
      <w:r>
        <w:rPr>
          <w:rFonts w:hint="default"/>
        </w:rPr>
        <w:t>25</w:t>
      </w:r>
      <w:r>
        <w:rPr>
          <w:vertAlign w:val="superscript"/>
        </w:rPr>
        <w:t>#</w:t>
      </w:r>
      <w:r>
        <w:t>。</w:t>
      </w:r>
    </w:p>
    <w:p w14:paraId="37430B33">
      <w:pPr>
        <w:pStyle w:val="23"/>
        <w:ind w:firstLine="960" w:firstLineChars="400"/>
        <w:rPr>
          <w:rFonts w:hint="default"/>
        </w:rPr>
      </w:pPr>
      <w:r>
        <w:rPr>
          <w:lang w:val="en-US"/>
        </w:rPr>
        <w:t>1.1</w:t>
      </w:r>
      <w:r>
        <w:t>.1</w:t>
      </w:r>
      <w:r>
        <w:rPr>
          <w:rFonts w:hint="default"/>
        </w:rPr>
        <w:t>1</w:t>
      </w:r>
      <w:r>
        <w:rPr>
          <w:lang w:val="en-US"/>
        </w:rPr>
        <w:t xml:space="preserve"> </w:t>
      </w:r>
      <w:r>
        <w:t>试验</w:t>
      </w:r>
    </w:p>
    <w:p w14:paraId="27D0591A">
      <w:pPr>
        <w:pStyle w:val="32"/>
        <w:ind w:firstLine="960"/>
        <w:rPr>
          <w:rFonts w:hint="default"/>
        </w:rPr>
      </w:pPr>
      <w:r>
        <w:t>变压器出厂前应按GB1094.15、GB 311.1～6、GB/T6451-1995及国家现行有关规定进行型式试验、出厂试验，并向招标方提供试验报告。制造过程中的关键工序及试验，投标方应提供具体试验项目内容及试验报告。</w:t>
      </w:r>
    </w:p>
    <w:p w14:paraId="37AC587D">
      <w:pPr>
        <w:spacing w:line="400" w:lineRule="exact"/>
        <w:ind w:firstLine="480" w:firstLineChars="200"/>
        <w:rPr>
          <w:rFonts w:ascii="宋体" w:hAnsi="宋体"/>
          <w:sz w:val="24"/>
        </w:rPr>
      </w:pPr>
    </w:p>
    <w:p w14:paraId="7049FDE3">
      <w:pPr>
        <w:pStyle w:val="3"/>
        <w:numPr>
          <w:ilvl w:val="0"/>
          <w:numId w:val="5"/>
        </w:numPr>
        <w:spacing w:before="156" w:after="156"/>
        <w:ind w:firstLine="281"/>
      </w:pPr>
      <w:bookmarkStart w:id="157" w:name="_Toc13831"/>
      <w:bookmarkStart w:id="158" w:name="_Toc30000"/>
      <w:bookmarkStart w:id="159" w:name="_Toc607"/>
      <w:r>
        <w:rPr>
          <w:rFonts w:hint="eastAsia"/>
        </w:rPr>
        <w:t>电动机</w:t>
      </w:r>
      <w:bookmarkEnd w:id="157"/>
      <w:bookmarkEnd w:id="158"/>
      <w:bookmarkEnd w:id="159"/>
    </w:p>
    <w:p w14:paraId="5551A8FE">
      <w:pPr>
        <w:pStyle w:val="5"/>
        <w:ind w:firstLine="480"/>
      </w:pPr>
      <w:r>
        <w:rPr>
          <w:rFonts w:hint="eastAsia"/>
        </w:rPr>
        <w:t>2.1 电机须采用二级能效标准，选用最新型节能型电机（YE</w:t>
      </w:r>
      <w:r>
        <w:t>4</w:t>
      </w:r>
      <w:r>
        <w:rPr>
          <w:rFonts w:hint="eastAsia"/>
        </w:rPr>
        <w:t>以上系列型号）。</w:t>
      </w:r>
    </w:p>
    <w:p w14:paraId="14C71ABE">
      <w:pPr>
        <w:pStyle w:val="5"/>
        <w:ind w:firstLine="480"/>
      </w:pPr>
      <w:r>
        <w:rPr>
          <w:rFonts w:hint="eastAsia"/>
        </w:rPr>
        <w:t>2.2 电动机应具有F级绝缘，但其温升不得超过B级绝缘规定的温升值。</w:t>
      </w:r>
    </w:p>
    <w:p w14:paraId="18BD1FA5">
      <w:pPr>
        <w:pStyle w:val="5"/>
        <w:ind w:firstLine="480"/>
      </w:pPr>
      <w:r>
        <w:rPr>
          <w:rFonts w:hint="eastAsia"/>
        </w:rPr>
        <w:t>2.3 室外污秽等级为Ⅳ级，电动机采用卧式（或立式）结构，室外安装时其安装等级不低于IP55级，室内安装时外壳防护等级不低于IP54级。</w:t>
      </w:r>
    </w:p>
    <w:p w14:paraId="3A2B0CB9">
      <w:pPr>
        <w:pStyle w:val="5"/>
        <w:ind w:firstLine="480"/>
      </w:pPr>
      <w:r>
        <w:rPr>
          <w:rFonts w:hint="eastAsia"/>
        </w:rPr>
        <w:t>2.4 电动机的轴承和结构应能排除尘垢和水份的入侵，并防止润滑剂到达电机的绕组。</w:t>
      </w:r>
    </w:p>
    <w:p w14:paraId="23F29814">
      <w:pPr>
        <w:pStyle w:val="5"/>
        <w:ind w:firstLine="480"/>
      </w:pPr>
      <w:r>
        <w:rPr>
          <w:rFonts w:hint="eastAsia"/>
        </w:rPr>
        <w:t>2.5 电机绕组材料采用无氧铜材，纯度＞99.9%。</w:t>
      </w:r>
    </w:p>
    <w:p w14:paraId="63643EE6">
      <w:pPr>
        <w:pStyle w:val="5"/>
        <w:ind w:firstLine="480"/>
      </w:pPr>
      <w:r>
        <w:rPr>
          <w:rFonts w:hint="eastAsia"/>
        </w:rPr>
        <w:t>2.6 大于等于22kW以上低压异步电动机带轴承加油孔。250kW及其以上电机及工艺有要求时，轴承均埋设Pt100测温元件各1个，每个轴承振动元件设2个，电机绕组埋设Pt100测温元件，每相2个，共6个。信号进入DCS监控。</w:t>
      </w:r>
    </w:p>
    <w:p w14:paraId="368D6D69">
      <w:pPr>
        <w:pStyle w:val="5"/>
        <w:ind w:firstLine="480"/>
      </w:pPr>
      <w:r>
        <w:rPr>
          <w:rFonts w:hint="eastAsia"/>
        </w:rPr>
        <w:t>2.7 采用低压变频器控制的电机采用变频电机，变频电机绕组采用变频导线，非传动端轴承采用绝缘轴承。</w:t>
      </w:r>
    </w:p>
    <w:p w14:paraId="20A82F0B">
      <w:pPr>
        <w:pStyle w:val="5"/>
        <w:ind w:firstLine="480"/>
      </w:pPr>
      <w:r>
        <w:rPr>
          <w:rFonts w:hint="eastAsia"/>
        </w:rPr>
        <w:t>2.8 6kV电机要求有加热器。</w:t>
      </w:r>
    </w:p>
    <w:p w14:paraId="2159710C">
      <w:pPr>
        <w:pStyle w:val="5"/>
        <w:ind w:firstLine="480"/>
      </w:pPr>
      <w:r>
        <w:rPr>
          <w:rFonts w:hint="eastAsia"/>
        </w:rPr>
        <w:t xml:space="preserve">2.9 </w:t>
      </w:r>
      <w:r>
        <w:rPr>
          <w:rFonts w:hint="eastAsia"/>
          <w:lang w:val="zh-CN"/>
        </w:rPr>
        <w:t>高压电动机冷却方式：空-空方式、</w:t>
      </w:r>
      <w:r>
        <w:rPr>
          <w:rFonts w:hint="eastAsia"/>
        </w:rPr>
        <w:t>风冷</w:t>
      </w:r>
      <w:r>
        <w:rPr>
          <w:rFonts w:hint="eastAsia"/>
          <w:lang w:val="zh-CN"/>
        </w:rPr>
        <w:t>方式。</w:t>
      </w:r>
    </w:p>
    <w:p w14:paraId="4EBAE9CE">
      <w:pPr>
        <w:pStyle w:val="5"/>
        <w:ind w:firstLine="480"/>
      </w:pPr>
      <w:r>
        <w:rPr>
          <w:rFonts w:hint="eastAsia"/>
        </w:rPr>
        <w:t>2.10 电动机外壳应设置明显的接地点及标识。</w:t>
      </w:r>
    </w:p>
    <w:p w14:paraId="36F74387">
      <w:pPr>
        <w:pStyle w:val="5"/>
        <w:ind w:firstLine="480"/>
      </w:pPr>
      <w:r>
        <w:rPr>
          <w:rFonts w:hint="eastAsia"/>
        </w:rPr>
        <w:t>2.11 每台电机铭牌备注电机轴承型号及位号。</w:t>
      </w:r>
    </w:p>
    <w:p w14:paraId="51CECFD1">
      <w:pPr>
        <w:pStyle w:val="5"/>
        <w:ind w:firstLine="480"/>
      </w:pPr>
      <w:r>
        <w:rPr>
          <w:rFonts w:hint="eastAsia"/>
        </w:rPr>
        <w:t>2.12 所有电机设置防护罩。</w:t>
      </w:r>
    </w:p>
    <w:p w14:paraId="32B88E57">
      <w:pPr>
        <w:adjustRightInd w:val="0"/>
        <w:spacing w:line="400" w:lineRule="exact"/>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 xml:space="preserve">2.13 </w:t>
      </w:r>
      <w:r>
        <w:rPr>
          <w:rFonts w:hint="eastAsia" w:asciiTheme="minorEastAsia" w:hAnsiTheme="minorEastAsia" w:eastAsiaTheme="minorEastAsia" w:cstheme="minorEastAsia"/>
          <w:color w:val="000000" w:themeColor="text1"/>
          <w:sz w:val="24"/>
          <w:szCs w:val="24"/>
          <w14:textFill>
            <w14:solidFill>
              <w14:schemeClr w14:val="tx1"/>
            </w14:solidFill>
          </w14:textFill>
        </w:rPr>
        <w:t>电机定子绕组须进行真空压力整体浸漆(VPI)。</w:t>
      </w:r>
    </w:p>
    <w:p w14:paraId="79B20293">
      <w:pPr>
        <w:pStyle w:val="5"/>
        <w:ind w:firstLine="480"/>
      </w:pPr>
    </w:p>
    <w:p w14:paraId="5BCB6A25">
      <w:pPr>
        <w:pStyle w:val="3"/>
        <w:keepNext w:val="0"/>
        <w:keepLines w:val="0"/>
        <w:spacing w:before="156" w:after="156" w:line="400" w:lineRule="exact"/>
        <w:ind w:firstLine="240"/>
        <w:rPr>
          <w:rFonts w:ascii="宋体" w:hAnsi="宋体" w:cs="宋体"/>
          <w:b w:val="0"/>
          <w:sz w:val="24"/>
          <w:szCs w:val="24"/>
        </w:rPr>
      </w:pPr>
    </w:p>
    <w:p w14:paraId="7ABB39B8">
      <w:pPr>
        <w:pStyle w:val="3"/>
        <w:numPr>
          <w:ilvl w:val="0"/>
          <w:numId w:val="5"/>
        </w:numPr>
        <w:spacing w:before="156" w:after="156"/>
        <w:ind w:left="716" w:hanging="435" w:firstLineChars="0"/>
      </w:pPr>
      <w:bookmarkStart w:id="160" w:name="_Toc27753"/>
      <w:bookmarkStart w:id="161" w:name="_Toc22342"/>
      <w:bookmarkStart w:id="162" w:name="_Toc3566"/>
      <w:r>
        <w:rPr>
          <w:rFonts w:hint="eastAsia"/>
        </w:rPr>
        <w:t>高低压配电柜、现场三箱、低压变频器、软启动器、低压电容补偿等:</w:t>
      </w:r>
      <w:bookmarkEnd w:id="160"/>
      <w:bookmarkEnd w:id="161"/>
      <w:bookmarkEnd w:id="162"/>
    </w:p>
    <w:p w14:paraId="5DAC91A5">
      <w:pPr>
        <w:pStyle w:val="5"/>
        <w:ind w:firstLine="480"/>
      </w:pPr>
      <w:r>
        <w:rPr>
          <w:rFonts w:hint="eastAsia"/>
        </w:rPr>
        <w:t>3.1 6.3kV高压开关柜</w:t>
      </w:r>
    </w:p>
    <w:p w14:paraId="721CCC0B">
      <w:pPr>
        <w:pStyle w:val="23"/>
        <w:ind w:firstLine="720"/>
        <w:rPr>
          <w:rFonts w:hint="default"/>
        </w:rPr>
      </w:pPr>
      <w:r>
        <w:rPr>
          <w:lang w:val="en-US"/>
        </w:rPr>
        <w:t>3.</w:t>
      </w:r>
      <w:r>
        <w:t>1.1 技术要求</w:t>
      </w:r>
    </w:p>
    <w:p w14:paraId="68AD6934">
      <w:pPr>
        <w:pStyle w:val="32"/>
        <w:ind w:firstLine="960"/>
        <w:rPr>
          <w:rFonts w:hint="default"/>
          <w:lang w:val="en-US"/>
        </w:rPr>
      </w:pPr>
      <w:r>
        <w:t>额定电压：6.3kV</w:t>
      </w:r>
      <w:r>
        <w:rPr>
          <w:lang w:val="en-US"/>
        </w:rPr>
        <w:t>；</w:t>
      </w:r>
    </w:p>
    <w:p w14:paraId="3B9A37D9">
      <w:pPr>
        <w:pStyle w:val="32"/>
        <w:ind w:firstLine="960"/>
        <w:rPr>
          <w:rFonts w:hint="default"/>
          <w:lang w:val="en-US"/>
        </w:rPr>
      </w:pPr>
      <w:r>
        <w:t>最高工作电压：7.2kV</w:t>
      </w:r>
      <w:r>
        <w:rPr>
          <w:lang w:val="en-US"/>
        </w:rPr>
        <w:t>；</w:t>
      </w:r>
    </w:p>
    <w:p w14:paraId="6708D030">
      <w:pPr>
        <w:pStyle w:val="32"/>
        <w:ind w:firstLine="960"/>
        <w:rPr>
          <w:rFonts w:hint="default"/>
        </w:rPr>
      </w:pPr>
      <w:r>
        <w:t>额定频率：50Hz。</w:t>
      </w:r>
    </w:p>
    <w:p w14:paraId="3FE02F62">
      <w:pPr>
        <w:pStyle w:val="23"/>
        <w:ind w:firstLine="720"/>
        <w:rPr>
          <w:rFonts w:hint="default"/>
        </w:rPr>
      </w:pPr>
      <w:r>
        <w:rPr>
          <w:lang w:val="en-US"/>
        </w:rPr>
        <w:t>3.</w:t>
      </w:r>
      <w:r>
        <w:t>1.2</w:t>
      </w:r>
      <w:r>
        <w:rPr>
          <w:lang w:val="en-US"/>
        </w:rPr>
        <w:t xml:space="preserve"> </w:t>
      </w:r>
      <w:r>
        <w:t>防护等级：外壳IP4X。</w:t>
      </w:r>
    </w:p>
    <w:p w14:paraId="7F0BFEC2">
      <w:pPr>
        <w:pStyle w:val="23"/>
        <w:ind w:firstLine="720"/>
        <w:rPr>
          <w:rFonts w:hint="default"/>
        </w:rPr>
      </w:pPr>
      <w:r>
        <w:rPr>
          <w:lang w:val="en-US"/>
        </w:rPr>
        <w:t>3.</w:t>
      </w:r>
      <w:r>
        <w:t>1.3 开关柜基本技术参数：开关柜选用金属铠装移开式中置开关柜。</w:t>
      </w:r>
    </w:p>
    <w:p w14:paraId="48ED60C3">
      <w:pPr>
        <w:pStyle w:val="23"/>
        <w:ind w:firstLine="720"/>
        <w:rPr>
          <w:rFonts w:hint="default"/>
        </w:rPr>
      </w:pPr>
      <w:r>
        <w:rPr>
          <w:lang w:val="en-US"/>
        </w:rPr>
        <w:t>3.</w:t>
      </w:r>
      <w:r>
        <w:t>1.4 结构要求</w:t>
      </w:r>
    </w:p>
    <w:p w14:paraId="43557B78">
      <w:pPr>
        <w:pStyle w:val="32"/>
        <w:ind w:firstLine="960"/>
        <w:rPr>
          <w:rFonts w:hint="default"/>
        </w:rPr>
      </w:pPr>
      <w:r>
        <w:rPr>
          <w:lang w:val="en-US"/>
        </w:rPr>
        <w:t>3.</w:t>
      </w:r>
      <w:r>
        <w:t>1.4.1</w:t>
      </w:r>
      <w:r>
        <w:rPr>
          <w:lang w:val="en-US"/>
        </w:rPr>
        <w:t xml:space="preserve"> </w:t>
      </w:r>
      <w:r>
        <w:t>开关柜的框架材料采用优质覆铝锌钢板，钢板厚度≥2.0mm。</w:t>
      </w:r>
    </w:p>
    <w:p w14:paraId="10A79E08">
      <w:pPr>
        <w:pStyle w:val="32"/>
        <w:ind w:firstLine="960"/>
        <w:rPr>
          <w:rFonts w:hint="default"/>
        </w:rPr>
      </w:pPr>
      <w:r>
        <w:rPr>
          <w:lang w:val="en-US"/>
        </w:rPr>
        <w:t>3.</w:t>
      </w:r>
      <w:r>
        <w:t>1.4.2</w:t>
      </w:r>
      <w:r>
        <w:rPr>
          <w:lang w:val="en-US"/>
        </w:rPr>
        <w:t xml:space="preserve"> </w:t>
      </w:r>
      <w:r>
        <w:t>手车为中置式，所有断路器采用无源无线在线测温（主触头上下臂、</w:t>
      </w:r>
      <w:r>
        <w:rPr>
          <w:lang w:val="en-US"/>
        </w:rPr>
        <w:t>电缆头</w:t>
      </w:r>
      <w:r>
        <w:t>），温度</w:t>
      </w:r>
      <w:r>
        <w:rPr>
          <w:lang w:val="en-US"/>
        </w:rPr>
        <w:t>等</w:t>
      </w:r>
      <w:r>
        <w:t>显示上传至智能化电力监控系统。</w:t>
      </w:r>
    </w:p>
    <w:p w14:paraId="1C758E81">
      <w:pPr>
        <w:pStyle w:val="32"/>
        <w:ind w:firstLine="960"/>
        <w:rPr>
          <w:rFonts w:hint="default"/>
        </w:rPr>
      </w:pPr>
      <w:r>
        <w:rPr>
          <w:lang w:val="en-US"/>
        </w:rPr>
        <w:t>3.</w:t>
      </w:r>
      <w:r>
        <w:t>1.4.3</w:t>
      </w:r>
      <w:r>
        <w:rPr>
          <w:lang w:val="en-US"/>
        </w:rPr>
        <w:t xml:space="preserve"> </w:t>
      </w:r>
      <w:r>
        <w:t>开关柜柜间采取封堵隔离措施，后盖板分为上下两块，母线室和电缆室后背盖板分开。各功能室采用钢板分隔。</w:t>
      </w:r>
    </w:p>
    <w:p w14:paraId="4F66FA5F">
      <w:pPr>
        <w:pStyle w:val="32"/>
        <w:ind w:firstLine="960"/>
        <w:rPr>
          <w:rFonts w:hint="default"/>
        </w:rPr>
      </w:pPr>
      <w:r>
        <w:rPr>
          <w:lang w:val="en-US"/>
        </w:rPr>
        <w:t>3.</w:t>
      </w:r>
      <w:r>
        <w:t>1.4.4</w:t>
      </w:r>
      <w:r>
        <w:rPr>
          <w:lang w:val="en-US"/>
        </w:rPr>
        <w:t xml:space="preserve"> </w:t>
      </w:r>
      <w:r>
        <w:t>为防止大电流引起涡流发热，相邻柜绝缘套管及电流大于600A的回路的上下静触头的固定板均用非导磁金属板304，其厚度不小于3mm。额定电流在1500A以上的套管，固定板均用非导磁金属板304，其厚度不小于3mm，其安装板不应构成闭合回路。</w:t>
      </w:r>
    </w:p>
    <w:p w14:paraId="495687B6">
      <w:pPr>
        <w:pStyle w:val="32"/>
        <w:ind w:firstLine="960"/>
        <w:rPr>
          <w:rFonts w:hint="default"/>
          <w:strike/>
          <w:color w:val="000000" w:themeColor="text1"/>
          <w:lang w:val="en-US"/>
          <w14:textFill>
            <w14:solidFill>
              <w14:schemeClr w14:val="tx1"/>
            </w14:solidFill>
          </w14:textFill>
        </w:rPr>
      </w:pPr>
      <w:r>
        <w:rPr>
          <w:color w:val="000000" w:themeColor="text1"/>
          <w:lang w:val="en-US"/>
          <w14:textFill>
            <w14:solidFill>
              <w14:schemeClr w14:val="tx1"/>
            </w14:solidFill>
          </w14:textFill>
        </w:rPr>
        <w:t>3.1.4.5 高压开关柜二次小室面板具有</w:t>
      </w:r>
      <w:r>
        <w:rPr>
          <w:color w:val="000000" w:themeColor="text1"/>
          <w14:textFill>
            <w14:solidFill>
              <w14:schemeClr w14:val="tx1"/>
            </w14:solidFill>
          </w14:textFill>
        </w:rPr>
        <w:t>保护、测控、操显</w:t>
      </w:r>
      <w:r>
        <w:rPr>
          <w:color w:val="000000" w:themeColor="text1"/>
          <w:lang w:val="en-US"/>
          <w14:textFill>
            <w14:solidFill>
              <w14:schemeClr w14:val="tx1"/>
            </w14:solidFill>
          </w14:textFill>
        </w:rPr>
        <w:t>等功能。</w:t>
      </w:r>
    </w:p>
    <w:p w14:paraId="201C7847">
      <w:pPr>
        <w:pStyle w:val="32"/>
        <w:ind w:firstLine="960"/>
        <w:rPr>
          <w:rFonts w:hint="default"/>
        </w:rPr>
      </w:pPr>
    </w:p>
    <w:p w14:paraId="0D5E9908">
      <w:pPr>
        <w:pStyle w:val="23"/>
        <w:ind w:firstLine="720"/>
        <w:rPr>
          <w:rFonts w:hint="default"/>
        </w:rPr>
      </w:pPr>
      <w:r>
        <w:rPr>
          <w:lang w:val="en-US"/>
        </w:rPr>
        <w:t>3.</w:t>
      </w:r>
      <w:r>
        <w:t>1.5</w:t>
      </w:r>
      <w:r>
        <w:rPr>
          <w:lang w:val="en-US"/>
        </w:rPr>
        <w:t xml:space="preserve"> </w:t>
      </w:r>
      <w:r>
        <w:t>真空断路器</w:t>
      </w:r>
    </w:p>
    <w:p w14:paraId="4ECABAC7">
      <w:pPr>
        <w:pStyle w:val="32"/>
        <w:ind w:firstLine="960"/>
        <w:rPr>
          <w:rFonts w:hint="default"/>
        </w:rPr>
      </w:pPr>
      <w:r>
        <w:rPr>
          <w:lang w:val="en-US"/>
        </w:rPr>
        <w:t>3.</w:t>
      </w:r>
      <w:r>
        <w:t>1.5.1 断路器型式：真空断路器采用固封极柱式（不得为贴牌或授权厂生产）。</w:t>
      </w:r>
    </w:p>
    <w:tbl>
      <w:tblPr>
        <w:tblStyle w:val="18"/>
        <w:tblW w:w="8399" w:type="dxa"/>
        <w:tblInd w:w="5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7"/>
        <w:gridCol w:w="1579"/>
        <w:gridCol w:w="2823"/>
      </w:tblGrid>
      <w:tr w14:paraId="5B4A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97" w:type="dxa"/>
            <w:tcBorders>
              <w:tl2br w:val="nil"/>
              <w:tr2bl w:val="nil"/>
            </w:tcBorders>
          </w:tcPr>
          <w:p w14:paraId="0B5589C2">
            <w:pPr>
              <w:spacing w:line="400" w:lineRule="exact"/>
              <w:rPr>
                <w:rFonts w:ascii="宋体" w:hAnsi="宋体" w:cs="宋体"/>
                <w:sz w:val="24"/>
              </w:rPr>
            </w:pPr>
            <w:r>
              <w:rPr>
                <w:rFonts w:hint="eastAsia" w:ascii="宋体" w:hAnsi="宋体" w:cs="宋体"/>
                <w:sz w:val="24"/>
              </w:rPr>
              <w:t>额定电压</w:t>
            </w:r>
          </w:p>
        </w:tc>
        <w:tc>
          <w:tcPr>
            <w:tcW w:w="1579" w:type="dxa"/>
            <w:tcBorders>
              <w:tl2br w:val="nil"/>
              <w:tr2bl w:val="nil"/>
            </w:tcBorders>
          </w:tcPr>
          <w:p w14:paraId="447D2F17">
            <w:pPr>
              <w:spacing w:line="400" w:lineRule="exact"/>
              <w:jc w:val="center"/>
              <w:rPr>
                <w:rFonts w:ascii="宋体" w:hAnsi="宋体" w:cs="宋体"/>
                <w:sz w:val="24"/>
              </w:rPr>
            </w:pPr>
            <w:r>
              <w:rPr>
                <w:rFonts w:hint="eastAsia" w:ascii="宋体" w:hAnsi="宋体" w:cs="宋体"/>
                <w:sz w:val="24"/>
              </w:rPr>
              <w:t>kV</w:t>
            </w:r>
          </w:p>
        </w:tc>
        <w:tc>
          <w:tcPr>
            <w:tcW w:w="2823" w:type="dxa"/>
            <w:tcBorders>
              <w:tl2br w:val="nil"/>
              <w:tr2bl w:val="nil"/>
            </w:tcBorders>
          </w:tcPr>
          <w:p w14:paraId="423DAF43">
            <w:pPr>
              <w:spacing w:line="400" w:lineRule="exact"/>
              <w:jc w:val="center"/>
              <w:rPr>
                <w:rFonts w:ascii="宋体" w:hAnsi="宋体" w:cs="宋体"/>
                <w:sz w:val="24"/>
              </w:rPr>
            </w:pPr>
            <w:r>
              <w:rPr>
                <w:rFonts w:hint="eastAsia" w:ascii="宋体" w:hAnsi="宋体" w:cs="宋体"/>
                <w:sz w:val="24"/>
              </w:rPr>
              <w:t>12</w:t>
            </w:r>
          </w:p>
        </w:tc>
      </w:tr>
      <w:tr w14:paraId="7BDD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97" w:type="dxa"/>
            <w:vMerge w:val="restart"/>
            <w:tcBorders>
              <w:tl2br w:val="nil"/>
              <w:tr2bl w:val="nil"/>
            </w:tcBorders>
          </w:tcPr>
          <w:p w14:paraId="1A4DC5B0">
            <w:pPr>
              <w:spacing w:line="400" w:lineRule="exact"/>
              <w:jc w:val="center"/>
              <w:rPr>
                <w:rFonts w:ascii="宋体" w:hAnsi="宋体" w:cs="宋体"/>
                <w:sz w:val="24"/>
              </w:rPr>
            </w:pPr>
            <w:r>
              <w:rPr>
                <w:rFonts w:hint="eastAsia" w:ascii="宋体" w:hAnsi="宋体" w:cs="宋体"/>
                <w:sz w:val="24"/>
              </w:rPr>
              <w:t>额定绝缘水平：1分钟工频耐压（有效值）</w:t>
            </w:r>
          </w:p>
          <w:p w14:paraId="1A9F98F3">
            <w:pPr>
              <w:spacing w:line="400" w:lineRule="exact"/>
              <w:ind w:firstLine="480" w:firstLineChars="200"/>
              <w:jc w:val="center"/>
              <w:rPr>
                <w:rFonts w:ascii="宋体" w:hAnsi="宋体" w:cs="宋体"/>
                <w:sz w:val="24"/>
              </w:rPr>
            </w:pPr>
            <w:r>
              <w:rPr>
                <w:rFonts w:hint="eastAsia" w:ascii="宋体" w:hAnsi="宋体" w:cs="宋体"/>
                <w:sz w:val="24"/>
              </w:rPr>
              <w:t>雷电冲击耐压（峰值）</w:t>
            </w:r>
          </w:p>
        </w:tc>
        <w:tc>
          <w:tcPr>
            <w:tcW w:w="1579" w:type="dxa"/>
            <w:tcBorders>
              <w:tl2br w:val="nil"/>
              <w:tr2bl w:val="nil"/>
            </w:tcBorders>
          </w:tcPr>
          <w:p w14:paraId="3C1DF9D5">
            <w:pPr>
              <w:spacing w:line="400" w:lineRule="exact"/>
              <w:jc w:val="center"/>
              <w:rPr>
                <w:rFonts w:ascii="宋体" w:hAnsi="宋体" w:cs="宋体"/>
                <w:sz w:val="24"/>
              </w:rPr>
            </w:pPr>
            <w:r>
              <w:rPr>
                <w:rFonts w:hint="eastAsia" w:ascii="宋体" w:hAnsi="宋体" w:cs="宋体"/>
                <w:sz w:val="24"/>
              </w:rPr>
              <w:t>kV</w:t>
            </w:r>
          </w:p>
        </w:tc>
        <w:tc>
          <w:tcPr>
            <w:tcW w:w="2823" w:type="dxa"/>
            <w:tcBorders>
              <w:tl2br w:val="nil"/>
              <w:tr2bl w:val="nil"/>
            </w:tcBorders>
          </w:tcPr>
          <w:p w14:paraId="2EF85A25">
            <w:pPr>
              <w:spacing w:line="400" w:lineRule="exact"/>
              <w:jc w:val="center"/>
              <w:rPr>
                <w:rFonts w:ascii="宋体" w:hAnsi="宋体" w:cs="宋体"/>
                <w:sz w:val="24"/>
              </w:rPr>
            </w:pPr>
            <w:r>
              <w:rPr>
                <w:rFonts w:hint="eastAsia" w:ascii="宋体" w:hAnsi="宋体" w:cs="宋体"/>
                <w:sz w:val="24"/>
              </w:rPr>
              <w:t>42</w:t>
            </w:r>
          </w:p>
        </w:tc>
      </w:tr>
      <w:tr w14:paraId="7205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997" w:type="dxa"/>
            <w:vMerge w:val="continue"/>
            <w:tcBorders>
              <w:tl2br w:val="nil"/>
              <w:tr2bl w:val="nil"/>
            </w:tcBorders>
          </w:tcPr>
          <w:p w14:paraId="34445242">
            <w:pPr>
              <w:spacing w:line="400" w:lineRule="exact"/>
              <w:ind w:firstLine="480" w:firstLineChars="200"/>
              <w:jc w:val="left"/>
              <w:rPr>
                <w:rFonts w:ascii="宋体" w:hAnsi="宋体" w:cs="宋体"/>
                <w:sz w:val="24"/>
              </w:rPr>
            </w:pPr>
          </w:p>
        </w:tc>
        <w:tc>
          <w:tcPr>
            <w:tcW w:w="1579" w:type="dxa"/>
            <w:tcBorders>
              <w:tl2br w:val="nil"/>
              <w:tr2bl w:val="nil"/>
            </w:tcBorders>
          </w:tcPr>
          <w:p w14:paraId="61CDF3DB">
            <w:pPr>
              <w:tabs>
                <w:tab w:val="left" w:pos="383"/>
                <w:tab w:val="center" w:pos="741"/>
              </w:tabs>
              <w:spacing w:line="400" w:lineRule="exact"/>
              <w:jc w:val="center"/>
              <w:rPr>
                <w:rFonts w:ascii="宋体" w:hAnsi="宋体" w:cs="宋体"/>
                <w:sz w:val="24"/>
              </w:rPr>
            </w:pPr>
          </w:p>
          <w:p w14:paraId="39D66FA3">
            <w:pPr>
              <w:tabs>
                <w:tab w:val="left" w:pos="383"/>
                <w:tab w:val="center" w:pos="741"/>
              </w:tabs>
              <w:spacing w:line="400" w:lineRule="exact"/>
              <w:jc w:val="center"/>
              <w:rPr>
                <w:rFonts w:ascii="宋体" w:hAnsi="宋体" w:cs="宋体"/>
                <w:sz w:val="24"/>
              </w:rPr>
            </w:pPr>
            <w:r>
              <w:rPr>
                <w:rFonts w:hint="eastAsia" w:ascii="宋体" w:hAnsi="宋体" w:cs="宋体"/>
                <w:sz w:val="24"/>
              </w:rPr>
              <w:t>kV</w:t>
            </w:r>
          </w:p>
        </w:tc>
        <w:tc>
          <w:tcPr>
            <w:tcW w:w="2823" w:type="dxa"/>
            <w:tcBorders>
              <w:tl2br w:val="nil"/>
              <w:tr2bl w:val="nil"/>
            </w:tcBorders>
          </w:tcPr>
          <w:p w14:paraId="090CD10D">
            <w:pPr>
              <w:spacing w:line="400" w:lineRule="exact"/>
              <w:jc w:val="center"/>
              <w:rPr>
                <w:rFonts w:ascii="宋体" w:hAnsi="宋体" w:cs="宋体"/>
                <w:sz w:val="24"/>
              </w:rPr>
            </w:pPr>
          </w:p>
          <w:p w14:paraId="1F2E3A4C">
            <w:pPr>
              <w:spacing w:line="400" w:lineRule="exact"/>
              <w:jc w:val="center"/>
              <w:rPr>
                <w:rFonts w:ascii="宋体" w:hAnsi="宋体" w:cs="宋体"/>
                <w:sz w:val="24"/>
              </w:rPr>
            </w:pPr>
            <w:r>
              <w:rPr>
                <w:rFonts w:hint="eastAsia" w:ascii="宋体" w:hAnsi="宋体" w:cs="宋体"/>
                <w:sz w:val="24"/>
              </w:rPr>
              <w:t>75</w:t>
            </w:r>
          </w:p>
        </w:tc>
      </w:tr>
      <w:tr w14:paraId="55AF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33042A02">
            <w:pPr>
              <w:spacing w:line="400" w:lineRule="exact"/>
              <w:jc w:val="center"/>
              <w:rPr>
                <w:rFonts w:ascii="宋体" w:hAnsi="宋体" w:cs="宋体"/>
                <w:sz w:val="24"/>
              </w:rPr>
            </w:pPr>
            <w:r>
              <w:rPr>
                <w:rFonts w:hint="eastAsia" w:ascii="宋体" w:hAnsi="宋体" w:cs="宋体"/>
                <w:sz w:val="24"/>
              </w:rPr>
              <w:t>额定电流</w:t>
            </w:r>
          </w:p>
        </w:tc>
        <w:tc>
          <w:tcPr>
            <w:tcW w:w="1579" w:type="dxa"/>
            <w:tcBorders>
              <w:tl2br w:val="nil"/>
              <w:tr2bl w:val="nil"/>
            </w:tcBorders>
          </w:tcPr>
          <w:p w14:paraId="4C0FBBE9">
            <w:pPr>
              <w:spacing w:line="400" w:lineRule="exact"/>
              <w:jc w:val="center"/>
              <w:rPr>
                <w:rFonts w:ascii="宋体" w:hAnsi="宋体" w:cs="宋体"/>
                <w:sz w:val="24"/>
              </w:rPr>
            </w:pPr>
            <w:r>
              <w:rPr>
                <w:rFonts w:hint="eastAsia" w:ascii="宋体" w:hAnsi="宋体" w:cs="宋体"/>
                <w:sz w:val="24"/>
              </w:rPr>
              <w:t>A</w:t>
            </w:r>
          </w:p>
        </w:tc>
        <w:tc>
          <w:tcPr>
            <w:tcW w:w="2823" w:type="dxa"/>
            <w:tcBorders>
              <w:tl2br w:val="nil"/>
              <w:tr2bl w:val="nil"/>
            </w:tcBorders>
          </w:tcPr>
          <w:p w14:paraId="71B1DA77">
            <w:pPr>
              <w:spacing w:line="400" w:lineRule="exact"/>
              <w:jc w:val="center"/>
              <w:rPr>
                <w:rFonts w:ascii="宋体" w:hAnsi="宋体" w:cs="宋体"/>
                <w:sz w:val="24"/>
              </w:rPr>
            </w:pPr>
            <w:r>
              <w:rPr>
                <w:rFonts w:hint="eastAsia" w:ascii="宋体" w:hAnsi="宋体" w:cs="宋体"/>
                <w:sz w:val="24"/>
              </w:rPr>
              <w:t>1250…</w:t>
            </w:r>
            <w:r>
              <w:rPr>
                <w:rFonts w:ascii="宋体" w:hAnsi="宋体" w:cs="宋体"/>
                <w:sz w:val="24"/>
              </w:rPr>
              <w:t>4000</w:t>
            </w:r>
          </w:p>
        </w:tc>
      </w:tr>
      <w:tr w14:paraId="0F20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40A35201">
            <w:pPr>
              <w:spacing w:line="400" w:lineRule="exact"/>
              <w:jc w:val="center"/>
              <w:rPr>
                <w:rFonts w:ascii="宋体" w:hAnsi="宋体" w:cs="宋体"/>
                <w:sz w:val="24"/>
              </w:rPr>
            </w:pPr>
            <w:r>
              <w:rPr>
                <w:rFonts w:hint="eastAsia" w:ascii="宋体" w:hAnsi="宋体" w:cs="宋体"/>
                <w:sz w:val="24"/>
              </w:rPr>
              <w:t>4秒热稳定电流（有效值）</w:t>
            </w:r>
          </w:p>
        </w:tc>
        <w:tc>
          <w:tcPr>
            <w:tcW w:w="1579" w:type="dxa"/>
            <w:tcBorders>
              <w:tl2br w:val="nil"/>
              <w:tr2bl w:val="nil"/>
            </w:tcBorders>
          </w:tcPr>
          <w:p w14:paraId="4D8CF212">
            <w:pPr>
              <w:spacing w:line="400" w:lineRule="exact"/>
              <w:jc w:val="center"/>
              <w:rPr>
                <w:rFonts w:ascii="宋体" w:hAnsi="宋体" w:cs="宋体"/>
                <w:sz w:val="24"/>
              </w:rPr>
            </w:pPr>
            <w:r>
              <w:rPr>
                <w:rFonts w:hint="eastAsia" w:ascii="宋体" w:hAnsi="宋体" w:cs="宋体"/>
                <w:sz w:val="24"/>
              </w:rPr>
              <w:t>kA</w:t>
            </w:r>
          </w:p>
        </w:tc>
        <w:tc>
          <w:tcPr>
            <w:tcW w:w="2823" w:type="dxa"/>
            <w:tcBorders>
              <w:tl2br w:val="nil"/>
              <w:tr2bl w:val="nil"/>
            </w:tcBorders>
          </w:tcPr>
          <w:p w14:paraId="0D832321">
            <w:pPr>
              <w:spacing w:line="400" w:lineRule="exact"/>
              <w:jc w:val="center"/>
              <w:rPr>
                <w:rFonts w:ascii="宋体" w:hAnsi="宋体" w:cs="宋体"/>
                <w:sz w:val="24"/>
              </w:rPr>
            </w:pPr>
            <w:r>
              <w:rPr>
                <w:rFonts w:hint="eastAsia" w:ascii="宋体" w:hAnsi="宋体"/>
                <w:sz w:val="24"/>
              </w:rPr>
              <w:t>依设计</w:t>
            </w:r>
          </w:p>
        </w:tc>
      </w:tr>
      <w:tr w14:paraId="5538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303100BD">
            <w:pPr>
              <w:spacing w:line="400" w:lineRule="exact"/>
              <w:jc w:val="center"/>
              <w:rPr>
                <w:rFonts w:ascii="宋体" w:hAnsi="宋体" w:cs="宋体"/>
                <w:sz w:val="24"/>
              </w:rPr>
            </w:pPr>
            <w:r>
              <w:rPr>
                <w:rFonts w:hint="eastAsia" w:ascii="宋体" w:hAnsi="宋体" w:cs="宋体"/>
                <w:sz w:val="24"/>
              </w:rPr>
              <w:t>额定动稳定电流（峰值）</w:t>
            </w:r>
          </w:p>
        </w:tc>
        <w:tc>
          <w:tcPr>
            <w:tcW w:w="1579" w:type="dxa"/>
            <w:tcBorders>
              <w:tl2br w:val="nil"/>
              <w:tr2bl w:val="nil"/>
            </w:tcBorders>
          </w:tcPr>
          <w:p w14:paraId="42385158">
            <w:pPr>
              <w:spacing w:line="400" w:lineRule="exact"/>
              <w:jc w:val="center"/>
              <w:rPr>
                <w:rFonts w:ascii="宋体" w:hAnsi="宋体" w:cs="宋体"/>
                <w:sz w:val="24"/>
              </w:rPr>
            </w:pPr>
            <w:r>
              <w:rPr>
                <w:rFonts w:hint="eastAsia" w:ascii="宋体" w:hAnsi="宋体" w:cs="宋体"/>
                <w:sz w:val="24"/>
              </w:rPr>
              <w:t>kA</w:t>
            </w:r>
          </w:p>
        </w:tc>
        <w:tc>
          <w:tcPr>
            <w:tcW w:w="2823" w:type="dxa"/>
            <w:tcBorders>
              <w:tl2br w:val="nil"/>
              <w:tr2bl w:val="nil"/>
            </w:tcBorders>
          </w:tcPr>
          <w:p w14:paraId="239F0939">
            <w:pPr>
              <w:spacing w:line="400" w:lineRule="exact"/>
              <w:jc w:val="center"/>
              <w:rPr>
                <w:rFonts w:ascii="宋体" w:hAnsi="宋体" w:cs="宋体"/>
                <w:sz w:val="24"/>
              </w:rPr>
            </w:pPr>
            <w:r>
              <w:rPr>
                <w:rFonts w:hint="eastAsia" w:ascii="宋体" w:hAnsi="宋体"/>
                <w:sz w:val="24"/>
              </w:rPr>
              <w:t>依设计</w:t>
            </w:r>
          </w:p>
        </w:tc>
      </w:tr>
      <w:tr w14:paraId="2384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3997" w:type="dxa"/>
            <w:tcBorders>
              <w:tl2br w:val="nil"/>
              <w:tr2bl w:val="nil"/>
            </w:tcBorders>
          </w:tcPr>
          <w:p w14:paraId="3C6C63A9">
            <w:pPr>
              <w:spacing w:line="400" w:lineRule="exact"/>
              <w:jc w:val="center"/>
              <w:rPr>
                <w:rFonts w:ascii="宋体" w:hAnsi="宋体" w:cs="宋体"/>
                <w:sz w:val="24"/>
              </w:rPr>
            </w:pPr>
            <w:r>
              <w:rPr>
                <w:rFonts w:hint="eastAsia" w:ascii="宋体" w:hAnsi="宋体" w:cs="宋体"/>
                <w:sz w:val="24"/>
              </w:rPr>
              <w:t>额定短路开断电流</w:t>
            </w:r>
          </w:p>
        </w:tc>
        <w:tc>
          <w:tcPr>
            <w:tcW w:w="1579" w:type="dxa"/>
            <w:tcBorders>
              <w:tl2br w:val="nil"/>
              <w:tr2bl w:val="nil"/>
            </w:tcBorders>
          </w:tcPr>
          <w:p w14:paraId="7959CDDF">
            <w:pPr>
              <w:spacing w:line="400" w:lineRule="exact"/>
              <w:jc w:val="center"/>
              <w:rPr>
                <w:rFonts w:ascii="宋体" w:hAnsi="宋体" w:cs="宋体"/>
                <w:sz w:val="24"/>
              </w:rPr>
            </w:pPr>
            <w:r>
              <w:rPr>
                <w:rFonts w:hint="eastAsia" w:ascii="宋体" w:hAnsi="宋体" w:cs="宋体"/>
                <w:sz w:val="24"/>
              </w:rPr>
              <w:t>kA</w:t>
            </w:r>
          </w:p>
        </w:tc>
        <w:tc>
          <w:tcPr>
            <w:tcW w:w="2823" w:type="dxa"/>
            <w:tcBorders>
              <w:tl2br w:val="nil"/>
              <w:tr2bl w:val="nil"/>
            </w:tcBorders>
          </w:tcPr>
          <w:p w14:paraId="4D723570">
            <w:pPr>
              <w:spacing w:line="400" w:lineRule="exact"/>
              <w:jc w:val="center"/>
              <w:rPr>
                <w:rFonts w:ascii="宋体" w:hAnsi="宋体" w:cs="宋体"/>
                <w:sz w:val="24"/>
              </w:rPr>
            </w:pPr>
            <w:r>
              <w:rPr>
                <w:rFonts w:hint="eastAsia" w:ascii="宋体" w:hAnsi="宋体"/>
                <w:sz w:val="24"/>
              </w:rPr>
              <w:t>依设计</w:t>
            </w:r>
          </w:p>
        </w:tc>
      </w:tr>
      <w:tr w14:paraId="7969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4A7DD9CA">
            <w:pPr>
              <w:spacing w:line="400" w:lineRule="exact"/>
              <w:jc w:val="center"/>
              <w:rPr>
                <w:rFonts w:ascii="宋体" w:hAnsi="宋体" w:cs="宋体"/>
                <w:sz w:val="24"/>
              </w:rPr>
            </w:pPr>
            <w:r>
              <w:rPr>
                <w:rFonts w:hint="eastAsia" w:ascii="宋体" w:hAnsi="宋体" w:cs="宋体"/>
                <w:sz w:val="24"/>
              </w:rPr>
              <w:t>额定短路关合电流</w:t>
            </w:r>
          </w:p>
        </w:tc>
        <w:tc>
          <w:tcPr>
            <w:tcW w:w="1579" w:type="dxa"/>
            <w:tcBorders>
              <w:tl2br w:val="nil"/>
              <w:tr2bl w:val="nil"/>
            </w:tcBorders>
          </w:tcPr>
          <w:p w14:paraId="29698B17">
            <w:pPr>
              <w:spacing w:line="400" w:lineRule="exact"/>
              <w:jc w:val="center"/>
              <w:rPr>
                <w:rFonts w:ascii="宋体" w:hAnsi="宋体" w:cs="宋体"/>
                <w:sz w:val="24"/>
              </w:rPr>
            </w:pPr>
            <w:r>
              <w:rPr>
                <w:rFonts w:hint="eastAsia" w:ascii="宋体" w:hAnsi="宋体" w:cs="宋体"/>
                <w:sz w:val="24"/>
              </w:rPr>
              <w:t>kA</w:t>
            </w:r>
          </w:p>
        </w:tc>
        <w:tc>
          <w:tcPr>
            <w:tcW w:w="2823" w:type="dxa"/>
            <w:tcBorders>
              <w:tl2br w:val="nil"/>
              <w:tr2bl w:val="nil"/>
            </w:tcBorders>
          </w:tcPr>
          <w:p w14:paraId="43ACE6A0">
            <w:pPr>
              <w:spacing w:line="400" w:lineRule="exact"/>
              <w:jc w:val="center"/>
              <w:rPr>
                <w:rFonts w:ascii="宋体" w:hAnsi="宋体" w:cs="宋体"/>
                <w:sz w:val="24"/>
              </w:rPr>
            </w:pPr>
            <w:r>
              <w:rPr>
                <w:rFonts w:hint="eastAsia" w:ascii="宋体" w:hAnsi="宋体"/>
                <w:sz w:val="24"/>
              </w:rPr>
              <w:t>依设计</w:t>
            </w:r>
          </w:p>
        </w:tc>
      </w:tr>
      <w:tr w14:paraId="36CF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3015E94E">
            <w:pPr>
              <w:spacing w:line="400" w:lineRule="exact"/>
              <w:jc w:val="center"/>
              <w:rPr>
                <w:rFonts w:ascii="宋体" w:hAnsi="宋体" w:cs="宋体"/>
                <w:sz w:val="24"/>
              </w:rPr>
            </w:pPr>
            <w:r>
              <w:rPr>
                <w:rFonts w:hint="eastAsia" w:ascii="宋体" w:hAnsi="宋体" w:cs="宋体"/>
                <w:sz w:val="24"/>
              </w:rPr>
              <w:t>额定操作顺序</w:t>
            </w:r>
          </w:p>
        </w:tc>
        <w:tc>
          <w:tcPr>
            <w:tcW w:w="1579" w:type="dxa"/>
            <w:tcBorders>
              <w:tl2br w:val="nil"/>
              <w:tr2bl w:val="nil"/>
            </w:tcBorders>
          </w:tcPr>
          <w:p w14:paraId="089611E4">
            <w:pPr>
              <w:spacing w:line="400" w:lineRule="exact"/>
              <w:ind w:firstLine="480" w:firstLineChars="200"/>
              <w:jc w:val="left"/>
              <w:rPr>
                <w:rFonts w:ascii="宋体" w:hAnsi="宋体" w:cs="宋体"/>
                <w:sz w:val="24"/>
              </w:rPr>
            </w:pPr>
          </w:p>
        </w:tc>
        <w:tc>
          <w:tcPr>
            <w:tcW w:w="2823" w:type="dxa"/>
            <w:tcBorders>
              <w:tl2br w:val="nil"/>
              <w:tr2bl w:val="nil"/>
            </w:tcBorders>
          </w:tcPr>
          <w:p w14:paraId="0FF96112">
            <w:pPr>
              <w:spacing w:line="400" w:lineRule="exact"/>
              <w:jc w:val="center"/>
              <w:rPr>
                <w:rFonts w:ascii="宋体" w:hAnsi="宋体" w:cs="宋体"/>
                <w:sz w:val="24"/>
              </w:rPr>
            </w:pPr>
            <w:r>
              <w:rPr>
                <w:rFonts w:hint="eastAsia" w:ascii="宋体" w:hAnsi="宋体" w:cs="宋体"/>
                <w:sz w:val="24"/>
              </w:rPr>
              <w:t>O-180S-CO-180S-CO</w:t>
            </w:r>
          </w:p>
        </w:tc>
      </w:tr>
      <w:tr w14:paraId="6C2F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6B611166">
            <w:pPr>
              <w:spacing w:line="400" w:lineRule="exact"/>
              <w:jc w:val="center"/>
              <w:rPr>
                <w:rFonts w:ascii="宋体" w:hAnsi="宋体" w:cs="宋体"/>
                <w:sz w:val="24"/>
              </w:rPr>
            </w:pPr>
            <w:r>
              <w:rPr>
                <w:rFonts w:hint="eastAsia" w:ascii="宋体" w:hAnsi="宋体" w:cs="宋体"/>
                <w:sz w:val="24"/>
              </w:rPr>
              <w:t>自动重合闸操作顺序</w:t>
            </w:r>
          </w:p>
        </w:tc>
        <w:tc>
          <w:tcPr>
            <w:tcW w:w="1579" w:type="dxa"/>
            <w:tcBorders>
              <w:tl2br w:val="nil"/>
              <w:tr2bl w:val="nil"/>
            </w:tcBorders>
          </w:tcPr>
          <w:p w14:paraId="3233DAB2">
            <w:pPr>
              <w:spacing w:line="400" w:lineRule="exact"/>
              <w:ind w:firstLine="480" w:firstLineChars="200"/>
              <w:jc w:val="left"/>
              <w:rPr>
                <w:rFonts w:ascii="宋体" w:hAnsi="宋体" w:cs="宋体"/>
                <w:sz w:val="24"/>
              </w:rPr>
            </w:pPr>
          </w:p>
        </w:tc>
        <w:tc>
          <w:tcPr>
            <w:tcW w:w="2823" w:type="dxa"/>
            <w:tcBorders>
              <w:tl2br w:val="nil"/>
              <w:tr2bl w:val="nil"/>
            </w:tcBorders>
          </w:tcPr>
          <w:p w14:paraId="784D4A78">
            <w:pPr>
              <w:spacing w:line="400" w:lineRule="exact"/>
              <w:jc w:val="center"/>
              <w:rPr>
                <w:rFonts w:ascii="宋体" w:hAnsi="宋体" w:cs="宋体"/>
                <w:sz w:val="24"/>
              </w:rPr>
            </w:pPr>
            <w:r>
              <w:rPr>
                <w:rFonts w:hint="eastAsia" w:ascii="宋体" w:hAnsi="宋体" w:cs="宋体"/>
                <w:sz w:val="24"/>
              </w:rPr>
              <w:t>0-0.3S-CO-180S-CO</w:t>
            </w:r>
          </w:p>
        </w:tc>
      </w:tr>
      <w:tr w14:paraId="51E6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6346F927">
            <w:pPr>
              <w:spacing w:line="400" w:lineRule="exact"/>
              <w:jc w:val="center"/>
              <w:rPr>
                <w:rFonts w:ascii="宋体" w:hAnsi="宋体" w:cs="宋体"/>
                <w:sz w:val="24"/>
              </w:rPr>
            </w:pPr>
            <w:r>
              <w:rPr>
                <w:rFonts w:hint="eastAsia" w:ascii="宋体" w:hAnsi="宋体" w:cs="宋体"/>
                <w:sz w:val="24"/>
              </w:rPr>
              <w:t>辅助电源电压：控制回路</w:t>
            </w:r>
          </w:p>
          <w:p w14:paraId="070295C1">
            <w:pPr>
              <w:spacing w:line="400" w:lineRule="exact"/>
              <w:jc w:val="center"/>
              <w:rPr>
                <w:rFonts w:ascii="宋体" w:hAnsi="宋体" w:cs="宋体"/>
                <w:sz w:val="24"/>
              </w:rPr>
            </w:pPr>
            <w:r>
              <w:rPr>
                <w:rFonts w:hint="eastAsia" w:ascii="宋体" w:hAnsi="宋体" w:cs="宋体"/>
                <w:sz w:val="24"/>
              </w:rPr>
              <w:t>储能回路</w:t>
            </w:r>
          </w:p>
        </w:tc>
        <w:tc>
          <w:tcPr>
            <w:tcW w:w="1579" w:type="dxa"/>
            <w:tcBorders>
              <w:tl2br w:val="nil"/>
              <w:tr2bl w:val="nil"/>
            </w:tcBorders>
          </w:tcPr>
          <w:p w14:paraId="6CACC8B9">
            <w:pPr>
              <w:spacing w:line="400" w:lineRule="exact"/>
              <w:jc w:val="center"/>
              <w:rPr>
                <w:rFonts w:ascii="宋体" w:hAnsi="宋体" w:cs="宋体"/>
                <w:sz w:val="24"/>
              </w:rPr>
            </w:pPr>
            <w:r>
              <w:rPr>
                <w:rFonts w:hint="eastAsia" w:ascii="宋体" w:hAnsi="宋体" w:cs="宋体"/>
                <w:sz w:val="24"/>
              </w:rPr>
              <w:t>V</w:t>
            </w:r>
          </w:p>
          <w:p w14:paraId="10F1821C">
            <w:pPr>
              <w:spacing w:line="400" w:lineRule="exact"/>
              <w:jc w:val="center"/>
              <w:rPr>
                <w:rFonts w:ascii="宋体" w:hAnsi="宋体" w:cs="宋体"/>
                <w:sz w:val="24"/>
              </w:rPr>
            </w:pPr>
            <w:r>
              <w:rPr>
                <w:rFonts w:hint="eastAsia" w:ascii="宋体" w:hAnsi="宋体" w:cs="宋体"/>
                <w:sz w:val="24"/>
              </w:rPr>
              <w:t>V</w:t>
            </w:r>
          </w:p>
        </w:tc>
        <w:tc>
          <w:tcPr>
            <w:tcW w:w="2823" w:type="dxa"/>
            <w:tcBorders>
              <w:tl2br w:val="nil"/>
              <w:tr2bl w:val="nil"/>
            </w:tcBorders>
          </w:tcPr>
          <w:p w14:paraId="5618E8BE">
            <w:pPr>
              <w:spacing w:line="400" w:lineRule="exact"/>
              <w:jc w:val="center"/>
              <w:rPr>
                <w:rFonts w:ascii="宋体" w:hAnsi="宋体" w:cs="宋体"/>
                <w:sz w:val="24"/>
              </w:rPr>
            </w:pPr>
            <w:r>
              <w:rPr>
                <w:rFonts w:hint="eastAsia" w:ascii="宋体" w:hAnsi="宋体" w:cs="宋体"/>
                <w:sz w:val="24"/>
              </w:rPr>
              <w:t>DC220V</w:t>
            </w:r>
          </w:p>
          <w:p w14:paraId="045ED51D">
            <w:pPr>
              <w:spacing w:line="400" w:lineRule="exact"/>
              <w:jc w:val="center"/>
              <w:rPr>
                <w:rFonts w:ascii="宋体" w:hAnsi="宋体" w:cs="宋体"/>
                <w:sz w:val="24"/>
              </w:rPr>
            </w:pPr>
            <w:r>
              <w:rPr>
                <w:rFonts w:hint="eastAsia" w:ascii="宋体" w:hAnsi="宋体" w:cs="宋体"/>
                <w:sz w:val="24"/>
              </w:rPr>
              <w:t>/DC220V</w:t>
            </w:r>
          </w:p>
        </w:tc>
      </w:tr>
      <w:tr w14:paraId="02D4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3997" w:type="dxa"/>
            <w:tcBorders>
              <w:tl2br w:val="nil"/>
              <w:tr2bl w:val="nil"/>
            </w:tcBorders>
          </w:tcPr>
          <w:p w14:paraId="19D30C56">
            <w:pPr>
              <w:spacing w:line="400" w:lineRule="exact"/>
              <w:jc w:val="center"/>
              <w:rPr>
                <w:rFonts w:ascii="宋体" w:hAnsi="宋体" w:cs="宋体"/>
                <w:sz w:val="24"/>
              </w:rPr>
            </w:pPr>
            <w:r>
              <w:rPr>
                <w:rFonts w:hint="eastAsia" w:ascii="宋体" w:hAnsi="宋体" w:cs="宋体"/>
                <w:sz w:val="24"/>
              </w:rPr>
              <w:t>合闸时间</w:t>
            </w:r>
          </w:p>
        </w:tc>
        <w:tc>
          <w:tcPr>
            <w:tcW w:w="1579" w:type="dxa"/>
            <w:tcBorders>
              <w:tl2br w:val="nil"/>
              <w:tr2bl w:val="nil"/>
            </w:tcBorders>
          </w:tcPr>
          <w:p w14:paraId="6CA5EAE3">
            <w:pPr>
              <w:spacing w:line="400" w:lineRule="exact"/>
              <w:jc w:val="center"/>
              <w:rPr>
                <w:rFonts w:ascii="宋体" w:hAnsi="宋体" w:cs="宋体"/>
                <w:sz w:val="24"/>
              </w:rPr>
            </w:pPr>
            <w:r>
              <w:rPr>
                <w:rFonts w:hint="eastAsia" w:ascii="宋体" w:hAnsi="宋体" w:cs="宋体"/>
                <w:sz w:val="24"/>
              </w:rPr>
              <w:t>ms</w:t>
            </w:r>
          </w:p>
        </w:tc>
        <w:tc>
          <w:tcPr>
            <w:tcW w:w="2823" w:type="dxa"/>
            <w:tcBorders>
              <w:tl2br w:val="nil"/>
              <w:tr2bl w:val="nil"/>
            </w:tcBorders>
          </w:tcPr>
          <w:p w14:paraId="5AA46169">
            <w:pPr>
              <w:spacing w:line="400" w:lineRule="exact"/>
              <w:jc w:val="center"/>
              <w:rPr>
                <w:rFonts w:ascii="宋体" w:hAnsi="宋体" w:cs="宋体"/>
                <w:sz w:val="24"/>
              </w:rPr>
            </w:pPr>
            <w:r>
              <w:rPr>
                <w:rFonts w:hint="eastAsia" w:ascii="宋体" w:hAnsi="宋体" w:cs="宋体"/>
                <w:sz w:val="24"/>
              </w:rPr>
              <w:t>35~70</w:t>
            </w:r>
          </w:p>
        </w:tc>
      </w:tr>
      <w:tr w14:paraId="6CE2A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97" w:type="dxa"/>
            <w:tcBorders>
              <w:tl2br w:val="nil"/>
              <w:tr2bl w:val="nil"/>
            </w:tcBorders>
          </w:tcPr>
          <w:p w14:paraId="418EA652">
            <w:pPr>
              <w:spacing w:line="400" w:lineRule="exact"/>
              <w:jc w:val="center"/>
              <w:rPr>
                <w:rFonts w:ascii="宋体" w:hAnsi="宋体" w:cs="宋体"/>
                <w:sz w:val="24"/>
              </w:rPr>
            </w:pPr>
            <w:r>
              <w:rPr>
                <w:rFonts w:hint="eastAsia" w:ascii="宋体" w:hAnsi="宋体" w:cs="宋体"/>
                <w:sz w:val="24"/>
              </w:rPr>
              <w:t>分闸时间</w:t>
            </w:r>
          </w:p>
        </w:tc>
        <w:tc>
          <w:tcPr>
            <w:tcW w:w="1579" w:type="dxa"/>
            <w:tcBorders>
              <w:tl2br w:val="nil"/>
              <w:tr2bl w:val="nil"/>
            </w:tcBorders>
          </w:tcPr>
          <w:p w14:paraId="3590DD57">
            <w:pPr>
              <w:spacing w:line="400" w:lineRule="exact"/>
              <w:jc w:val="center"/>
              <w:rPr>
                <w:rFonts w:ascii="宋体" w:hAnsi="宋体" w:cs="宋体"/>
                <w:sz w:val="24"/>
              </w:rPr>
            </w:pPr>
            <w:r>
              <w:rPr>
                <w:rFonts w:hint="eastAsia" w:ascii="宋体" w:hAnsi="宋体" w:cs="宋体"/>
                <w:sz w:val="24"/>
              </w:rPr>
              <w:t>ms</w:t>
            </w:r>
          </w:p>
        </w:tc>
        <w:tc>
          <w:tcPr>
            <w:tcW w:w="2823" w:type="dxa"/>
            <w:tcBorders>
              <w:tl2br w:val="nil"/>
              <w:tr2bl w:val="nil"/>
            </w:tcBorders>
          </w:tcPr>
          <w:p w14:paraId="6E2568B2">
            <w:pPr>
              <w:spacing w:line="400" w:lineRule="exact"/>
              <w:jc w:val="center"/>
              <w:rPr>
                <w:rFonts w:ascii="宋体" w:hAnsi="宋体" w:cs="宋体"/>
                <w:sz w:val="24"/>
              </w:rPr>
            </w:pPr>
            <w:r>
              <w:rPr>
                <w:rFonts w:hint="eastAsia" w:ascii="宋体" w:hAnsi="宋体" w:cs="宋体"/>
                <w:sz w:val="24"/>
              </w:rPr>
              <w:t>25~40</w:t>
            </w:r>
          </w:p>
        </w:tc>
      </w:tr>
      <w:tr w14:paraId="33AE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97" w:type="dxa"/>
            <w:tcBorders>
              <w:tl2br w:val="nil"/>
              <w:tr2bl w:val="nil"/>
            </w:tcBorders>
          </w:tcPr>
          <w:p w14:paraId="388C57CA">
            <w:pPr>
              <w:spacing w:line="400" w:lineRule="exact"/>
              <w:jc w:val="center"/>
              <w:rPr>
                <w:rFonts w:ascii="宋体" w:hAnsi="宋体" w:cs="宋体"/>
                <w:sz w:val="24"/>
              </w:rPr>
            </w:pPr>
            <w:r>
              <w:rPr>
                <w:rFonts w:hint="eastAsia" w:ascii="宋体" w:hAnsi="宋体" w:cs="宋体"/>
                <w:sz w:val="24"/>
              </w:rPr>
              <w:t>燃弧时间</w:t>
            </w:r>
          </w:p>
        </w:tc>
        <w:tc>
          <w:tcPr>
            <w:tcW w:w="1579" w:type="dxa"/>
            <w:tcBorders>
              <w:tl2br w:val="nil"/>
              <w:tr2bl w:val="nil"/>
            </w:tcBorders>
          </w:tcPr>
          <w:p w14:paraId="41F38260">
            <w:pPr>
              <w:spacing w:line="400" w:lineRule="exact"/>
              <w:jc w:val="center"/>
              <w:rPr>
                <w:rFonts w:ascii="宋体" w:hAnsi="宋体" w:cs="宋体"/>
                <w:sz w:val="24"/>
              </w:rPr>
            </w:pPr>
            <w:r>
              <w:rPr>
                <w:rFonts w:hint="eastAsia" w:ascii="宋体" w:hAnsi="宋体" w:cs="宋体"/>
                <w:sz w:val="24"/>
              </w:rPr>
              <w:t>ms</w:t>
            </w:r>
          </w:p>
        </w:tc>
        <w:tc>
          <w:tcPr>
            <w:tcW w:w="2823" w:type="dxa"/>
            <w:tcBorders>
              <w:tl2br w:val="nil"/>
              <w:tr2bl w:val="nil"/>
            </w:tcBorders>
          </w:tcPr>
          <w:p w14:paraId="2F7820DA">
            <w:pPr>
              <w:spacing w:line="400" w:lineRule="exact"/>
              <w:jc w:val="center"/>
              <w:rPr>
                <w:rFonts w:ascii="宋体" w:hAnsi="宋体" w:cs="宋体"/>
                <w:sz w:val="24"/>
              </w:rPr>
            </w:pPr>
            <w:r>
              <w:rPr>
                <w:rFonts w:hint="eastAsia" w:ascii="宋体" w:hAnsi="宋体" w:cs="宋体"/>
                <w:sz w:val="24"/>
              </w:rPr>
              <w:t>≤15</w:t>
            </w:r>
          </w:p>
        </w:tc>
      </w:tr>
      <w:tr w14:paraId="32BA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470D0E9E">
            <w:pPr>
              <w:spacing w:line="400" w:lineRule="exact"/>
              <w:jc w:val="center"/>
              <w:rPr>
                <w:rFonts w:ascii="宋体" w:hAnsi="宋体" w:cs="宋体"/>
                <w:sz w:val="24"/>
              </w:rPr>
            </w:pPr>
            <w:r>
              <w:rPr>
                <w:rFonts w:hint="eastAsia" w:ascii="宋体" w:hAnsi="宋体" w:cs="宋体"/>
                <w:sz w:val="24"/>
              </w:rPr>
              <w:t>触头合闸弹跳时间</w:t>
            </w:r>
          </w:p>
        </w:tc>
        <w:tc>
          <w:tcPr>
            <w:tcW w:w="1579" w:type="dxa"/>
            <w:tcBorders>
              <w:tl2br w:val="nil"/>
              <w:tr2bl w:val="nil"/>
            </w:tcBorders>
          </w:tcPr>
          <w:p w14:paraId="5FD8B21D">
            <w:pPr>
              <w:spacing w:line="400" w:lineRule="exact"/>
              <w:jc w:val="center"/>
              <w:rPr>
                <w:rFonts w:ascii="宋体" w:hAnsi="宋体" w:cs="宋体"/>
                <w:sz w:val="24"/>
              </w:rPr>
            </w:pPr>
            <w:r>
              <w:rPr>
                <w:rFonts w:hint="eastAsia" w:ascii="宋体" w:hAnsi="宋体" w:cs="宋体"/>
                <w:sz w:val="24"/>
              </w:rPr>
              <w:t>ms</w:t>
            </w:r>
          </w:p>
        </w:tc>
        <w:tc>
          <w:tcPr>
            <w:tcW w:w="2823" w:type="dxa"/>
            <w:tcBorders>
              <w:tl2br w:val="nil"/>
              <w:tr2bl w:val="nil"/>
            </w:tcBorders>
          </w:tcPr>
          <w:p w14:paraId="55A41698">
            <w:pPr>
              <w:spacing w:line="400" w:lineRule="exact"/>
              <w:jc w:val="center"/>
              <w:rPr>
                <w:rFonts w:ascii="宋体" w:hAnsi="宋体" w:cs="宋体"/>
                <w:sz w:val="24"/>
              </w:rPr>
            </w:pPr>
            <w:r>
              <w:rPr>
                <w:rFonts w:hint="eastAsia" w:ascii="宋体" w:hAnsi="宋体" w:cs="宋体"/>
                <w:sz w:val="24"/>
              </w:rPr>
              <w:t>≤2ms</w:t>
            </w:r>
          </w:p>
        </w:tc>
      </w:tr>
      <w:tr w14:paraId="02A2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7" w:type="dxa"/>
            <w:tcBorders>
              <w:tl2br w:val="nil"/>
              <w:tr2bl w:val="nil"/>
            </w:tcBorders>
          </w:tcPr>
          <w:p w14:paraId="0CC9C87B">
            <w:pPr>
              <w:spacing w:line="400" w:lineRule="exact"/>
              <w:jc w:val="center"/>
              <w:rPr>
                <w:rFonts w:ascii="宋体" w:hAnsi="宋体" w:cs="宋体"/>
                <w:sz w:val="24"/>
              </w:rPr>
            </w:pPr>
            <w:r>
              <w:rPr>
                <w:rFonts w:hint="eastAsia" w:ascii="宋体" w:hAnsi="宋体" w:cs="宋体"/>
                <w:sz w:val="24"/>
              </w:rPr>
              <w:t>分闸触头反弹幅值</w:t>
            </w:r>
          </w:p>
        </w:tc>
        <w:tc>
          <w:tcPr>
            <w:tcW w:w="1579" w:type="dxa"/>
            <w:tcBorders>
              <w:tl2br w:val="nil"/>
              <w:tr2bl w:val="nil"/>
            </w:tcBorders>
          </w:tcPr>
          <w:p w14:paraId="23BA90C5">
            <w:pPr>
              <w:spacing w:line="400" w:lineRule="exact"/>
              <w:jc w:val="center"/>
              <w:rPr>
                <w:rFonts w:ascii="宋体" w:hAnsi="宋体" w:cs="宋体"/>
                <w:sz w:val="24"/>
              </w:rPr>
            </w:pPr>
            <w:r>
              <w:rPr>
                <w:rFonts w:hint="eastAsia" w:ascii="宋体" w:hAnsi="宋体" w:cs="宋体"/>
                <w:sz w:val="24"/>
              </w:rPr>
              <w:t>mm</w:t>
            </w:r>
          </w:p>
        </w:tc>
        <w:tc>
          <w:tcPr>
            <w:tcW w:w="2823" w:type="dxa"/>
            <w:tcBorders>
              <w:tl2br w:val="nil"/>
              <w:tr2bl w:val="nil"/>
            </w:tcBorders>
          </w:tcPr>
          <w:p w14:paraId="25426D65">
            <w:pPr>
              <w:spacing w:line="400" w:lineRule="exact"/>
              <w:jc w:val="center"/>
              <w:rPr>
                <w:rFonts w:ascii="宋体" w:hAnsi="宋体" w:cs="宋体"/>
                <w:sz w:val="24"/>
              </w:rPr>
            </w:pPr>
            <w:r>
              <w:rPr>
                <w:rFonts w:hint="eastAsia" w:ascii="宋体" w:hAnsi="宋体" w:cs="宋体"/>
                <w:sz w:val="24"/>
              </w:rPr>
              <w:t>≤2mm</w:t>
            </w:r>
          </w:p>
        </w:tc>
      </w:tr>
      <w:tr w14:paraId="5B8E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3997" w:type="dxa"/>
            <w:tcBorders>
              <w:tl2br w:val="nil"/>
              <w:tr2bl w:val="nil"/>
            </w:tcBorders>
          </w:tcPr>
          <w:p w14:paraId="4261671B">
            <w:pPr>
              <w:spacing w:line="400" w:lineRule="exact"/>
              <w:jc w:val="center"/>
              <w:rPr>
                <w:rFonts w:ascii="宋体" w:hAnsi="宋体" w:cs="宋体"/>
                <w:sz w:val="24"/>
              </w:rPr>
            </w:pPr>
            <w:r>
              <w:rPr>
                <w:rFonts w:hint="eastAsia" w:ascii="宋体" w:hAnsi="宋体" w:cs="宋体"/>
                <w:sz w:val="24"/>
              </w:rPr>
              <w:t>三相同期性</w:t>
            </w:r>
          </w:p>
        </w:tc>
        <w:tc>
          <w:tcPr>
            <w:tcW w:w="1579" w:type="dxa"/>
            <w:tcBorders>
              <w:tl2br w:val="nil"/>
              <w:tr2bl w:val="nil"/>
            </w:tcBorders>
          </w:tcPr>
          <w:p w14:paraId="6D14753A">
            <w:pPr>
              <w:spacing w:line="400" w:lineRule="exact"/>
              <w:jc w:val="center"/>
              <w:rPr>
                <w:rFonts w:ascii="宋体" w:hAnsi="宋体" w:cs="宋体"/>
                <w:sz w:val="24"/>
              </w:rPr>
            </w:pPr>
            <w:r>
              <w:rPr>
                <w:rFonts w:hint="eastAsia" w:ascii="宋体" w:hAnsi="宋体" w:cs="宋体"/>
                <w:sz w:val="24"/>
              </w:rPr>
              <w:t>ms</w:t>
            </w:r>
          </w:p>
        </w:tc>
        <w:tc>
          <w:tcPr>
            <w:tcW w:w="2823" w:type="dxa"/>
            <w:tcBorders>
              <w:tl2br w:val="nil"/>
              <w:tr2bl w:val="nil"/>
            </w:tcBorders>
          </w:tcPr>
          <w:p w14:paraId="5F86318A">
            <w:pPr>
              <w:spacing w:line="400" w:lineRule="exact"/>
              <w:jc w:val="center"/>
              <w:rPr>
                <w:rFonts w:ascii="宋体" w:hAnsi="宋体" w:cs="宋体"/>
                <w:sz w:val="24"/>
              </w:rPr>
            </w:pPr>
            <w:r>
              <w:rPr>
                <w:rFonts w:hint="eastAsia" w:ascii="宋体" w:hAnsi="宋体" w:cs="宋体"/>
                <w:sz w:val="24"/>
              </w:rPr>
              <w:t>≤2ms</w:t>
            </w:r>
          </w:p>
        </w:tc>
      </w:tr>
      <w:tr w14:paraId="586F6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3997" w:type="dxa"/>
            <w:tcBorders>
              <w:tl2br w:val="nil"/>
              <w:tr2bl w:val="nil"/>
            </w:tcBorders>
          </w:tcPr>
          <w:p w14:paraId="71848648">
            <w:pPr>
              <w:spacing w:line="400" w:lineRule="exact"/>
              <w:jc w:val="center"/>
              <w:rPr>
                <w:rFonts w:ascii="宋体" w:hAnsi="宋体" w:cs="宋体"/>
                <w:sz w:val="24"/>
              </w:rPr>
            </w:pPr>
            <w:r>
              <w:rPr>
                <w:rFonts w:hint="eastAsia" w:ascii="宋体" w:hAnsi="宋体"/>
                <w:sz w:val="24"/>
              </w:rPr>
              <w:t>触头型式</w:t>
            </w:r>
          </w:p>
        </w:tc>
        <w:tc>
          <w:tcPr>
            <w:tcW w:w="1579" w:type="dxa"/>
            <w:tcBorders>
              <w:tl2br w:val="nil"/>
              <w:tr2bl w:val="nil"/>
            </w:tcBorders>
          </w:tcPr>
          <w:p w14:paraId="75B73F40">
            <w:pPr>
              <w:spacing w:line="400" w:lineRule="exact"/>
              <w:jc w:val="center"/>
              <w:rPr>
                <w:rFonts w:ascii="宋体" w:hAnsi="宋体" w:cs="宋体"/>
                <w:sz w:val="24"/>
              </w:rPr>
            </w:pPr>
            <w:r>
              <w:rPr>
                <w:rFonts w:hint="eastAsia" w:ascii="宋体" w:hAnsi="宋体" w:cs="宋体"/>
                <w:sz w:val="24"/>
              </w:rPr>
              <w:t>ms</w:t>
            </w:r>
          </w:p>
        </w:tc>
        <w:tc>
          <w:tcPr>
            <w:tcW w:w="2823" w:type="dxa"/>
            <w:tcBorders>
              <w:tl2br w:val="nil"/>
              <w:tr2bl w:val="nil"/>
            </w:tcBorders>
          </w:tcPr>
          <w:p w14:paraId="63212B66">
            <w:pPr>
              <w:spacing w:line="400" w:lineRule="exact"/>
              <w:jc w:val="center"/>
              <w:rPr>
                <w:rFonts w:ascii="宋体" w:hAnsi="宋体"/>
                <w:sz w:val="24"/>
              </w:rPr>
            </w:pPr>
            <w:r>
              <w:rPr>
                <w:rFonts w:hint="eastAsia" w:ascii="宋体" w:hAnsi="宋体"/>
                <w:sz w:val="24"/>
              </w:rPr>
              <w:t>梅花触头（镀银，镀银层厚度大于2um）</w:t>
            </w:r>
          </w:p>
        </w:tc>
      </w:tr>
    </w:tbl>
    <w:p w14:paraId="3992E649">
      <w:pPr>
        <w:pStyle w:val="32"/>
        <w:ind w:firstLine="960"/>
        <w:rPr>
          <w:rFonts w:hint="default"/>
          <w:kern w:val="0"/>
        </w:rPr>
      </w:pPr>
      <w:r>
        <w:rPr>
          <w:kern w:val="0"/>
        </w:rPr>
        <w:t>1）本技术协议书所要求的断路器应为真空断路器，主绝缘采用环氧树脂固体绝缘结构，操动机构采用模块化弹簧储能机构。</w:t>
      </w:r>
    </w:p>
    <w:p w14:paraId="2DFFBF8E">
      <w:pPr>
        <w:pStyle w:val="32"/>
        <w:ind w:firstLine="960"/>
        <w:rPr>
          <w:rFonts w:hint="default"/>
          <w:kern w:val="0"/>
        </w:rPr>
      </w:pPr>
      <w:r>
        <w:rPr>
          <w:kern w:val="0"/>
        </w:rPr>
        <w:t>2）</w:t>
      </w:r>
      <w:r>
        <w:rPr>
          <w:color w:val="000000" w:themeColor="text1"/>
          <w:kern w:val="0"/>
          <w:lang w:val="en-US"/>
          <w14:textFill>
            <w14:solidFill>
              <w14:schemeClr w14:val="tx1"/>
            </w14:solidFill>
          </w14:textFill>
        </w:rPr>
        <w:t>制造厂</w:t>
      </w:r>
      <w:r>
        <w:rPr>
          <w:kern w:val="0"/>
        </w:rPr>
        <w:t>应有固封式真空断路器10年及以上的运行业绩并提供相应的业绩表及运行证明。</w:t>
      </w:r>
    </w:p>
    <w:p w14:paraId="783FDA2A">
      <w:pPr>
        <w:pStyle w:val="32"/>
        <w:ind w:firstLine="960"/>
        <w:rPr>
          <w:rFonts w:hint="default"/>
          <w:kern w:val="0"/>
        </w:rPr>
      </w:pPr>
      <w:r>
        <w:rPr>
          <w:kern w:val="0"/>
        </w:rPr>
        <w:t>3）为了保证产品的一致性和稳定性，</w:t>
      </w:r>
      <w:r>
        <w:rPr>
          <w:color w:val="000000" w:themeColor="text1"/>
          <w:kern w:val="0"/>
          <w:lang w:val="en-US"/>
          <w14:textFill>
            <w14:solidFill>
              <w14:schemeClr w14:val="tx1"/>
            </w14:solidFill>
          </w14:textFill>
        </w:rPr>
        <w:t>制造厂</w:t>
      </w:r>
      <w:r>
        <w:rPr>
          <w:kern w:val="0"/>
        </w:rPr>
        <w:t>能够自主生产固封极柱，真空灭弧室要求经过老炼试验，灭弧室外壳采用陶瓷材料制造，提供型式试验报告。</w:t>
      </w:r>
    </w:p>
    <w:p w14:paraId="2027645D">
      <w:pPr>
        <w:pStyle w:val="32"/>
        <w:ind w:firstLine="960"/>
        <w:rPr>
          <w:rFonts w:hint="default"/>
          <w:kern w:val="0"/>
        </w:rPr>
      </w:pPr>
      <w:r>
        <w:rPr>
          <w:kern w:val="0"/>
        </w:rPr>
        <w:t>4）断路器应具备高于额定电流10%的过载能力，并具备国家权威机构出具的1.1倍额定电流下的温升试验的型式试验报告。</w:t>
      </w:r>
    </w:p>
    <w:p w14:paraId="2BF13EE6">
      <w:pPr>
        <w:pStyle w:val="32"/>
        <w:ind w:firstLine="960"/>
        <w:rPr>
          <w:rFonts w:hint="default"/>
          <w:kern w:val="0"/>
        </w:rPr>
      </w:pPr>
      <w:r>
        <w:rPr>
          <w:kern w:val="0"/>
          <w:lang w:val="en-US"/>
        </w:rPr>
        <w:t>5</w:t>
      </w:r>
      <w:r>
        <w:rPr>
          <w:kern w:val="0"/>
        </w:rPr>
        <w:t>）真空灭弧室出厂时真空度应≤1.333×10</w:t>
      </w:r>
      <w:r>
        <w:rPr>
          <w:kern w:val="0"/>
          <w:vertAlign w:val="superscript"/>
        </w:rPr>
        <w:t>-3</w:t>
      </w:r>
      <w:r>
        <w:rPr>
          <w:kern w:val="0"/>
        </w:rPr>
        <w:t>Pa。</w:t>
      </w:r>
    </w:p>
    <w:p w14:paraId="69E519B5">
      <w:pPr>
        <w:pStyle w:val="32"/>
        <w:ind w:firstLine="960"/>
        <w:rPr>
          <w:rFonts w:hint="default"/>
          <w:kern w:val="0"/>
        </w:rPr>
      </w:pPr>
      <w:r>
        <w:rPr>
          <w:kern w:val="0"/>
          <w:lang w:val="en-US"/>
        </w:rPr>
        <w:t>6</w:t>
      </w:r>
      <w:r>
        <w:rPr>
          <w:kern w:val="0"/>
        </w:rPr>
        <w:t>）断路器应能够满足GB1984-2003对C2级、M2级、E2级试验的项目要求。</w:t>
      </w:r>
    </w:p>
    <w:p w14:paraId="0424FE83">
      <w:pPr>
        <w:pStyle w:val="32"/>
        <w:ind w:firstLine="960"/>
        <w:rPr>
          <w:rFonts w:hint="default"/>
          <w:kern w:val="0"/>
        </w:rPr>
      </w:pPr>
      <w:r>
        <w:rPr>
          <w:kern w:val="0"/>
          <w:lang w:val="en-US"/>
        </w:rPr>
        <w:t>7</w:t>
      </w:r>
      <w:r>
        <w:rPr>
          <w:kern w:val="0"/>
        </w:rPr>
        <w:t>）产品整机应通过国家新产品新技术鉴定及热老化试验和抗震试验。</w:t>
      </w:r>
    </w:p>
    <w:p w14:paraId="126CBEDF">
      <w:pPr>
        <w:pStyle w:val="32"/>
        <w:ind w:firstLine="960"/>
        <w:rPr>
          <w:rFonts w:hint="default"/>
        </w:rPr>
      </w:pPr>
      <w:r>
        <w:rPr>
          <w:lang w:val="en-US"/>
        </w:rPr>
        <w:t>8</w:t>
      </w:r>
      <w:r>
        <w:t>）</w:t>
      </w:r>
      <w:r>
        <w:rPr>
          <w:kern w:val="0"/>
        </w:rPr>
        <w:t>6kV断路器</w:t>
      </w:r>
      <w:r>
        <w:t>开断直流分量能力≥50％</w:t>
      </w:r>
    </w:p>
    <w:p w14:paraId="757EB2C9">
      <w:pPr>
        <w:pStyle w:val="32"/>
        <w:ind w:firstLine="960"/>
        <w:rPr>
          <w:rFonts w:hint="default"/>
        </w:rPr>
      </w:pPr>
      <w:r>
        <w:rPr>
          <w:lang w:val="en-US"/>
        </w:rPr>
        <w:t>9</w:t>
      </w:r>
      <w:r>
        <w:t>）电寿命（开断额定短路电流）≥30次。</w:t>
      </w:r>
    </w:p>
    <w:p w14:paraId="076434DF">
      <w:pPr>
        <w:pStyle w:val="32"/>
        <w:ind w:firstLine="960"/>
        <w:rPr>
          <w:rFonts w:hint="default"/>
        </w:rPr>
      </w:pPr>
      <w:r>
        <w:t>1</w:t>
      </w:r>
      <w:r>
        <w:rPr>
          <w:lang w:val="en-US"/>
        </w:rPr>
        <w:t>0</w:t>
      </w:r>
      <w:r>
        <w:t>）</w:t>
      </w:r>
      <w:r>
        <w:rPr>
          <w:kern w:val="0"/>
        </w:rPr>
        <w:t>真空灭弧室应为型式试验报告同样产品</w:t>
      </w:r>
      <w:r>
        <w:t>。</w:t>
      </w:r>
    </w:p>
    <w:p w14:paraId="49878700">
      <w:pPr>
        <w:spacing w:line="460" w:lineRule="exact"/>
        <w:ind w:firstLine="720" w:firstLineChars="300"/>
        <w:rPr>
          <w:rFonts w:ascii="宋体" w:hAnsi="宋体"/>
          <w:sz w:val="24"/>
        </w:rPr>
      </w:pPr>
      <w:r>
        <w:rPr>
          <w:rStyle w:val="44"/>
          <w:rFonts w:hint="eastAsia"/>
        </w:rPr>
        <w:t>3.1.6 电流互感器</w:t>
      </w:r>
    </w:p>
    <w:p w14:paraId="0C37CAA7">
      <w:pPr>
        <w:pStyle w:val="32"/>
        <w:ind w:firstLine="960"/>
        <w:rPr>
          <w:rFonts w:hint="default"/>
        </w:rPr>
      </w:pPr>
      <w:r>
        <w:t>型式：浇筑绝缘。</w:t>
      </w:r>
    </w:p>
    <w:p w14:paraId="50D53187">
      <w:pPr>
        <w:pStyle w:val="32"/>
        <w:ind w:firstLine="960"/>
        <w:rPr>
          <w:rFonts w:hint="default"/>
        </w:rPr>
      </w:pPr>
      <w:r>
        <w:t>电流互感器应能带测量表计、继电器、保护的合成负荷，在20倍额定负荷时不饱和。</w:t>
      </w:r>
    </w:p>
    <w:p w14:paraId="7D56E04A">
      <w:pPr>
        <w:pStyle w:val="32"/>
        <w:ind w:firstLine="960"/>
        <w:rPr>
          <w:rFonts w:hint="default"/>
        </w:rPr>
      </w:pPr>
      <w:r>
        <w:t>电流互感器应能承受在二次绕组开路情况下运行一分钟而不致损坏，带电流互感器开路保护器。</w:t>
      </w:r>
    </w:p>
    <w:p w14:paraId="2453CAA9">
      <w:pPr>
        <w:spacing w:line="460" w:lineRule="exact"/>
        <w:ind w:firstLine="720" w:firstLineChars="300"/>
        <w:rPr>
          <w:rFonts w:ascii="宋体" w:hAnsi="宋体"/>
          <w:sz w:val="24"/>
        </w:rPr>
      </w:pPr>
      <w:r>
        <w:rPr>
          <w:rFonts w:hint="eastAsia" w:ascii="宋体" w:hAnsi="宋体"/>
          <w:sz w:val="24"/>
        </w:rPr>
        <w:t>3.1.7 高精度零序电流互感器</w:t>
      </w:r>
    </w:p>
    <w:p w14:paraId="48AE49E5">
      <w:pPr>
        <w:pStyle w:val="32"/>
        <w:ind w:firstLine="960"/>
        <w:rPr>
          <w:rFonts w:hint="default"/>
          <w:lang w:val="en-US"/>
        </w:rPr>
      </w:pPr>
      <w:r>
        <w:t>型号：与微机小电流接地检测装置配套</w:t>
      </w:r>
      <w:r>
        <w:rPr>
          <w:lang w:val="en-US"/>
        </w:rPr>
        <w:t>；</w:t>
      </w:r>
    </w:p>
    <w:p w14:paraId="0DB24AF0">
      <w:pPr>
        <w:pStyle w:val="32"/>
        <w:ind w:firstLine="960"/>
        <w:rPr>
          <w:rFonts w:hint="default"/>
          <w:kern w:val="0"/>
        </w:rPr>
      </w:pPr>
      <w:r>
        <w:t>互感器二次电流：1A。</w:t>
      </w:r>
    </w:p>
    <w:p w14:paraId="0362FB90">
      <w:pPr>
        <w:pStyle w:val="23"/>
        <w:ind w:firstLine="720"/>
        <w:rPr>
          <w:rFonts w:hint="default"/>
        </w:rPr>
      </w:pPr>
      <w:r>
        <w:rPr>
          <w:lang w:val="en-US"/>
        </w:rPr>
        <w:t>3.</w:t>
      </w:r>
      <w:r>
        <w:t>1.8 母线和接地母线</w:t>
      </w:r>
    </w:p>
    <w:p w14:paraId="103ED1A6">
      <w:pPr>
        <w:pStyle w:val="32"/>
        <w:ind w:firstLine="960"/>
        <w:rPr>
          <w:rFonts w:hint="default"/>
        </w:rPr>
      </w:pPr>
      <w:r>
        <w:rPr>
          <w:lang w:val="en-US"/>
        </w:rPr>
        <w:t>3.</w:t>
      </w:r>
      <w:r>
        <w:t>1.8.1</w:t>
      </w:r>
      <w:r>
        <w:rPr>
          <w:lang w:val="en-US"/>
        </w:rPr>
        <w:t xml:space="preserve"> </w:t>
      </w:r>
      <w:r>
        <w:t>配电柜的母线均应采用高纯度铜材（含铜量不低于99.9%；导电率不低于97%）。</w:t>
      </w:r>
    </w:p>
    <w:p w14:paraId="29C18281">
      <w:pPr>
        <w:pStyle w:val="32"/>
        <w:ind w:firstLine="960"/>
        <w:rPr>
          <w:rFonts w:hint="default"/>
          <w:kern w:val="0"/>
        </w:rPr>
      </w:pPr>
      <w:r>
        <w:rPr>
          <w:lang w:val="en-US"/>
        </w:rPr>
        <w:t>3.</w:t>
      </w:r>
      <w:r>
        <w:t>1.8.2</w:t>
      </w:r>
      <w:r>
        <w:rPr>
          <w:lang w:val="en-US"/>
        </w:rPr>
        <w:t xml:space="preserve"> </w:t>
      </w:r>
      <w:r>
        <w:t>所有螺栓固定的母线导体接头均采用镀银。各馈线回路垂直分支母线搭接处镀银在每个连接点不应小于两个螺栓。母线搪锡，用热缩绝缘套管覆盖。母线搭接处用绝缘罩覆盖。开关的一、二次动、静触头均需镀银。</w:t>
      </w:r>
    </w:p>
    <w:p w14:paraId="4CAED293">
      <w:pPr>
        <w:pStyle w:val="23"/>
        <w:ind w:firstLine="720"/>
        <w:rPr>
          <w:rFonts w:hint="default"/>
        </w:rPr>
      </w:pPr>
      <w:r>
        <w:rPr>
          <w:lang w:val="en-US"/>
        </w:rPr>
        <w:t>3.</w:t>
      </w:r>
      <w:r>
        <w:t>1.9</w:t>
      </w:r>
      <w:r>
        <w:rPr>
          <w:lang w:val="en-US"/>
        </w:rPr>
        <w:t xml:space="preserve"> </w:t>
      </w:r>
      <w:r>
        <w:t>二次接线</w:t>
      </w:r>
    </w:p>
    <w:p w14:paraId="630A627F">
      <w:pPr>
        <w:pStyle w:val="32"/>
        <w:ind w:firstLine="960"/>
        <w:rPr>
          <w:rFonts w:hint="default"/>
        </w:rPr>
      </w:pPr>
      <w:r>
        <w:rPr>
          <w:lang w:val="en-US"/>
        </w:rPr>
        <w:t>3.</w:t>
      </w:r>
      <w:r>
        <w:t>1.9.1</w:t>
      </w:r>
      <w:r>
        <w:rPr>
          <w:lang w:val="en-US"/>
        </w:rPr>
        <w:t xml:space="preserve"> </w:t>
      </w:r>
      <w:r>
        <w:t>所有控制回路连线采用截面不小于1.5mm</w:t>
      </w:r>
      <w:r>
        <w:rPr>
          <w:vertAlign w:val="superscript"/>
        </w:rPr>
        <w:t>2</w:t>
      </w:r>
      <w:r>
        <w:t>，用于电流互感器的导线截面不小于2.5mm</w:t>
      </w:r>
      <w:r>
        <w:rPr>
          <w:vertAlign w:val="superscript"/>
        </w:rPr>
        <w:t>2</w:t>
      </w:r>
      <w:r>
        <w:t>。导线为单芯、具有阻燃型聚氯乙烯绝缘、其额定电压不小于750V。</w:t>
      </w:r>
    </w:p>
    <w:p w14:paraId="3F15948F">
      <w:pPr>
        <w:pStyle w:val="32"/>
        <w:ind w:firstLine="960"/>
        <w:rPr>
          <w:rFonts w:hint="default"/>
        </w:rPr>
      </w:pPr>
      <w:r>
        <w:rPr>
          <w:lang w:val="en-US"/>
        </w:rPr>
        <w:t>3.</w:t>
      </w:r>
      <w:r>
        <w:t>1.9.2</w:t>
      </w:r>
      <w:r>
        <w:rPr>
          <w:lang w:val="en-US"/>
        </w:rPr>
        <w:t xml:space="preserve"> </w:t>
      </w:r>
      <w:r>
        <w:t>每个断路器的合闸、跳闸（控制）回路、储能回路及柜内交流电源回路等均设置小型断路器作保护。小型断路器直流回路采用直流断路器。</w:t>
      </w:r>
    </w:p>
    <w:p w14:paraId="27899D33">
      <w:pPr>
        <w:pStyle w:val="23"/>
        <w:ind w:left="1380" w:hanging="660" w:firstLineChars="0"/>
        <w:rPr>
          <w:rFonts w:hint="default"/>
        </w:rPr>
      </w:pPr>
      <w:r>
        <w:rPr>
          <w:lang w:val="en-US"/>
        </w:rPr>
        <w:t>3.</w:t>
      </w:r>
      <w:r>
        <w:t>1.10</w:t>
      </w:r>
      <w:r>
        <w:rPr>
          <w:lang w:val="en-US"/>
        </w:rPr>
        <w:t xml:space="preserve"> </w:t>
      </w:r>
      <w:r>
        <w:t>二次仪表及微机保护装置</w:t>
      </w:r>
    </w:p>
    <w:p w14:paraId="76BC2E18">
      <w:pPr>
        <w:pStyle w:val="32"/>
        <w:ind w:firstLine="960"/>
        <w:rPr>
          <w:rFonts w:hint="default"/>
        </w:rPr>
      </w:pPr>
      <w:r>
        <w:rPr>
          <w:lang w:val="en-US"/>
        </w:rPr>
        <w:t>3.</w:t>
      </w:r>
      <w:r>
        <w:t>1.10.1</w:t>
      </w:r>
      <w:r>
        <w:rPr>
          <w:lang w:val="en-US"/>
        </w:rPr>
        <w:t xml:space="preserve"> </w:t>
      </w:r>
      <w:r>
        <w:t>装设多功能电力仪表、测量电流、有功和无功电量等功能并通信（RS485、modbus、具有电能脉冲输出用于电能计量校验等）送入电力监控系统。多功能表准确度等级0.5S级。多功能表配置及尺寸应能满足第三方计量标准台体设备的校验条件。</w:t>
      </w:r>
    </w:p>
    <w:p w14:paraId="01FF9E61">
      <w:pPr>
        <w:pStyle w:val="32"/>
        <w:ind w:firstLine="960"/>
        <w:rPr>
          <w:rFonts w:hint="default"/>
        </w:rPr>
      </w:pPr>
      <w:r>
        <w:rPr>
          <w:lang w:val="en-US"/>
        </w:rPr>
        <w:t>3.</w:t>
      </w:r>
      <w:r>
        <w:t>1.10.2</w:t>
      </w:r>
      <w:r>
        <w:rPr>
          <w:lang w:val="en-US"/>
        </w:rPr>
        <w:t xml:space="preserve"> </w:t>
      </w:r>
      <w:r>
        <w:t>微机保护装置见继电保护章节，由投标方负责安装并配齐辅助继电器、多功能仪表等柜内其他元器件并负责柜内接线满足电力监控系统和其他的要求。</w:t>
      </w:r>
    </w:p>
    <w:p w14:paraId="50FFB6B4">
      <w:pPr>
        <w:pStyle w:val="23"/>
        <w:ind w:left="1380" w:hanging="660" w:firstLineChars="0"/>
        <w:rPr>
          <w:rFonts w:hint="default"/>
        </w:rPr>
      </w:pPr>
      <w:r>
        <w:rPr>
          <w:lang w:val="en-US"/>
        </w:rPr>
        <w:t>3.</w:t>
      </w:r>
      <w:r>
        <w:t>1.1</w:t>
      </w:r>
      <w:r>
        <w:rPr>
          <w:lang w:val="en-US"/>
        </w:rPr>
        <w:t>1</w:t>
      </w:r>
      <w:r>
        <w:t xml:space="preserve"> 6kV开关柜智能化配置要求</w:t>
      </w:r>
    </w:p>
    <w:p w14:paraId="3167CE4B">
      <w:pPr>
        <w:pStyle w:val="32"/>
        <w:ind w:firstLine="960"/>
        <w:rPr>
          <w:rFonts w:hint="default"/>
          <w:lang w:val="en-US"/>
        </w:rPr>
      </w:pPr>
      <w:r>
        <w:t>所有高压开关柜选用智能型开关柜，设置智能监测装置（含边缘计算、在线健康状态分析、一键可视化顺控功能），具备断路器寿命分析、红外位移机械特性分析、电气特性分析等健康状态分析功能，并能将数据接入电气智能化平台系统，以实现远端或移动端智能运维管理。合闸和保护采用DC220V的直流电源装置。开关柜选用手车中置式柜，柜内配置无线测温装置（动、静触头以及电缆接头等关键部位安装9点无源无线测温传感器）、机械特性传感器、电气特性传感器、高清摄像头、智能监测装置、人机交互装置等智能化组件。开关柜的所有断路器、PT手车、隔离手车等均应配置电动操作型底盘车，接地开关选用电动操作型接地开关，底盘车及接地开关由智能监测装置控制并实现一键顺控功能。</w:t>
      </w:r>
    </w:p>
    <w:p w14:paraId="4FFE6204">
      <w:pPr>
        <w:pStyle w:val="32"/>
        <w:ind w:firstLine="960"/>
        <w:rPr>
          <w:rFonts w:hint="default"/>
        </w:rPr>
      </w:pPr>
      <w:r>
        <w:rPr>
          <w:lang w:val="en-US"/>
        </w:rPr>
        <w:t>3.</w:t>
      </w:r>
      <w:r>
        <w:t>1.1</w:t>
      </w:r>
      <w:r>
        <w:rPr>
          <w:lang w:val="en-US"/>
        </w:rPr>
        <w:t>1</w:t>
      </w:r>
      <w:r>
        <w:t>.1</w:t>
      </w:r>
      <w:r>
        <w:rPr>
          <w:lang w:val="en-US"/>
        </w:rPr>
        <w:t xml:space="preserve"> </w:t>
      </w:r>
      <w:r>
        <w:t>开关柜的所有断路器、PT手车、隔离手车等均应配置电动操作型底盘车，接地开关选用电动操作型接地开关，配置手动、电动均可操作的电动操作机构，电动和手动操作机构应有离合装置（电动和手动操作远程自动切换装置），使电动和手动操作相互独立，电动操作和手动操作可远程自动切换，互为闭锁，通过智能化设备对其进行可视化操作。</w:t>
      </w:r>
    </w:p>
    <w:p w14:paraId="49D11429">
      <w:pPr>
        <w:pStyle w:val="32"/>
        <w:ind w:firstLine="960"/>
        <w:rPr>
          <w:rFonts w:hint="default"/>
        </w:rPr>
      </w:pPr>
      <w:r>
        <w:rPr>
          <w:lang w:val="en-US"/>
        </w:rPr>
        <w:t>3.</w:t>
      </w:r>
      <w:r>
        <w:t>1.1</w:t>
      </w:r>
      <w:r>
        <w:rPr>
          <w:lang w:val="en-US"/>
        </w:rPr>
        <w:t>1</w:t>
      </w:r>
      <w:r>
        <w:t>.2</w:t>
      </w:r>
      <w:r>
        <w:rPr>
          <w:lang w:val="en-US"/>
        </w:rPr>
        <w:t xml:space="preserve"> </w:t>
      </w:r>
      <w:r>
        <w:t>电动底盘应设有防误闭锁功能</w:t>
      </w:r>
    </w:p>
    <w:p w14:paraId="52417BB5">
      <w:pPr>
        <w:pStyle w:val="32"/>
        <w:ind w:firstLine="1440" w:firstLineChars="600"/>
        <w:rPr>
          <w:rFonts w:hint="default"/>
          <w:lang w:val="en-US"/>
        </w:rPr>
      </w:pPr>
      <w:r>
        <w:rPr>
          <w:lang w:val="en-US"/>
        </w:rPr>
        <w:t>断路器手车处于中间位置（非工作位置及试验位置）时，电动底盘应配置机械联锁防止断路器进行合闸操作；</w:t>
      </w:r>
    </w:p>
    <w:p w14:paraId="1366C7D3">
      <w:pPr>
        <w:pStyle w:val="32"/>
        <w:ind w:firstLine="1440" w:firstLineChars="600"/>
        <w:rPr>
          <w:rFonts w:hint="default"/>
        </w:rPr>
      </w:pPr>
      <w:r>
        <w:rPr>
          <w:lang w:val="en-US"/>
        </w:rPr>
        <w:t>断路器处于合闸位置时，断路器及底盘应配置机械联锁防护装置，防止断路器手车进、出操作；</w:t>
      </w:r>
    </w:p>
    <w:p w14:paraId="15A6510E">
      <w:pPr>
        <w:pStyle w:val="32"/>
        <w:ind w:firstLine="1440" w:firstLineChars="600"/>
        <w:rPr>
          <w:rFonts w:hint="default"/>
        </w:rPr>
      </w:pPr>
      <w:r>
        <w:rPr>
          <w:lang w:val="en-US"/>
        </w:rPr>
        <w:t>断路器手车处于工作位置或中间位置时，电动底盘应配置机械闭锁装置，防止电动快速接地开关合闸操作；仅当断路器手车处于试验位置和检修位置时电动快速接地开关方可合闸；</w:t>
      </w:r>
    </w:p>
    <w:p w14:paraId="0F8E33E5">
      <w:pPr>
        <w:pStyle w:val="32"/>
        <w:ind w:firstLine="1440" w:firstLineChars="600"/>
        <w:rPr>
          <w:rFonts w:hint="default"/>
        </w:rPr>
      </w:pPr>
      <w:r>
        <w:t>当电动快速接地开关处于合闸位置时，电动底盘应配置机械闭锁防止断路器手车进、出操作；</w:t>
      </w:r>
    </w:p>
    <w:p w14:paraId="29FF923D">
      <w:pPr>
        <w:pStyle w:val="32"/>
        <w:ind w:firstLine="1440" w:firstLineChars="600"/>
        <w:rPr>
          <w:rFonts w:hint="default"/>
          <w:lang w:val="en-US"/>
        </w:rPr>
      </w:pPr>
      <w:r>
        <w:t>断路器手车推入开关柜后，电动底盘应配置机械联锁装置使手车固定在开关柜体上；断路器手车在中间位置和工作位置时，电动底盘应自带机械闭锁防止断路器从开关柜中移出</w:t>
      </w:r>
      <w:r>
        <w:rPr>
          <w:lang w:val="en-US"/>
        </w:rPr>
        <w:t>；</w:t>
      </w:r>
    </w:p>
    <w:p w14:paraId="21CBB0C2">
      <w:pPr>
        <w:pStyle w:val="32"/>
        <w:ind w:firstLine="1440" w:firstLineChars="600"/>
        <w:rPr>
          <w:rFonts w:hint="default"/>
          <w:lang w:val="en-US"/>
        </w:rPr>
      </w:pPr>
      <w:r>
        <w:t>断路器室关门操作闭锁功能：仅当断路器室门处于关闭状态，断路器方可进行进、出操作</w:t>
      </w:r>
      <w:r>
        <w:rPr>
          <w:lang w:val="en-US"/>
        </w:rPr>
        <w:t>；</w:t>
      </w:r>
    </w:p>
    <w:p w14:paraId="1C57D1AF">
      <w:pPr>
        <w:pStyle w:val="32"/>
        <w:ind w:firstLine="1440" w:firstLineChars="600"/>
        <w:rPr>
          <w:rFonts w:hint="default"/>
        </w:rPr>
      </w:pPr>
      <w:r>
        <w:t>断路器手车处于试验位置时断路器室门才可以打开,断路器进、进操作过程中或断路器手车处于工作位置时柜门不能被打开。</w:t>
      </w:r>
    </w:p>
    <w:p w14:paraId="6ADB4686">
      <w:pPr>
        <w:pStyle w:val="32"/>
        <w:ind w:firstLine="960"/>
        <w:rPr>
          <w:rFonts w:hint="default"/>
          <w:lang w:val="en-US"/>
        </w:rPr>
      </w:pPr>
      <w:r>
        <w:rPr>
          <w:lang w:val="en-US"/>
        </w:rPr>
        <w:t>3.1.11.3 电动接地开关要求</w:t>
      </w:r>
    </w:p>
    <w:p w14:paraId="69C86753">
      <w:pPr>
        <w:pStyle w:val="32"/>
        <w:ind w:firstLine="1440" w:firstLineChars="600"/>
        <w:rPr>
          <w:rFonts w:hint="default"/>
          <w:lang w:val="en-US"/>
        </w:rPr>
      </w:pPr>
      <w:r>
        <w:rPr>
          <w:lang w:val="en-US"/>
        </w:rPr>
        <w:t>电动接地开关需要国家权威机构提供的型式试验报告。</w:t>
      </w:r>
    </w:p>
    <w:p w14:paraId="3D00F625">
      <w:pPr>
        <w:pStyle w:val="32"/>
        <w:ind w:firstLine="1440" w:firstLineChars="600"/>
        <w:rPr>
          <w:rFonts w:hint="default"/>
          <w:lang w:val="en-US"/>
        </w:rPr>
      </w:pPr>
      <w:r>
        <w:rPr>
          <w:lang w:val="en-US"/>
        </w:rPr>
        <w:t>电动快速接地开关应安装在开关柜中下部，电动快速接地开关本体有位置状态指示，在仪表室面板上有电动快速接地开关分、合闸指示灯，电动快速接地开关操作过程的分、合闸指示灯状态必须和电动快速接地开关本体的转换状态一致，从观察窗应能检查接地开关三相触头状态，便于检修。</w:t>
      </w:r>
    </w:p>
    <w:p w14:paraId="662DE910">
      <w:pPr>
        <w:pStyle w:val="32"/>
        <w:ind w:firstLine="1440" w:firstLineChars="600"/>
        <w:rPr>
          <w:rFonts w:hint="default"/>
          <w:lang w:val="en-US"/>
        </w:rPr>
      </w:pPr>
      <w:r>
        <w:rPr>
          <w:lang w:val="en-US"/>
        </w:rPr>
        <w:t>电动快速接地开关可分别进行手动和电动操作，手动操作和电动操作可远程自动切换，互为闭锁。驱动电机应安装在电动操作机构框架内。驱动电机配离合器，实现电动和手动操作相互独立，互为闭锁。</w:t>
      </w:r>
    </w:p>
    <w:p w14:paraId="5D1312AD">
      <w:pPr>
        <w:pStyle w:val="32"/>
        <w:ind w:firstLine="1440" w:firstLineChars="600"/>
        <w:rPr>
          <w:rFonts w:hint="default"/>
        </w:rPr>
      </w:pPr>
      <w:r>
        <w:t>辅助触点数量：不少于6开6闭。</w:t>
      </w:r>
    </w:p>
    <w:p w14:paraId="3DDEEA48">
      <w:pPr>
        <w:pStyle w:val="32"/>
        <w:ind w:firstLine="960"/>
        <w:rPr>
          <w:rFonts w:hint="default"/>
          <w:strike/>
        </w:rPr>
      </w:pPr>
      <w:r>
        <w:rPr>
          <w:lang w:val="en-US"/>
        </w:rPr>
        <w:t>3.</w:t>
      </w:r>
      <w:r>
        <w:t>1.1</w:t>
      </w:r>
      <w:r>
        <w:rPr>
          <w:lang w:val="en-US"/>
        </w:rPr>
        <w:t>1</w:t>
      </w:r>
      <w:r>
        <w:t>.4</w:t>
      </w:r>
      <w:r>
        <w:rPr>
          <w:lang w:val="en-US"/>
        </w:rPr>
        <w:t xml:space="preserve"> </w:t>
      </w:r>
      <w:r>
        <w:t>开关柜的断路器室、电缆室等应配置红外短焦距高清摄像头等视频监控装置，实现柜内可视化，实时传送远程电动操作的运行状态画面，并将相关数据上送至智能监测装置。</w:t>
      </w:r>
    </w:p>
    <w:p w14:paraId="748AF86F">
      <w:pPr>
        <w:pStyle w:val="32"/>
        <w:ind w:firstLine="960"/>
        <w:rPr>
          <w:rFonts w:hint="default"/>
        </w:rPr>
      </w:pPr>
      <w:r>
        <w:rPr>
          <w:lang w:val="en-US"/>
        </w:rPr>
        <w:t>3.</w:t>
      </w:r>
      <w:r>
        <w:t>1.1</w:t>
      </w:r>
      <w:r>
        <w:rPr>
          <w:lang w:val="en-US"/>
        </w:rPr>
        <w:t>1</w:t>
      </w:r>
      <w:r>
        <w:t>.5</w:t>
      </w:r>
      <w:r>
        <w:rPr>
          <w:lang w:val="en-US"/>
        </w:rPr>
        <w:t xml:space="preserve"> </w:t>
      </w:r>
      <w:r>
        <w:t>开关柜的断路器动、静触头以及电缆接头等关键部位安装在线无源</w:t>
      </w:r>
      <w:r>
        <w:rPr>
          <w:lang w:val="en-US"/>
        </w:rPr>
        <w:t>无线</w:t>
      </w:r>
      <w:r>
        <w:t>测温传感器（主触头上下臂、出线电缆搭接处），并具备通过无线方式与接收器连接，将数据、信号输出至智能监测装置,实现对断路器温度特性的分析。测温传感器的温度误差不大于±2℃。并将相关数据上送至电气智能化管理系统。</w:t>
      </w:r>
    </w:p>
    <w:p w14:paraId="76137380">
      <w:pPr>
        <w:pStyle w:val="32"/>
        <w:ind w:firstLine="960"/>
        <w:rPr>
          <w:rFonts w:hint="default"/>
        </w:rPr>
      </w:pPr>
      <w:r>
        <w:rPr>
          <w:lang w:val="en-US"/>
        </w:rPr>
        <w:t>3.</w:t>
      </w:r>
      <w:r>
        <w:t>1.1</w:t>
      </w:r>
      <w:r>
        <w:rPr>
          <w:lang w:val="en-US"/>
        </w:rPr>
        <w:t>1</w:t>
      </w:r>
      <w:r>
        <w:t>.6</w:t>
      </w:r>
      <w:r>
        <w:rPr>
          <w:lang w:val="en-US"/>
        </w:rPr>
        <w:t xml:space="preserve"> </w:t>
      </w:r>
      <w:r>
        <w:t>开关柜的断路器的电动底盘应装设红外激光位移传感器，并将相关数据上送至智能监测装置，实现对断路器的特性进行智能分析诊断。选用与智能监测装置配套产品。</w:t>
      </w:r>
    </w:p>
    <w:p w14:paraId="271F066F">
      <w:pPr>
        <w:pStyle w:val="32"/>
        <w:ind w:firstLine="960"/>
        <w:rPr>
          <w:rFonts w:hint="default"/>
        </w:rPr>
      </w:pPr>
      <w:r>
        <w:rPr>
          <w:lang w:val="en-US"/>
        </w:rPr>
        <w:t>3.</w:t>
      </w:r>
      <w:r>
        <w:t>1.1</w:t>
      </w:r>
      <w:r>
        <w:rPr>
          <w:lang w:val="en-US"/>
        </w:rPr>
        <w:t>1</w:t>
      </w:r>
      <w:r>
        <w:t>.7</w:t>
      </w:r>
      <w:r>
        <w:rPr>
          <w:lang w:val="en-US"/>
        </w:rPr>
        <w:t xml:space="preserve"> </w:t>
      </w:r>
      <w:r>
        <w:t>开关柜应装设人机交互装置、智能监测装置等相关智能化设备，以实现人机交互装置对电动底盘车、电动接地刀的现场可视化控制。人机交互装置应为液晶可触摸屏，并能显示视频、机械特性、电气特性、温度特性等相关数据及信息。具备将相关数据上送至电气智能化管理系统的预留接口。</w:t>
      </w:r>
    </w:p>
    <w:p w14:paraId="1480D652">
      <w:pPr>
        <w:pStyle w:val="23"/>
        <w:ind w:left="1380" w:hanging="660" w:firstLineChars="0"/>
        <w:rPr>
          <w:rFonts w:hint="default"/>
        </w:rPr>
      </w:pPr>
      <w:r>
        <w:rPr>
          <w:lang w:val="en-US"/>
        </w:rPr>
        <w:t>3.</w:t>
      </w:r>
      <w:r>
        <w:t>1.1</w:t>
      </w:r>
      <w:r>
        <w:rPr>
          <w:lang w:val="en-US"/>
        </w:rPr>
        <w:t xml:space="preserve">2 </w:t>
      </w:r>
      <w:r>
        <w:t>名称标识</w:t>
      </w:r>
    </w:p>
    <w:p w14:paraId="462086F4">
      <w:pPr>
        <w:pStyle w:val="32"/>
        <w:ind w:firstLine="960"/>
        <w:rPr>
          <w:rFonts w:hint="default"/>
        </w:rPr>
      </w:pPr>
      <w:r>
        <w:t>每台开关柜柜体正面均有永久的铭牌标志、标签、柜体编号，柜内每个设备、每根导线、每块端子板及每个指示和操作元件也有永久的铭牌、制造品牌。所有元件根据文件进行标记。</w:t>
      </w:r>
    </w:p>
    <w:p w14:paraId="7D8E333B">
      <w:pPr>
        <w:pStyle w:val="32"/>
        <w:ind w:firstLine="960"/>
        <w:rPr>
          <w:rFonts w:hint="default"/>
        </w:rPr>
      </w:pPr>
      <w:r>
        <w:t>铭牌及标示牌使用中文。采用双重编号名称，铭牌字迹清晰，经久耐用。铭牌中的内容符合GB7251标准的规定，铭牌的位置美观合理，牢固且易于运行操作人员观察。</w:t>
      </w:r>
    </w:p>
    <w:p w14:paraId="39D82B3E">
      <w:pPr>
        <w:pStyle w:val="5"/>
        <w:ind w:firstLine="480"/>
      </w:pPr>
      <w:r>
        <w:rPr>
          <w:rFonts w:hint="eastAsia"/>
        </w:rPr>
        <w:t xml:space="preserve">3.2 </w:t>
      </w:r>
      <w:r>
        <w:t>380</w:t>
      </w:r>
      <w:r>
        <w:rPr>
          <w:rFonts w:hint="eastAsia"/>
        </w:rPr>
        <w:t>V/</w:t>
      </w:r>
      <w:r>
        <w:t>690</w:t>
      </w:r>
      <w:r>
        <w:rPr>
          <w:rFonts w:hint="eastAsia"/>
        </w:rPr>
        <w:t>V低压开关柜部分</w:t>
      </w:r>
    </w:p>
    <w:p w14:paraId="0ED86C2A">
      <w:pPr>
        <w:pStyle w:val="23"/>
        <w:ind w:left="1380" w:hanging="660" w:firstLineChars="0"/>
        <w:rPr>
          <w:rFonts w:hint="default"/>
        </w:rPr>
      </w:pPr>
      <w:r>
        <w:rPr>
          <w:lang w:val="en-US"/>
        </w:rPr>
        <w:t>3.</w:t>
      </w:r>
      <w:r>
        <w:t>2.1 基本电气参数</w:t>
      </w:r>
    </w:p>
    <w:p w14:paraId="0E4248E8">
      <w:pPr>
        <w:pStyle w:val="32"/>
        <w:ind w:left="960" w:firstLine="480" w:firstLineChars="200"/>
        <w:rPr>
          <w:rFonts w:hint="default"/>
          <w:lang w:val="en-US"/>
        </w:rPr>
      </w:pPr>
      <w:r>
        <w:t>额定绝缘电压：AC1000V</w:t>
      </w:r>
      <w:r>
        <w:rPr>
          <w:lang w:val="en-US"/>
        </w:rPr>
        <w:t>；</w:t>
      </w:r>
    </w:p>
    <w:p w14:paraId="3F59705D">
      <w:pPr>
        <w:pStyle w:val="32"/>
        <w:ind w:left="960" w:firstLine="480" w:firstLineChars="200"/>
        <w:rPr>
          <w:rFonts w:hint="default"/>
          <w:lang w:val="en-US"/>
        </w:rPr>
      </w:pPr>
      <w:r>
        <w:t>绝缘试验电压：2500V／1min</w:t>
      </w:r>
      <w:r>
        <w:rPr>
          <w:lang w:val="en-US"/>
        </w:rPr>
        <w:t>；</w:t>
      </w:r>
    </w:p>
    <w:p w14:paraId="77A6FBE3">
      <w:pPr>
        <w:pStyle w:val="32"/>
        <w:ind w:left="960" w:firstLine="480" w:firstLineChars="200"/>
        <w:rPr>
          <w:rFonts w:hint="default"/>
          <w:lang w:val="en-US"/>
        </w:rPr>
      </w:pPr>
      <w:r>
        <w:t>热稳定：须满足设计要求</w:t>
      </w:r>
      <w:r>
        <w:rPr>
          <w:lang w:val="en-US"/>
        </w:rPr>
        <w:t>；</w:t>
      </w:r>
    </w:p>
    <w:p w14:paraId="15F653B9">
      <w:pPr>
        <w:pStyle w:val="32"/>
        <w:ind w:left="960" w:firstLine="480" w:firstLineChars="200"/>
        <w:rPr>
          <w:rFonts w:hint="default"/>
          <w:lang w:val="en-US"/>
        </w:rPr>
      </w:pPr>
      <w:r>
        <w:t>动稳定：须满足设计要求</w:t>
      </w:r>
      <w:r>
        <w:rPr>
          <w:lang w:val="en-US"/>
        </w:rPr>
        <w:t>；</w:t>
      </w:r>
    </w:p>
    <w:p w14:paraId="56795877">
      <w:pPr>
        <w:pStyle w:val="32"/>
        <w:ind w:left="960" w:firstLine="480" w:firstLineChars="200"/>
        <w:rPr>
          <w:rFonts w:hint="default"/>
        </w:rPr>
      </w:pPr>
      <w:r>
        <w:t>所有元件降容系数：0.</w:t>
      </w:r>
      <w:r>
        <w:rPr>
          <w:rFonts w:hint="default"/>
        </w:rPr>
        <w:t>7</w:t>
      </w:r>
      <w:r>
        <w:t>。</w:t>
      </w:r>
    </w:p>
    <w:p w14:paraId="2B4567F0">
      <w:pPr>
        <w:pStyle w:val="23"/>
        <w:ind w:left="1380" w:hanging="660" w:firstLineChars="0"/>
        <w:rPr>
          <w:rFonts w:hint="default"/>
        </w:rPr>
      </w:pPr>
      <w:r>
        <w:rPr>
          <w:lang w:val="en-US"/>
        </w:rPr>
        <w:t>3.</w:t>
      </w:r>
      <w:r>
        <w:t>2.2 低压柜柜型：MNS抽屉式开关柜或同类型开关柜。</w:t>
      </w:r>
    </w:p>
    <w:p w14:paraId="599E6B18">
      <w:pPr>
        <w:pStyle w:val="23"/>
        <w:ind w:left="1380" w:hanging="660" w:firstLineChars="0"/>
        <w:rPr>
          <w:rFonts w:hint="default"/>
        </w:rPr>
      </w:pPr>
      <w:r>
        <w:rPr>
          <w:lang w:val="en-US"/>
        </w:rPr>
        <w:t>3.</w:t>
      </w:r>
      <w:r>
        <w:t>2.3 柜体要求</w:t>
      </w:r>
    </w:p>
    <w:p w14:paraId="435EAA2A">
      <w:pPr>
        <w:pStyle w:val="32"/>
        <w:ind w:firstLine="960"/>
        <w:rPr>
          <w:rFonts w:hint="default"/>
        </w:rPr>
      </w:pPr>
      <w:r>
        <w:rPr>
          <w:lang w:val="en-US"/>
        </w:rPr>
        <w:t>3.</w:t>
      </w:r>
      <w:r>
        <w:t>2.3.1</w:t>
      </w:r>
      <w:r>
        <w:rPr>
          <w:lang w:val="en-US"/>
        </w:rPr>
        <w:t xml:space="preserve"> </w:t>
      </w:r>
      <w:r>
        <w:t>柜体结构。</w:t>
      </w:r>
    </w:p>
    <w:p w14:paraId="5D707AC2">
      <w:pPr>
        <w:pStyle w:val="32"/>
        <w:ind w:firstLine="1440" w:firstLineChars="600"/>
        <w:rPr>
          <w:rFonts w:hint="default"/>
        </w:rPr>
      </w:pPr>
      <w:r>
        <w:t>柜型：低压柜采用组装式模数化抽屉式柜型，柜体外壳防护等级为IP4X，柜内各功能隔室间防护等级应达到IP2X的水平。</w:t>
      </w:r>
    </w:p>
    <w:p w14:paraId="1450A25B">
      <w:pPr>
        <w:pStyle w:val="32"/>
        <w:ind w:firstLine="1440" w:firstLineChars="600"/>
        <w:rPr>
          <w:rFonts w:hint="default"/>
        </w:rPr>
      </w:pPr>
      <w:r>
        <w:t>柜体安装为不靠墙。</w:t>
      </w:r>
    </w:p>
    <w:p w14:paraId="5B0CB6AD">
      <w:pPr>
        <w:pStyle w:val="32"/>
        <w:ind w:firstLine="1440" w:firstLineChars="600"/>
        <w:rPr>
          <w:rFonts w:hint="default"/>
          <w:lang w:val="en-US"/>
        </w:rPr>
      </w:pPr>
      <w:r>
        <w:t>柜体外壳采用不小于2mm厚的高质量的冷轧钢板。</w:t>
      </w:r>
    </w:p>
    <w:p w14:paraId="5F62CD3C">
      <w:pPr>
        <w:pStyle w:val="32"/>
        <w:ind w:firstLine="1440" w:firstLineChars="600"/>
        <w:rPr>
          <w:rFonts w:hint="default"/>
        </w:rPr>
      </w:pPr>
      <w:r>
        <w:t>开关柜设有多功能表，显示三相电流表、有功电度表、无功电度表、有功功率表、功率因数表等并具有通信功能（RS485、modbus、脉冲等），将以上数据传至电力监控系统。进线开关、联络开关、母线电压、S</w:t>
      </w:r>
      <w:r>
        <w:rPr>
          <w:rFonts w:hint="default"/>
        </w:rPr>
        <w:t>VG</w:t>
      </w:r>
      <w:r>
        <w:t>、有源滤波、框架断路器触头温度等信号送入电力监控系统。</w:t>
      </w:r>
    </w:p>
    <w:p w14:paraId="5C624284">
      <w:pPr>
        <w:pStyle w:val="32"/>
        <w:ind w:firstLine="960"/>
        <w:rPr>
          <w:rFonts w:hint="default"/>
        </w:rPr>
      </w:pPr>
      <w:bookmarkStart w:id="163" w:name="_Toc241225316"/>
      <w:r>
        <w:rPr>
          <w:lang w:val="en-US"/>
        </w:rPr>
        <w:t>3.</w:t>
      </w:r>
      <w:r>
        <w:t>2.3.2</w:t>
      </w:r>
      <w:r>
        <w:rPr>
          <w:lang w:val="en-US"/>
        </w:rPr>
        <w:t xml:space="preserve"> </w:t>
      </w:r>
      <w:r>
        <w:t>主母线和分支母线</w:t>
      </w:r>
      <w:bookmarkEnd w:id="163"/>
    </w:p>
    <w:p w14:paraId="7B22F7D3">
      <w:pPr>
        <w:pStyle w:val="32"/>
        <w:ind w:firstLine="1440" w:firstLineChars="600"/>
        <w:rPr>
          <w:rFonts w:hint="default"/>
        </w:rPr>
      </w:pPr>
      <w:r>
        <w:t>分支母线及接头都应装设绝缘热缩材料。</w:t>
      </w:r>
    </w:p>
    <w:p w14:paraId="5596D824">
      <w:pPr>
        <w:pStyle w:val="32"/>
        <w:ind w:firstLine="960"/>
        <w:rPr>
          <w:rFonts w:hint="default"/>
          <w:kern w:val="0"/>
        </w:rPr>
      </w:pPr>
      <w:r>
        <w:rPr>
          <w:lang w:val="en-US"/>
        </w:rPr>
        <w:t>3.</w:t>
      </w:r>
      <w:r>
        <w:t>2.3.3</w:t>
      </w:r>
      <w:r>
        <w:rPr>
          <w:lang w:val="en-US"/>
        </w:rPr>
        <w:t xml:space="preserve"> </w:t>
      </w:r>
      <w:r>
        <w:t>所有的进线单元（630A以上开关为抽出式框架断路器），配电馈线单元（400A及以上）全部采用固定分隔式，塑壳开关采用抽出式开关，所有的配电单元（400A以下）全部采用抽屉式；电机控制单元，90kW及以上采用固定分隔式，塑壳开关采用抽出式开关；75kW及以下采用抽屉式。</w:t>
      </w:r>
    </w:p>
    <w:p w14:paraId="71D4D845">
      <w:pPr>
        <w:pStyle w:val="23"/>
        <w:ind w:left="1380" w:hanging="660" w:firstLineChars="0"/>
        <w:rPr>
          <w:rFonts w:hint="default"/>
        </w:rPr>
      </w:pPr>
      <w:r>
        <w:rPr>
          <w:lang w:val="en-US"/>
        </w:rPr>
        <w:t>3.</w:t>
      </w:r>
      <w:r>
        <w:t>2.4 低压电器元件主要技术参数</w:t>
      </w:r>
    </w:p>
    <w:p w14:paraId="448A34CA">
      <w:pPr>
        <w:pStyle w:val="32"/>
        <w:ind w:firstLine="960"/>
        <w:rPr>
          <w:rFonts w:hint="default"/>
        </w:rPr>
      </w:pPr>
      <w:r>
        <w:rPr>
          <w:lang w:val="en-US"/>
        </w:rPr>
        <w:t xml:space="preserve">3.2.4.1 </w:t>
      </w:r>
      <w:r>
        <w:t>框架断路器：In＞800A采用框架断路器。</w:t>
      </w:r>
    </w:p>
    <w:p w14:paraId="25253FAB">
      <w:pPr>
        <w:pStyle w:val="32"/>
        <w:ind w:firstLine="1440" w:firstLineChars="600"/>
        <w:rPr>
          <w:rFonts w:hint="default"/>
        </w:rPr>
      </w:pPr>
      <w:r>
        <w:t>框架断路器保护脱扣器应选用电子脱扣器，控制单元应带液晶数字显示功能。控制单元功能包括：可调整长延时保护、可调整短延时保护和可调整瞬时脱扣保护和接地保护，另外还应至少具有相不平衡保护、L和S热记忆、超温保护、自身诊断、故障查询等功能。操作机构应为弹簧储能型，带有手动和电机储能。电动操作机构,机械自保持。</w:t>
      </w:r>
    </w:p>
    <w:p w14:paraId="7A673533">
      <w:pPr>
        <w:pStyle w:val="32"/>
        <w:ind w:firstLine="1440" w:firstLineChars="600"/>
        <w:rPr>
          <w:rFonts w:hint="default"/>
          <w:lang w:val="en-US"/>
        </w:rPr>
      </w:pPr>
      <w:r>
        <w:t>额定运行短路分断能力Ics（有效值）：须满足设计要求</w:t>
      </w:r>
      <w:r>
        <w:rPr>
          <w:lang w:val="en-US"/>
        </w:rPr>
        <w:t>；</w:t>
      </w:r>
    </w:p>
    <w:p w14:paraId="32030380">
      <w:pPr>
        <w:pStyle w:val="32"/>
        <w:ind w:firstLine="1440" w:firstLineChars="600"/>
        <w:rPr>
          <w:rFonts w:hint="default"/>
        </w:rPr>
      </w:pPr>
      <w:r>
        <w:t>额定极限短路分断能力Icu：Ics=100%Icu；</w:t>
      </w:r>
    </w:p>
    <w:p w14:paraId="45C1D328">
      <w:pPr>
        <w:pStyle w:val="32"/>
        <w:ind w:firstLine="1440" w:firstLineChars="600"/>
        <w:rPr>
          <w:rFonts w:hint="default"/>
        </w:rPr>
      </w:pPr>
      <w:r>
        <w:t>极限通断周期分量（有效值）：须满足设计要求 ；</w:t>
      </w:r>
    </w:p>
    <w:p w14:paraId="115B2149">
      <w:pPr>
        <w:pStyle w:val="32"/>
        <w:ind w:firstLine="1440" w:firstLineChars="600"/>
        <w:rPr>
          <w:rFonts w:hint="default"/>
        </w:rPr>
      </w:pPr>
      <w:r>
        <w:t>合闸时间：&lt;0.09s；</w:t>
      </w:r>
    </w:p>
    <w:p w14:paraId="0D3CD58E">
      <w:pPr>
        <w:pStyle w:val="32"/>
        <w:ind w:firstLine="1440" w:firstLineChars="600"/>
        <w:rPr>
          <w:rFonts w:hint="default"/>
        </w:rPr>
      </w:pPr>
      <w:r>
        <w:t>分断时间：&lt;0.08s；</w:t>
      </w:r>
    </w:p>
    <w:p w14:paraId="3936142C">
      <w:pPr>
        <w:pStyle w:val="32"/>
        <w:ind w:firstLine="1440" w:firstLineChars="600"/>
        <w:rPr>
          <w:rFonts w:hint="default"/>
          <w:lang w:val="en-US"/>
        </w:rPr>
      </w:pPr>
      <w:r>
        <w:t>电寿命： 4000A及以下断路器：≥10000次；4000A及以上断路器：≥4000次</w:t>
      </w:r>
      <w:r>
        <w:rPr>
          <w:lang w:val="en-US"/>
        </w:rPr>
        <w:t>；</w:t>
      </w:r>
    </w:p>
    <w:p w14:paraId="1E72BA4F">
      <w:pPr>
        <w:pStyle w:val="32"/>
        <w:ind w:firstLine="1440" w:firstLineChars="600"/>
        <w:rPr>
          <w:rFonts w:hint="default"/>
          <w:lang w:val="en-US"/>
        </w:rPr>
      </w:pPr>
      <w:r>
        <w:t>机械寿命：4000A及以下断路器：≥20000次；4000A及以上断路器：≥12000次</w:t>
      </w:r>
      <w:r>
        <w:rPr>
          <w:lang w:val="en-US"/>
        </w:rPr>
        <w:t>；</w:t>
      </w:r>
    </w:p>
    <w:p w14:paraId="26A3B758">
      <w:pPr>
        <w:pStyle w:val="32"/>
        <w:ind w:firstLine="1440" w:firstLineChars="600"/>
        <w:rPr>
          <w:rFonts w:hint="default"/>
        </w:rPr>
      </w:pPr>
      <w:r>
        <w:t>框架断路器安装无源无线在线测温装置及通讯功能。连接至电力后台监控系统。</w:t>
      </w:r>
    </w:p>
    <w:p w14:paraId="45A501E1">
      <w:pPr>
        <w:pStyle w:val="32"/>
        <w:ind w:firstLine="960"/>
        <w:rPr>
          <w:rFonts w:hint="default"/>
        </w:rPr>
      </w:pPr>
      <w:r>
        <w:rPr>
          <w:lang w:val="en-US"/>
        </w:rPr>
        <w:t xml:space="preserve">3.2.4.2 </w:t>
      </w:r>
      <w:r>
        <w:t>塑壳断路器</w:t>
      </w:r>
    </w:p>
    <w:p w14:paraId="50C63D22">
      <w:pPr>
        <w:pStyle w:val="32"/>
        <w:ind w:firstLine="1440" w:firstLineChars="600"/>
        <w:rPr>
          <w:rFonts w:hint="default"/>
        </w:rPr>
      </w:pPr>
      <w:r>
        <w:t>额定运行短路分断能力Ics（有效值）：须满足设计要求；</w:t>
      </w:r>
    </w:p>
    <w:p w14:paraId="536DDCE5">
      <w:pPr>
        <w:pStyle w:val="32"/>
        <w:ind w:firstLine="1440" w:firstLineChars="600"/>
        <w:rPr>
          <w:rFonts w:hint="default"/>
        </w:rPr>
      </w:pPr>
      <w:r>
        <w:t>额定极限短路分断能力Icu：Ics=100%Icu须满足设计要求；</w:t>
      </w:r>
    </w:p>
    <w:p w14:paraId="41D18A6F">
      <w:pPr>
        <w:pStyle w:val="32"/>
        <w:ind w:firstLine="1440" w:firstLineChars="600"/>
        <w:rPr>
          <w:rFonts w:hint="default"/>
          <w:lang w:val="en-US"/>
        </w:rPr>
      </w:pPr>
      <w:r>
        <w:t>塑壳断路器≤250A时选用电磁或热磁脱扣器，＞250A时选用电子脱扣器，同时具有LSI三段保护，提供长延时、短延时、瞬时短路保护功能。</w:t>
      </w:r>
    </w:p>
    <w:p w14:paraId="22380217">
      <w:pPr>
        <w:pStyle w:val="32"/>
        <w:ind w:firstLine="960"/>
        <w:rPr>
          <w:rFonts w:hint="default"/>
        </w:rPr>
      </w:pPr>
      <w:r>
        <w:rPr>
          <w:lang w:val="en-US"/>
        </w:rPr>
        <w:t xml:space="preserve">3.2.4.3 </w:t>
      </w:r>
      <w:r>
        <w:t>微型断路器</w:t>
      </w:r>
    </w:p>
    <w:p w14:paraId="51D28E1A">
      <w:pPr>
        <w:pStyle w:val="32"/>
        <w:ind w:firstLine="960"/>
        <w:rPr>
          <w:rFonts w:hint="default"/>
        </w:rPr>
      </w:pPr>
      <w:r>
        <w:t>额定运行短路分断能力Ics（有效值）：须满足设计要求。</w:t>
      </w:r>
    </w:p>
    <w:p w14:paraId="78BE296E">
      <w:pPr>
        <w:pStyle w:val="32"/>
        <w:ind w:firstLine="960"/>
        <w:rPr>
          <w:rFonts w:hint="default"/>
        </w:rPr>
      </w:pPr>
      <w:r>
        <w:rPr>
          <w:lang w:val="en-US"/>
        </w:rPr>
        <w:t xml:space="preserve">3.2.4.4 </w:t>
      </w:r>
      <w:r>
        <w:t>接触器</w:t>
      </w:r>
    </w:p>
    <w:p w14:paraId="4A59906F">
      <w:pPr>
        <w:pStyle w:val="32"/>
        <w:ind w:firstLine="960"/>
        <w:rPr>
          <w:rFonts w:hint="default"/>
        </w:rPr>
      </w:pPr>
      <w:r>
        <w:t>选用AC-3类型接触器，接触器的额定值比电机保护输出的正常额定值至少留有充分的余量，接触器控制电压为交流220V，辅助触点数量不少于2NO+2NC，中间继电器具有4对点。</w:t>
      </w:r>
    </w:p>
    <w:p w14:paraId="68511841">
      <w:pPr>
        <w:pStyle w:val="32"/>
        <w:ind w:firstLine="960"/>
        <w:rPr>
          <w:rFonts w:hint="default"/>
        </w:rPr>
      </w:pPr>
      <w:r>
        <w:rPr>
          <w:lang w:val="en-US"/>
        </w:rPr>
        <w:t xml:space="preserve">3.2.4.5 </w:t>
      </w:r>
      <w:r>
        <w:t>浪涌保护器</w:t>
      </w:r>
    </w:p>
    <w:p w14:paraId="400C2040">
      <w:pPr>
        <w:pStyle w:val="32"/>
        <w:ind w:firstLine="960"/>
        <w:rPr>
          <w:rFonts w:hint="default"/>
          <w:lang w:val="en-US"/>
        </w:rPr>
      </w:pPr>
      <w:r>
        <w:t>电源一级浪涌保护器符合GB18802-2020、GB50057-2010。要求通过10/350μs波形冲击电流测试</w:t>
      </w:r>
      <w:r>
        <w:rPr>
          <w:lang w:val="en-US"/>
        </w:rPr>
        <w:t>；</w:t>
      </w:r>
    </w:p>
    <w:p w14:paraId="3EB809C4">
      <w:pPr>
        <w:pStyle w:val="32"/>
        <w:ind w:firstLine="960"/>
        <w:rPr>
          <w:rFonts w:hint="default"/>
          <w:lang w:val="en-US"/>
        </w:rPr>
      </w:pPr>
      <w:r>
        <w:t>电源第二级浪涌保护器符合GB18802-2020、GB50057-2010。要求通过8/20μs波形冲击电流测试</w:t>
      </w:r>
      <w:r>
        <w:rPr>
          <w:lang w:val="en-US"/>
        </w:rPr>
        <w:t>；</w:t>
      </w:r>
    </w:p>
    <w:p w14:paraId="389E4B8B">
      <w:pPr>
        <w:pStyle w:val="32"/>
        <w:ind w:firstLine="960"/>
        <w:rPr>
          <w:rFonts w:hint="default"/>
        </w:rPr>
      </w:pPr>
      <w:r>
        <w:t>电源电涌保护器必须具有国家认监委认可的检测机构出示的产品检测报告。</w:t>
      </w:r>
    </w:p>
    <w:p w14:paraId="604460D3">
      <w:pPr>
        <w:pStyle w:val="32"/>
        <w:ind w:firstLine="960"/>
        <w:rPr>
          <w:rFonts w:hint="default"/>
        </w:rPr>
      </w:pPr>
      <w:r>
        <w:t>提供国家防雷检测中心的检测报告。</w:t>
      </w:r>
    </w:p>
    <w:p w14:paraId="7F4043D3">
      <w:pPr>
        <w:pStyle w:val="32"/>
        <w:ind w:firstLine="960"/>
        <w:rPr>
          <w:rFonts w:hint="default"/>
        </w:rPr>
      </w:pPr>
      <w:r>
        <w:rPr>
          <w:lang w:val="en-US"/>
        </w:rPr>
        <w:t xml:space="preserve">3.2.4.6 </w:t>
      </w:r>
      <w:r>
        <w:t>各抽屉单元内的一次回路采用软电缆接线。</w:t>
      </w:r>
    </w:p>
    <w:p w14:paraId="24281984">
      <w:pPr>
        <w:pStyle w:val="32"/>
        <w:ind w:firstLine="960"/>
        <w:rPr>
          <w:rFonts w:hint="default"/>
        </w:rPr>
      </w:pPr>
      <w:r>
        <w:rPr>
          <w:lang w:val="en-US"/>
        </w:rPr>
        <w:t xml:space="preserve">3.2.4.7 </w:t>
      </w:r>
      <w:r>
        <w:t>二次回路</w:t>
      </w:r>
    </w:p>
    <w:p w14:paraId="0EE8097F">
      <w:pPr>
        <w:pStyle w:val="32"/>
        <w:ind w:firstLine="960"/>
        <w:rPr>
          <w:rFonts w:hint="default"/>
        </w:rPr>
      </w:pPr>
      <w:r>
        <w:t>所有元件外接引线均经端子排接入或引出，柜内控制线用线槽敷设，所有端子额定值不小于25A、500V，每个端子须标上原理接线图上指定的编号。</w:t>
      </w:r>
    </w:p>
    <w:p w14:paraId="4CF8AD75">
      <w:pPr>
        <w:pStyle w:val="32"/>
        <w:ind w:firstLine="960"/>
        <w:rPr>
          <w:rFonts w:hint="default"/>
        </w:rPr>
      </w:pPr>
      <w:r>
        <w:t>供电流互感器接线用的端子排应是电流型端子。</w:t>
      </w:r>
    </w:p>
    <w:p w14:paraId="5C6EB5A8">
      <w:pPr>
        <w:pStyle w:val="32"/>
        <w:ind w:firstLine="960"/>
        <w:rPr>
          <w:rFonts w:hint="default"/>
        </w:rPr>
      </w:pPr>
      <w:r>
        <w:t>不同电压等级的端子均设隔离，并使其在安装、接线、维修、试验和更换时便于操作。柜上应留有总端子数的20%的空端子作为备用端子。</w:t>
      </w:r>
    </w:p>
    <w:p w14:paraId="15C2511B">
      <w:pPr>
        <w:pStyle w:val="32"/>
        <w:ind w:firstLine="960"/>
        <w:rPr>
          <w:rFonts w:hint="default"/>
        </w:rPr>
      </w:pPr>
      <w:r>
        <w:t>控制回路导线均采用PVC绝缘的BVR－0.5kV导线，导线截面≮1.5mm</w:t>
      </w:r>
      <w:r>
        <w:rPr>
          <w:vertAlign w:val="superscript"/>
        </w:rPr>
        <w:t>2</w:t>
      </w:r>
      <w:r>
        <w:t>，电流回路截面≮</w:t>
      </w:r>
      <w:r>
        <w:rPr>
          <w:rFonts w:hint="default"/>
        </w:rPr>
        <w:t>4</w:t>
      </w:r>
      <w:r>
        <w:t>mm</w:t>
      </w:r>
      <w:r>
        <w:rPr>
          <w:vertAlign w:val="superscript"/>
        </w:rPr>
        <w:t>2</w:t>
      </w:r>
      <w:r>
        <w:t>。导线两端均应编号，导线任何的连接部分不能焊接。</w:t>
      </w:r>
    </w:p>
    <w:p w14:paraId="0026E139">
      <w:pPr>
        <w:pStyle w:val="32"/>
        <w:ind w:firstLine="960"/>
        <w:rPr>
          <w:rFonts w:hint="default"/>
        </w:rPr>
      </w:pPr>
      <w:r>
        <w:t>柜内母线和导线的颜色应符合GB2681《电工成套装置中的导线颜色》的规定。外部保护导体的接线端应标上接地符号。</w:t>
      </w:r>
    </w:p>
    <w:p w14:paraId="63F323D2">
      <w:pPr>
        <w:pStyle w:val="32"/>
        <w:ind w:firstLine="960"/>
        <w:rPr>
          <w:rFonts w:hint="default"/>
        </w:rPr>
      </w:pPr>
      <w:r>
        <w:rPr>
          <w:lang w:val="en-US"/>
        </w:rPr>
        <w:t xml:space="preserve">3.2.4.8 </w:t>
      </w:r>
      <w:r>
        <w:t>名称标识</w:t>
      </w:r>
    </w:p>
    <w:p w14:paraId="683B3D9F">
      <w:pPr>
        <w:pStyle w:val="32"/>
        <w:ind w:firstLine="960"/>
        <w:rPr>
          <w:rFonts w:hint="default"/>
        </w:rPr>
      </w:pPr>
      <w:r>
        <w:t>每台开关柜柜体正面均有永久的铭牌标志、标签、柜体编号，柜内每个设备、每根导线、每块端子板及每个指示和操作元件也有永久的铭牌、制造品牌。所有元件根据文件进行标记。</w:t>
      </w:r>
    </w:p>
    <w:p w14:paraId="670FAB6E">
      <w:pPr>
        <w:pStyle w:val="32"/>
        <w:ind w:firstLine="960"/>
        <w:rPr>
          <w:rFonts w:hint="default"/>
        </w:rPr>
      </w:pPr>
      <w:r>
        <w:t>铭牌及标示牌使用中文。采用双重编号名称，铭牌字迹清晰，经久耐用。铭牌中的内容符合GB7251标准的规定，铭牌的位置美观合理，牢固且易于运行操作人员观察。</w:t>
      </w:r>
    </w:p>
    <w:p w14:paraId="7343AD0F">
      <w:pPr>
        <w:pStyle w:val="5"/>
        <w:ind w:firstLine="480"/>
      </w:pPr>
      <w:r>
        <w:rPr>
          <w:rFonts w:hint="eastAsia"/>
        </w:rPr>
        <w:t>3.3 检修箱、操作箱</w:t>
      </w:r>
    </w:p>
    <w:p w14:paraId="6DA6D8C4">
      <w:pPr>
        <w:pStyle w:val="23"/>
        <w:ind w:left="1380" w:hanging="660" w:firstLineChars="0"/>
        <w:rPr>
          <w:rFonts w:hint="default"/>
        </w:rPr>
      </w:pPr>
      <w:r>
        <w:rPr>
          <w:lang w:val="en-US"/>
        </w:rPr>
        <w:t>3.</w:t>
      </w:r>
      <w:r>
        <w:t>3.1</w:t>
      </w:r>
      <w:r>
        <w:rPr>
          <w:lang w:val="en-US"/>
        </w:rPr>
        <w:t xml:space="preserve"> </w:t>
      </w:r>
      <w:r>
        <w:t>结构要求</w:t>
      </w:r>
    </w:p>
    <w:p w14:paraId="0E4046DF">
      <w:pPr>
        <w:pStyle w:val="32"/>
        <w:ind w:firstLine="960"/>
        <w:rPr>
          <w:rFonts w:hint="default"/>
        </w:rPr>
      </w:pPr>
      <w:r>
        <w:rPr>
          <w:lang w:val="en-US"/>
        </w:rPr>
        <w:t xml:space="preserve">3.3.1.1 </w:t>
      </w:r>
      <w:r>
        <w:t>端子置、检修箱采用壁挂式安装，防尘式，单层门。操作箱采用双层门，门上中间装有机玻璃，便于观察。外壳防护等级：室内：IP54，室外：IP56。</w:t>
      </w:r>
    </w:p>
    <w:p w14:paraId="640138CC">
      <w:pPr>
        <w:pStyle w:val="32"/>
        <w:ind w:firstLine="960"/>
        <w:rPr>
          <w:rFonts w:hint="default"/>
        </w:rPr>
      </w:pPr>
      <w:r>
        <w:rPr>
          <w:lang w:val="en-US"/>
        </w:rPr>
        <w:t xml:space="preserve">3.3.1.2 </w:t>
      </w:r>
      <w:r>
        <w:t>箱体材质选用不锈钢304材质，钢板厚度1.5mm以上。</w:t>
      </w:r>
    </w:p>
    <w:p w14:paraId="7F64F98B">
      <w:pPr>
        <w:pStyle w:val="32"/>
        <w:ind w:firstLine="960"/>
        <w:rPr>
          <w:rFonts w:hint="default"/>
        </w:rPr>
      </w:pPr>
      <w:r>
        <w:rPr>
          <w:lang w:val="en-US"/>
        </w:rPr>
        <w:t>3.3.1.3</w:t>
      </w:r>
      <w:r>
        <w:t>检修电源箱内设有2P220V回路不少于2个，3P380V回路不少于2个，2P及3P漏保回路不少于2个，并设置模数化插座回路。检修电源箱内设有36V/24V/12V检修电源回路，回路数不少于3个，变压器为铜质线圈隔离变压器。建筑物及构筑物每层至少设置一个检修电源箱，原则上间隔</w:t>
      </w:r>
      <w:r>
        <w:rPr>
          <w:rFonts w:hint="default"/>
        </w:rPr>
        <w:t>5</w:t>
      </w:r>
      <w:r>
        <w:t>0米配置至少一个检修电源箱。</w:t>
      </w:r>
    </w:p>
    <w:p w14:paraId="3728C3BA">
      <w:pPr>
        <w:pStyle w:val="5"/>
        <w:ind w:firstLine="480"/>
      </w:pPr>
      <w:r>
        <w:rPr>
          <w:rFonts w:hint="eastAsia"/>
        </w:rPr>
        <w:t>3.4 SVG</w:t>
      </w:r>
    </w:p>
    <w:p w14:paraId="4E9C31BD">
      <w:pPr>
        <w:pStyle w:val="23"/>
        <w:ind w:firstLine="720"/>
        <w:rPr>
          <w:rFonts w:hint="default"/>
          <w:lang w:val="en-US"/>
        </w:rPr>
      </w:pPr>
      <w:r>
        <w:rPr>
          <w:lang w:val="en-US"/>
        </w:rPr>
        <w:t>3.4.1 装置内部模块化设计，各个功率单元，可独立或同时补偿无功，任何单元的故障不影响其他单元正常运行。低压静止无功发生模块需提供国家权威机构出具的型式试验报告，报告中需包含电磁兼容测试、振动试验等。</w:t>
      </w:r>
    </w:p>
    <w:p w14:paraId="4EA36034">
      <w:pPr>
        <w:pStyle w:val="23"/>
        <w:ind w:firstLine="720"/>
        <w:rPr>
          <w:rFonts w:hint="default"/>
        </w:rPr>
      </w:pPr>
      <w:r>
        <w:rPr>
          <w:lang w:val="en-US"/>
        </w:rPr>
        <w:t>3.4.2</w:t>
      </w:r>
      <w:r>
        <w:t xml:space="preserve"> 选用国际知名品牌IGBT和DSP、AD，能自动根据负载的无功和谐波电流调整输出，动态补偿。</w:t>
      </w:r>
    </w:p>
    <w:p w14:paraId="7D1031DC">
      <w:pPr>
        <w:pStyle w:val="23"/>
        <w:ind w:firstLine="720"/>
        <w:rPr>
          <w:rFonts w:hint="default"/>
        </w:rPr>
      </w:pPr>
      <w:r>
        <w:rPr>
          <w:lang w:val="en-US"/>
        </w:rPr>
        <w:t>3.</w:t>
      </w:r>
      <w:r>
        <w:t>4.3 控制算法应采用瞬时无功功率或FFT算法。</w:t>
      </w:r>
    </w:p>
    <w:p w14:paraId="219F83F5">
      <w:pPr>
        <w:pStyle w:val="32"/>
        <w:ind w:firstLine="960"/>
        <w:rPr>
          <w:rFonts w:hint="default"/>
        </w:rPr>
      </w:pPr>
      <w:r>
        <w:rPr>
          <w:lang w:val="en-US"/>
        </w:rPr>
        <w:t>3.</w:t>
      </w:r>
      <w:r>
        <w:t>4.3.1 主要技术参数</w:t>
      </w:r>
    </w:p>
    <w:p w14:paraId="6A3F7CD9">
      <w:pPr>
        <w:pStyle w:val="32"/>
        <w:ind w:firstLine="1440" w:firstLineChars="600"/>
        <w:rPr>
          <w:rFonts w:hint="default"/>
        </w:rPr>
      </w:pPr>
      <w:r>
        <w:t>1）额定电压：400V、690V，波动范围-20%~+20%；</w:t>
      </w:r>
    </w:p>
    <w:p w14:paraId="0BB87FE7">
      <w:pPr>
        <w:pStyle w:val="32"/>
        <w:ind w:firstLine="1440" w:firstLineChars="600"/>
        <w:rPr>
          <w:rFonts w:hint="default"/>
        </w:rPr>
      </w:pPr>
      <w:r>
        <w:t>2）额定频率：45-55Hz；</w:t>
      </w:r>
    </w:p>
    <w:p w14:paraId="162E40A9">
      <w:pPr>
        <w:pStyle w:val="32"/>
        <w:ind w:firstLine="1440" w:firstLineChars="600"/>
        <w:rPr>
          <w:rFonts w:hint="default"/>
          <w:lang w:val="en-US"/>
        </w:rPr>
      </w:pPr>
      <w:r>
        <w:t>3）环境温度：-10℃～+50℃</w:t>
      </w:r>
      <w:r>
        <w:rPr>
          <w:lang w:val="en-US"/>
        </w:rPr>
        <w:t>；</w:t>
      </w:r>
    </w:p>
    <w:p w14:paraId="40E72835">
      <w:pPr>
        <w:pStyle w:val="32"/>
        <w:ind w:firstLine="1440" w:firstLineChars="600"/>
        <w:rPr>
          <w:rFonts w:hint="default"/>
        </w:rPr>
      </w:pPr>
      <w:r>
        <w:rPr>
          <w:lang w:val="en-US"/>
        </w:rPr>
        <w:t>4</w:t>
      </w:r>
      <w:r>
        <w:t>）补偿效果：滤波装置投运后，在低压侧测量，容量范围内，谐波电压和谐波电流符合国标GB／T-14549-93标准；功率因数应大于0.9</w:t>
      </w:r>
      <w:r>
        <w:rPr>
          <w:rFonts w:hint="default"/>
        </w:rPr>
        <w:t>5</w:t>
      </w:r>
      <w:r>
        <w:t>且不过补偿；</w:t>
      </w:r>
    </w:p>
    <w:p w14:paraId="03C94D5F">
      <w:pPr>
        <w:pStyle w:val="32"/>
        <w:ind w:firstLine="1440" w:firstLineChars="600"/>
        <w:rPr>
          <w:rFonts w:hint="default"/>
        </w:rPr>
      </w:pPr>
      <w:r>
        <w:rPr>
          <w:lang w:val="en-US"/>
        </w:rPr>
        <w:t>5</w:t>
      </w:r>
      <w:r>
        <w:t>）动态响应时间：≤10ms；</w:t>
      </w:r>
    </w:p>
    <w:p w14:paraId="4DA34FBB">
      <w:pPr>
        <w:pStyle w:val="32"/>
        <w:ind w:firstLine="1440" w:firstLineChars="600"/>
        <w:rPr>
          <w:rFonts w:hint="default"/>
        </w:rPr>
      </w:pPr>
      <w:r>
        <w:rPr>
          <w:lang w:val="en-US"/>
        </w:rPr>
        <w:t>6</w:t>
      </w:r>
      <w:r>
        <w:t>）开关频率：30kHz(平均)；</w:t>
      </w:r>
    </w:p>
    <w:p w14:paraId="1E80FDD5">
      <w:pPr>
        <w:pStyle w:val="32"/>
        <w:ind w:firstLine="1440" w:firstLineChars="600"/>
        <w:rPr>
          <w:rFonts w:hint="default"/>
        </w:rPr>
      </w:pPr>
      <w:r>
        <w:rPr>
          <w:lang w:val="en-US"/>
        </w:rPr>
        <w:t>7</w:t>
      </w:r>
      <w:r>
        <w:t>）整机效率：＞97%；</w:t>
      </w:r>
    </w:p>
    <w:p w14:paraId="15C680AF">
      <w:pPr>
        <w:pStyle w:val="32"/>
        <w:ind w:firstLine="1440" w:firstLineChars="600"/>
        <w:rPr>
          <w:rFonts w:hint="default"/>
        </w:rPr>
      </w:pPr>
      <w:r>
        <w:rPr>
          <w:lang w:val="en-US"/>
        </w:rPr>
        <w:t>8</w:t>
      </w:r>
      <w:r>
        <w:t>）功率损耗：满载时小于额定补偿容量的3%；</w:t>
      </w:r>
    </w:p>
    <w:p w14:paraId="258A32E1">
      <w:pPr>
        <w:pStyle w:val="32"/>
        <w:ind w:firstLine="1440" w:firstLineChars="600"/>
        <w:rPr>
          <w:rFonts w:hint="default"/>
        </w:rPr>
      </w:pPr>
      <w:r>
        <w:rPr>
          <w:lang w:val="en-US"/>
        </w:rPr>
        <w:t>9</w:t>
      </w:r>
      <w:r>
        <w:t>）噪音：噪音≤60dB；</w:t>
      </w:r>
    </w:p>
    <w:p w14:paraId="406C275D">
      <w:pPr>
        <w:pStyle w:val="32"/>
        <w:ind w:firstLine="1440" w:firstLineChars="600"/>
        <w:rPr>
          <w:rFonts w:hint="default"/>
        </w:rPr>
      </w:pPr>
      <w:r>
        <w:t>1</w:t>
      </w:r>
      <w:r>
        <w:rPr>
          <w:lang w:val="en-US"/>
        </w:rPr>
        <w:t>0</w:t>
      </w:r>
      <w:r>
        <w:t>）扩容方式：模块化设计，支持多机并联扩容，并联容量不受限制。可通过增加机柜所装的模块数量进行扩容。</w:t>
      </w:r>
    </w:p>
    <w:p w14:paraId="518CD6B2">
      <w:pPr>
        <w:pStyle w:val="23"/>
        <w:ind w:firstLine="720"/>
        <w:rPr>
          <w:rFonts w:hint="default"/>
        </w:rPr>
      </w:pPr>
      <w:r>
        <w:rPr>
          <w:lang w:val="en-US"/>
        </w:rPr>
        <w:t>3.4.4</w:t>
      </w:r>
      <w:r>
        <w:t xml:space="preserve"> 技术性能</w:t>
      </w:r>
    </w:p>
    <w:p w14:paraId="59603C0B">
      <w:pPr>
        <w:pStyle w:val="32"/>
        <w:ind w:firstLine="960"/>
        <w:rPr>
          <w:rFonts w:hint="default"/>
        </w:rPr>
      </w:pPr>
      <w:r>
        <w:rPr>
          <w:lang w:val="en-US"/>
        </w:rPr>
        <w:t xml:space="preserve">3.4.4.1 </w:t>
      </w:r>
      <w:r>
        <w:t>采用全数字、模块化控制方式，主控中心做全封闭防尘处理。</w:t>
      </w:r>
    </w:p>
    <w:p w14:paraId="6D3264D6">
      <w:pPr>
        <w:pStyle w:val="32"/>
        <w:ind w:firstLine="960"/>
        <w:rPr>
          <w:rFonts w:hint="default"/>
        </w:rPr>
      </w:pPr>
      <w:r>
        <w:rPr>
          <w:lang w:val="en-US"/>
        </w:rPr>
        <w:t xml:space="preserve">3.4.4.2 </w:t>
      </w:r>
      <w:r>
        <w:t>可同时支持谐波、无功补偿、不平衡补偿，目标功率因数可调。其基波无功补偿率应能≥99%。</w:t>
      </w:r>
    </w:p>
    <w:p w14:paraId="3BD5E851">
      <w:pPr>
        <w:pStyle w:val="32"/>
        <w:ind w:firstLine="960"/>
        <w:rPr>
          <w:rFonts w:hint="default"/>
        </w:rPr>
      </w:pPr>
      <w:r>
        <w:rPr>
          <w:lang w:val="en-US"/>
        </w:rPr>
        <w:t xml:space="preserve">3.4.4.3 </w:t>
      </w:r>
      <w:r>
        <w:t>装置具备自动限定在额定容量范围内100%输出。</w:t>
      </w:r>
    </w:p>
    <w:p w14:paraId="6168FB6E">
      <w:pPr>
        <w:pStyle w:val="32"/>
        <w:ind w:firstLine="960"/>
        <w:rPr>
          <w:rFonts w:hint="default"/>
        </w:rPr>
      </w:pPr>
      <w:r>
        <w:rPr>
          <w:lang w:val="en-US"/>
        </w:rPr>
        <w:t>3.4.4.4 装置输出滤波采用LCL结构接入电网，自身的高频载波不会回馈到电网，对配电系统</w:t>
      </w:r>
      <w:r>
        <w:t>中其他设备没有干扰。</w:t>
      </w:r>
    </w:p>
    <w:p w14:paraId="6AA60E09">
      <w:pPr>
        <w:pStyle w:val="32"/>
        <w:ind w:firstLine="960"/>
        <w:rPr>
          <w:rFonts w:hint="default"/>
        </w:rPr>
      </w:pPr>
      <w:r>
        <w:rPr>
          <w:lang w:val="en-US"/>
        </w:rPr>
        <w:t>3.4.4.</w:t>
      </w:r>
      <w:r>
        <w:t>5</w:t>
      </w:r>
      <w:r>
        <w:rPr>
          <w:lang w:val="en-US"/>
        </w:rPr>
        <w:t xml:space="preserve"> </w:t>
      </w:r>
      <w:r>
        <w:t xml:space="preserve">滤波器采用直接控制方式，允许自由的选择谐波次数并对它们滤除。 </w:t>
      </w:r>
    </w:p>
    <w:p w14:paraId="7C696627">
      <w:pPr>
        <w:pStyle w:val="32"/>
        <w:ind w:firstLine="960"/>
        <w:rPr>
          <w:rFonts w:hint="default"/>
        </w:rPr>
      </w:pPr>
      <w:r>
        <w:rPr>
          <w:lang w:val="en-US"/>
        </w:rPr>
        <w:t>3.4.4.</w:t>
      </w:r>
      <w:r>
        <w:t>6</w:t>
      </w:r>
      <w:r>
        <w:rPr>
          <w:lang w:val="en-US"/>
        </w:rPr>
        <w:t xml:space="preserve"> </w:t>
      </w:r>
      <w:r>
        <w:t>自动跟踪补偿，也可改为手动自由设定补偿率。</w:t>
      </w:r>
    </w:p>
    <w:p w14:paraId="286B3DF8">
      <w:pPr>
        <w:pStyle w:val="32"/>
        <w:ind w:firstLine="960"/>
        <w:rPr>
          <w:rFonts w:hint="default"/>
        </w:rPr>
      </w:pPr>
      <w:r>
        <w:rPr>
          <w:lang w:val="en-US"/>
        </w:rPr>
        <w:t>3.4.4.</w:t>
      </w:r>
      <w:r>
        <w:t>7</w:t>
      </w:r>
      <w:r>
        <w:rPr>
          <w:lang w:val="en-US"/>
        </w:rPr>
        <w:t xml:space="preserve"> </w:t>
      </w:r>
      <w:r>
        <w:t>具有可扩展功能，可以根据工程负荷增长的需要，添加功率模块进行扩容。</w:t>
      </w:r>
    </w:p>
    <w:p w14:paraId="3F8C73DD">
      <w:pPr>
        <w:pStyle w:val="32"/>
        <w:ind w:firstLine="960"/>
        <w:rPr>
          <w:rFonts w:hint="default"/>
        </w:rPr>
      </w:pPr>
      <w:r>
        <w:rPr>
          <w:lang w:val="en-US"/>
        </w:rPr>
        <w:t>3.4.4.8 设备是独立于电网阻抗及系统阻抗之外，不受电网阻抗和系统阻抗变化的影响。可承</w:t>
      </w:r>
      <w:r>
        <w:t>受负载短路的冲击，在短路消除后重新启动。</w:t>
      </w:r>
    </w:p>
    <w:p w14:paraId="2466512F">
      <w:pPr>
        <w:pStyle w:val="32"/>
        <w:ind w:firstLine="960"/>
        <w:rPr>
          <w:rFonts w:hint="default"/>
        </w:rPr>
      </w:pPr>
      <w:r>
        <w:rPr>
          <w:lang w:val="en-US"/>
        </w:rPr>
        <w:t>3.4.4.</w:t>
      </w:r>
      <w:r>
        <w:t>9</w:t>
      </w:r>
      <w:r>
        <w:rPr>
          <w:lang w:val="en-US"/>
        </w:rPr>
        <w:t xml:space="preserve"> </w:t>
      </w:r>
      <w:r>
        <w:t>能有效的抑制系统的闪变。当系统断电时，滤波器应自动断开。在系统恢复后，滤波器能自动恢复。</w:t>
      </w:r>
    </w:p>
    <w:p w14:paraId="4EE75DDA">
      <w:pPr>
        <w:pStyle w:val="32"/>
        <w:ind w:firstLine="960"/>
        <w:rPr>
          <w:rFonts w:hint="default"/>
        </w:rPr>
      </w:pPr>
      <w:r>
        <w:rPr>
          <w:lang w:val="en-US"/>
        </w:rPr>
        <w:t>3.4.4.</w:t>
      </w:r>
      <w:r>
        <w:t>10</w:t>
      </w:r>
      <w:r>
        <w:rPr>
          <w:lang w:val="en-US"/>
        </w:rPr>
        <w:t xml:space="preserve"> </w:t>
      </w:r>
      <w:r>
        <w:t>装置具备免维护功能，能保证长周期稳定运行，控制单元程序具备自检功能。</w:t>
      </w:r>
    </w:p>
    <w:p w14:paraId="4A948D0E">
      <w:pPr>
        <w:pStyle w:val="32"/>
        <w:ind w:firstLine="960"/>
        <w:rPr>
          <w:rFonts w:hint="default"/>
        </w:rPr>
      </w:pPr>
      <w:r>
        <w:rPr>
          <w:lang w:val="en-US"/>
        </w:rPr>
        <w:t>3.4.4.</w:t>
      </w:r>
      <w:r>
        <w:t>11</w:t>
      </w:r>
      <w:r>
        <w:rPr>
          <w:lang w:val="en-US"/>
        </w:rPr>
        <w:t xml:space="preserve"> </w:t>
      </w:r>
      <w:r>
        <w:t>装置具备显示屏和良好的人机操作界面，显示及操作界面置于设备表面（柜体外面，尺寸不小于7寸），能显示线电压有效值、电压谐波值、电流有效值、电流谐波值（具备2~50次柱状图显示）、视在功率、功率因数等运行参数和查询故障报警记录、运行状态等信息；具备RS485通讯接口，Modbus RTU通讯协议，并且可以扩展以太网络接口、干接点接口，并设置备用通道，在电力智能化监控系统显示</w:t>
      </w:r>
      <w:r>
        <w:rPr>
          <w:lang w:val="en-US"/>
        </w:rPr>
        <w:t>SVG</w:t>
      </w:r>
      <w:r>
        <w:t>的运行状态。发生故障时，具有报警功能。</w:t>
      </w:r>
    </w:p>
    <w:p w14:paraId="0F2DFB51">
      <w:pPr>
        <w:pStyle w:val="32"/>
        <w:ind w:firstLine="960"/>
        <w:rPr>
          <w:rFonts w:hint="default"/>
        </w:rPr>
      </w:pPr>
      <w:r>
        <w:rPr>
          <w:lang w:val="en-US"/>
        </w:rPr>
        <w:t>3.4.4.</w:t>
      </w:r>
      <w:r>
        <w:t>12</w:t>
      </w:r>
      <w:r>
        <w:rPr>
          <w:lang w:val="en-US"/>
        </w:rPr>
        <w:t xml:space="preserve"> </w:t>
      </w:r>
      <w:r>
        <w:t>装置内部不同功能模块之间是相互分隔的，IGBT模块配有独立的散热设计，其他内部电抗器、电解电容等主要发热器件均具有完善的热保护措施，且都采取分隔放置，相互之间不会造成温度影响。</w:t>
      </w:r>
    </w:p>
    <w:p w14:paraId="63008B99">
      <w:pPr>
        <w:pStyle w:val="23"/>
        <w:ind w:firstLine="720"/>
        <w:rPr>
          <w:rFonts w:hint="default"/>
        </w:rPr>
      </w:pPr>
      <w:r>
        <w:rPr>
          <w:lang w:val="en-US"/>
        </w:rPr>
        <w:t xml:space="preserve">3.4.5 </w:t>
      </w:r>
      <w:r>
        <w:t>保护配置及测量</w:t>
      </w:r>
    </w:p>
    <w:p w14:paraId="301C6712">
      <w:pPr>
        <w:pStyle w:val="32"/>
        <w:ind w:firstLine="960"/>
        <w:rPr>
          <w:rFonts w:hint="default"/>
        </w:rPr>
      </w:pPr>
      <w:r>
        <w:rPr>
          <w:lang w:val="en-US"/>
        </w:rPr>
        <w:t xml:space="preserve">3.4.5.1 </w:t>
      </w:r>
      <w:r>
        <w:t>每一个模块进线采用断路器实现装置内的过电流、短路保护。</w:t>
      </w:r>
    </w:p>
    <w:p w14:paraId="175CE19B">
      <w:pPr>
        <w:pStyle w:val="32"/>
        <w:ind w:firstLine="960"/>
        <w:rPr>
          <w:rFonts w:hint="default"/>
        </w:rPr>
      </w:pPr>
      <w:r>
        <w:rPr>
          <w:lang w:val="en-US"/>
        </w:rPr>
        <w:t xml:space="preserve">3.4.5.2 </w:t>
      </w:r>
      <w:r>
        <w:t>装置内具有过压、过热、缺相、短路、控制电压欠压、抗干扰等保护功能及外部输出警报、跳闸端口。</w:t>
      </w:r>
    </w:p>
    <w:p w14:paraId="4AFB0B5E">
      <w:pPr>
        <w:pStyle w:val="32"/>
        <w:ind w:firstLine="960"/>
        <w:rPr>
          <w:rFonts w:hint="default"/>
        </w:rPr>
      </w:pPr>
      <w:r>
        <w:rPr>
          <w:lang w:val="en-US"/>
        </w:rPr>
        <w:t xml:space="preserve">3.4.5.3 </w:t>
      </w:r>
      <w:r>
        <w:t>装置内部应能实现自动限流功能，保证滤波器自动限制在100%额定容量输出，长时间工作在额定状态。</w:t>
      </w:r>
    </w:p>
    <w:p w14:paraId="27448370">
      <w:pPr>
        <w:pStyle w:val="32"/>
        <w:ind w:firstLine="960"/>
        <w:rPr>
          <w:rFonts w:hint="default"/>
        </w:rPr>
      </w:pPr>
      <w:r>
        <w:rPr>
          <w:lang w:val="en-US"/>
        </w:rPr>
        <w:t xml:space="preserve">3.4.5.4 </w:t>
      </w:r>
      <w:r>
        <w:t>过压保护：防止系统出现过电压，在系统发生过电压时闭锁动态有源滤波补偿装置输出，同时有相应的报警。</w:t>
      </w:r>
    </w:p>
    <w:p w14:paraId="4E1BAE03">
      <w:pPr>
        <w:pStyle w:val="32"/>
        <w:ind w:firstLine="960"/>
        <w:rPr>
          <w:rFonts w:hint="default"/>
        </w:rPr>
      </w:pPr>
      <w:r>
        <w:rPr>
          <w:lang w:val="en-US"/>
        </w:rPr>
        <w:t xml:space="preserve">3.4.5.5 </w:t>
      </w:r>
      <w:r>
        <w:t>温度保护：包括外壳温度过热保护功能和芯片温度过热保护功能；当内部温度超过预定值时，闭锁动态有源滤波补偿装置输出，并发出报警。</w:t>
      </w:r>
    </w:p>
    <w:p w14:paraId="116FCCB4">
      <w:pPr>
        <w:pStyle w:val="32"/>
        <w:ind w:firstLine="960"/>
        <w:rPr>
          <w:rFonts w:hint="default"/>
        </w:rPr>
      </w:pPr>
      <w:r>
        <w:rPr>
          <w:lang w:val="en-US"/>
        </w:rPr>
        <w:t xml:space="preserve">3.4.5.6 </w:t>
      </w:r>
      <w:r>
        <w:t>防雷保护：柜内配有防雷元件，防止雷击对滤波器造成的损坏。</w:t>
      </w:r>
    </w:p>
    <w:p w14:paraId="3C8FAC2E">
      <w:pPr>
        <w:pStyle w:val="32"/>
        <w:ind w:firstLine="960"/>
        <w:rPr>
          <w:rFonts w:hint="default"/>
        </w:rPr>
      </w:pPr>
      <w:r>
        <w:rPr>
          <w:lang w:val="en-US"/>
        </w:rPr>
        <w:t xml:space="preserve">3.4.5.7 </w:t>
      </w:r>
      <w:r>
        <w:t>可进行启动、终止和重启滤波器；测量、分析、记录各种参数；对滤波器进行设定；监测滤波器的负荷和故障记录；提供滤波器各种表示信息；具有故障记录功能，存储容量大于200条。</w:t>
      </w:r>
    </w:p>
    <w:p w14:paraId="77D4A320">
      <w:pPr>
        <w:pStyle w:val="32"/>
        <w:ind w:firstLine="960"/>
        <w:rPr>
          <w:rFonts w:hint="default"/>
        </w:rPr>
      </w:pPr>
      <w:r>
        <w:rPr>
          <w:lang w:val="en-US"/>
        </w:rPr>
        <w:t xml:space="preserve">3.4.5.8 </w:t>
      </w:r>
      <w:r>
        <w:t>主要参数监测：线路电流基波与各次谐波含量；电流畸变、频率等；功率因数。</w:t>
      </w:r>
    </w:p>
    <w:p w14:paraId="29334D09">
      <w:pPr>
        <w:pStyle w:val="32"/>
        <w:ind w:firstLine="960"/>
        <w:rPr>
          <w:rFonts w:hint="default"/>
          <w:strike/>
        </w:rPr>
      </w:pPr>
      <w:r>
        <w:rPr>
          <w:lang w:val="en-US"/>
        </w:rPr>
        <w:t xml:space="preserve">3.4.5.9 </w:t>
      </w:r>
      <w:r>
        <w:t>所有电路板及接线头采用三防涂层。</w:t>
      </w:r>
    </w:p>
    <w:p w14:paraId="61488E10">
      <w:pPr>
        <w:pStyle w:val="5"/>
        <w:ind w:firstLine="480"/>
      </w:pPr>
      <w:r>
        <w:rPr>
          <w:rFonts w:hint="eastAsia"/>
        </w:rPr>
        <w:t>3.5有源滤波器</w:t>
      </w:r>
    </w:p>
    <w:p w14:paraId="147DFE28">
      <w:pPr>
        <w:pStyle w:val="23"/>
        <w:ind w:firstLine="720"/>
        <w:rPr>
          <w:rFonts w:hint="default"/>
        </w:rPr>
      </w:pPr>
      <w:r>
        <w:rPr>
          <w:lang w:val="en-US"/>
        </w:rPr>
        <w:t>3.</w:t>
      </w:r>
      <w:r>
        <w:t>5.1 概述</w:t>
      </w:r>
    </w:p>
    <w:p w14:paraId="66F0DE8A">
      <w:pPr>
        <w:pStyle w:val="32"/>
        <w:ind w:firstLine="960"/>
        <w:rPr>
          <w:rFonts w:hint="default"/>
          <w:lang w:val="en-US"/>
        </w:rPr>
      </w:pPr>
      <w:r>
        <w:t>本项目母线APF有源滤波柜。低压有源滤波装置模块需提供国家权威机构出具的型式试验报告</w:t>
      </w:r>
      <w:r>
        <w:rPr>
          <w:lang w:val="en-US"/>
        </w:rPr>
        <w:t>。</w:t>
      </w:r>
    </w:p>
    <w:p w14:paraId="6FDE5D1A">
      <w:pPr>
        <w:pStyle w:val="23"/>
        <w:ind w:firstLine="720"/>
        <w:rPr>
          <w:rFonts w:hint="default"/>
        </w:rPr>
      </w:pPr>
      <w:r>
        <w:rPr>
          <w:lang w:val="en-US"/>
        </w:rPr>
        <w:t>3.</w:t>
      </w:r>
      <w:r>
        <w:t>5.2</w:t>
      </w:r>
      <w:r>
        <w:rPr>
          <w:lang w:val="en-US"/>
        </w:rPr>
        <w:t xml:space="preserve"> </w:t>
      </w:r>
      <w:r>
        <w:t>技术要求</w:t>
      </w:r>
    </w:p>
    <w:p w14:paraId="6AD67F31">
      <w:pPr>
        <w:pStyle w:val="32"/>
        <w:ind w:firstLine="960"/>
        <w:rPr>
          <w:rFonts w:hint="default"/>
          <w:lang w:val="en-US"/>
        </w:rPr>
      </w:pPr>
      <w:r>
        <w:t>额定容量：按120%谐波配置</w:t>
      </w:r>
      <w:r>
        <w:rPr>
          <w:lang w:val="en-US"/>
        </w:rPr>
        <w:t>；</w:t>
      </w:r>
    </w:p>
    <w:p w14:paraId="690BF9AB">
      <w:pPr>
        <w:pStyle w:val="32"/>
        <w:ind w:firstLine="960"/>
        <w:rPr>
          <w:rFonts w:hint="default"/>
          <w:lang w:val="en-US"/>
        </w:rPr>
      </w:pPr>
      <w:r>
        <w:t>额定电压： 400/690V</w:t>
      </w:r>
      <w:r>
        <w:rPr>
          <w:lang w:val="en-US"/>
        </w:rPr>
        <w:t>；</w:t>
      </w:r>
    </w:p>
    <w:p w14:paraId="5CC43B79">
      <w:pPr>
        <w:pStyle w:val="32"/>
        <w:ind w:firstLine="960"/>
        <w:rPr>
          <w:rFonts w:hint="default"/>
          <w:lang w:val="en-US"/>
        </w:rPr>
      </w:pPr>
      <w:r>
        <w:t>运行效率为：≥95％</w:t>
      </w:r>
      <w:r>
        <w:rPr>
          <w:lang w:val="en-US"/>
        </w:rPr>
        <w:t>；</w:t>
      </w:r>
    </w:p>
    <w:p w14:paraId="7BAE45F3">
      <w:pPr>
        <w:pStyle w:val="32"/>
        <w:ind w:firstLine="960"/>
        <w:rPr>
          <w:rFonts w:hint="default"/>
          <w:lang w:val="en-US"/>
        </w:rPr>
      </w:pPr>
      <w:r>
        <w:t>全响应时间：≤10ms</w:t>
      </w:r>
      <w:r>
        <w:rPr>
          <w:lang w:val="en-US"/>
        </w:rPr>
        <w:t>；</w:t>
      </w:r>
    </w:p>
    <w:p w14:paraId="00E5E68F">
      <w:pPr>
        <w:pStyle w:val="32"/>
        <w:ind w:firstLine="960"/>
        <w:rPr>
          <w:rFonts w:hint="default"/>
          <w:lang w:val="en-US"/>
        </w:rPr>
      </w:pPr>
      <w:r>
        <w:t>接入电网方式 ：并联接入电网</w:t>
      </w:r>
      <w:r>
        <w:rPr>
          <w:lang w:val="en-US"/>
        </w:rPr>
        <w:t>；</w:t>
      </w:r>
    </w:p>
    <w:p w14:paraId="73CD2F86">
      <w:pPr>
        <w:pStyle w:val="32"/>
        <w:ind w:firstLine="960"/>
        <w:rPr>
          <w:rFonts w:hint="default"/>
          <w:lang w:val="en-US"/>
        </w:rPr>
      </w:pPr>
      <w:r>
        <w:t>控制方式：具有无功优先、谐波优先、不平衡优先</w:t>
      </w:r>
      <w:r>
        <w:rPr>
          <w:lang w:val="en-US"/>
        </w:rPr>
        <w:t>；</w:t>
      </w:r>
    </w:p>
    <w:p w14:paraId="654FD1B5">
      <w:pPr>
        <w:pStyle w:val="32"/>
        <w:ind w:firstLine="960"/>
        <w:rPr>
          <w:rFonts w:hint="default"/>
          <w:lang w:val="en-US"/>
        </w:rPr>
      </w:pPr>
      <w:r>
        <w:t>限流能力：限流在100%装置容量，不会发生装置过载</w:t>
      </w:r>
      <w:r>
        <w:rPr>
          <w:lang w:val="en-US"/>
        </w:rPr>
        <w:t>；</w:t>
      </w:r>
    </w:p>
    <w:p w14:paraId="61984C30">
      <w:pPr>
        <w:pStyle w:val="32"/>
        <w:ind w:firstLine="960"/>
        <w:rPr>
          <w:rFonts w:hint="default"/>
          <w:lang w:val="en-US"/>
        </w:rPr>
      </w:pPr>
      <w:r>
        <w:t>通信接口： RS485通讯接口，Modbus通讯协议</w:t>
      </w:r>
      <w:r>
        <w:rPr>
          <w:lang w:val="en-US"/>
        </w:rPr>
        <w:t>；</w:t>
      </w:r>
    </w:p>
    <w:p w14:paraId="5B6C82C1">
      <w:pPr>
        <w:pStyle w:val="32"/>
        <w:ind w:firstLine="960"/>
        <w:rPr>
          <w:rFonts w:hint="default"/>
          <w:lang w:val="en-US"/>
        </w:rPr>
      </w:pPr>
      <w:r>
        <w:t>噪声水平：额定功率输出时≤70dB（距设备1m处）</w:t>
      </w:r>
      <w:r>
        <w:rPr>
          <w:lang w:val="en-US"/>
        </w:rPr>
        <w:t>；</w:t>
      </w:r>
    </w:p>
    <w:p w14:paraId="5BEE7A47">
      <w:pPr>
        <w:pStyle w:val="32"/>
        <w:ind w:firstLine="960"/>
        <w:rPr>
          <w:rFonts w:hint="default"/>
          <w:lang w:val="en-US"/>
        </w:rPr>
      </w:pPr>
      <w:r>
        <w:t>完全响应时间：要求动态响应速度≤10ms</w:t>
      </w:r>
      <w:r>
        <w:rPr>
          <w:lang w:val="en-US"/>
        </w:rPr>
        <w:t>；</w:t>
      </w:r>
    </w:p>
    <w:p w14:paraId="32C79E0F">
      <w:pPr>
        <w:pStyle w:val="32"/>
        <w:ind w:firstLine="960"/>
        <w:rPr>
          <w:rFonts w:hint="default"/>
          <w:lang w:val="en-US"/>
        </w:rPr>
      </w:pPr>
      <w:r>
        <w:t>整套装置功率模块应支持N+1冗余方案</w:t>
      </w:r>
      <w:r>
        <w:rPr>
          <w:lang w:val="en-US"/>
        </w:rPr>
        <w:t>；</w:t>
      </w:r>
    </w:p>
    <w:p w14:paraId="4F5EAB65">
      <w:pPr>
        <w:pStyle w:val="32"/>
        <w:ind w:firstLine="960"/>
        <w:rPr>
          <w:rFonts w:hint="default"/>
          <w:lang w:val="en-US"/>
        </w:rPr>
      </w:pPr>
      <w:r>
        <w:t>IGBT模块应采用国际知名品牌</w:t>
      </w:r>
      <w:r>
        <w:rPr>
          <w:lang w:val="en-US"/>
        </w:rPr>
        <w:t>；</w:t>
      </w:r>
    </w:p>
    <w:p w14:paraId="32CB4E2C">
      <w:pPr>
        <w:pStyle w:val="32"/>
        <w:ind w:firstLine="960"/>
        <w:rPr>
          <w:rFonts w:hint="default"/>
          <w:lang w:val="en-US"/>
        </w:rPr>
      </w:pPr>
      <w:r>
        <w:t>当系统断电时，滤波器应自动断开；在系统恢复后，设备能自动恢复运行</w:t>
      </w:r>
      <w:r>
        <w:rPr>
          <w:lang w:val="en-US"/>
        </w:rPr>
        <w:t>；</w:t>
      </w:r>
    </w:p>
    <w:p w14:paraId="0BBFDE1D">
      <w:pPr>
        <w:pStyle w:val="32"/>
        <w:ind w:firstLine="960"/>
        <w:rPr>
          <w:rFonts w:hint="default"/>
        </w:rPr>
      </w:pPr>
      <w:r>
        <w:t>所有电路板及接线头采用三防涂层。</w:t>
      </w:r>
    </w:p>
    <w:p w14:paraId="01972AF9">
      <w:pPr>
        <w:spacing w:line="400" w:lineRule="exact"/>
        <w:ind w:firstLine="480" w:firstLineChars="200"/>
        <w:jc w:val="left"/>
        <w:rPr>
          <w:szCs w:val="24"/>
        </w:rPr>
      </w:pPr>
      <w:r>
        <w:rPr>
          <w:rStyle w:val="44"/>
          <w:rFonts w:hint="eastAsia"/>
        </w:rPr>
        <w:t>3.6 低压变频器技术要求</w:t>
      </w:r>
    </w:p>
    <w:p w14:paraId="29F07E9C">
      <w:pPr>
        <w:pStyle w:val="23"/>
        <w:ind w:firstLine="720"/>
        <w:rPr>
          <w:rFonts w:hint="default"/>
        </w:rPr>
      </w:pPr>
      <w:r>
        <w:rPr>
          <w:lang w:val="en-US"/>
        </w:rPr>
        <w:t>3.</w:t>
      </w:r>
      <w:r>
        <w:t>6.1</w:t>
      </w:r>
      <w:r>
        <w:rPr>
          <w:lang w:val="en-US"/>
        </w:rPr>
        <w:t xml:space="preserve"> </w:t>
      </w:r>
      <w:r>
        <w:t>电气参数</w:t>
      </w:r>
    </w:p>
    <w:p w14:paraId="4361F5C2">
      <w:pPr>
        <w:pStyle w:val="32"/>
        <w:ind w:firstLine="960"/>
        <w:rPr>
          <w:rFonts w:hint="default"/>
          <w:lang w:val="en-US"/>
        </w:rPr>
      </w:pPr>
      <w:r>
        <w:t>电压等级：380V/690VAC</w:t>
      </w:r>
      <w:r>
        <w:rPr>
          <w:lang w:val="en-US"/>
        </w:rPr>
        <w:t>；</w:t>
      </w:r>
    </w:p>
    <w:p w14:paraId="7905AD54">
      <w:pPr>
        <w:pStyle w:val="32"/>
        <w:ind w:firstLine="960"/>
        <w:rPr>
          <w:rFonts w:hint="default"/>
        </w:rPr>
      </w:pPr>
      <w:r>
        <w:t>起动转矩: ≥200%</w:t>
      </w:r>
      <w:r>
        <w:rPr>
          <w:lang w:val="en-US"/>
        </w:rPr>
        <w:t>；</w:t>
      </w:r>
    </w:p>
    <w:p w14:paraId="1D4C1152">
      <w:pPr>
        <w:pStyle w:val="32"/>
        <w:ind w:firstLine="960"/>
        <w:rPr>
          <w:rFonts w:hint="default"/>
          <w:lang w:val="en-US"/>
        </w:rPr>
      </w:pPr>
      <w:r>
        <w:t>输出电压：三相输出，最大电压等于输入电压</w:t>
      </w:r>
      <w:r>
        <w:rPr>
          <w:lang w:val="en-US"/>
        </w:rPr>
        <w:t>；</w:t>
      </w:r>
    </w:p>
    <w:p w14:paraId="7FB16972">
      <w:pPr>
        <w:pStyle w:val="32"/>
        <w:ind w:firstLine="960"/>
        <w:rPr>
          <w:rFonts w:hint="default"/>
          <w:lang w:val="en-US"/>
        </w:rPr>
      </w:pPr>
      <w:r>
        <w:t>控制方式</w:t>
      </w:r>
      <w:r>
        <w:rPr>
          <w:lang w:val="en-US"/>
        </w:rPr>
        <w:t>：DTC，</w:t>
      </w:r>
      <w:r>
        <w:t>矢量控制</w:t>
      </w:r>
      <w:r>
        <w:rPr>
          <w:lang w:val="en-US"/>
        </w:rPr>
        <w:t>；</w:t>
      </w:r>
    </w:p>
    <w:p w14:paraId="19343974">
      <w:pPr>
        <w:pStyle w:val="32"/>
        <w:ind w:firstLine="960"/>
        <w:rPr>
          <w:rFonts w:hint="default"/>
          <w:lang w:val="en-US"/>
        </w:rPr>
      </w:pPr>
      <w:r>
        <w:t>输出频率分辨率:0.01HZ；控制：0.1Hz</w:t>
      </w:r>
      <w:r>
        <w:rPr>
          <w:lang w:val="en-US"/>
        </w:rPr>
        <w:t>；</w:t>
      </w:r>
    </w:p>
    <w:p w14:paraId="0140C36D">
      <w:pPr>
        <w:pStyle w:val="32"/>
        <w:ind w:firstLine="960"/>
        <w:rPr>
          <w:rFonts w:hint="default"/>
        </w:rPr>
      </w:pPr>
      <w:r>
        <w:t>变频器按重载负荷设计，供方应根据设备的运行特点和与之配套的电动机参数选择合适的变频装置。</w:t>
      </w:r>
    </w:p>
    <w:p w14:paraId="374992EA">
      <w:pPr>
        <w:pStyle w:val="23"/>
        <w:ind w:firstLine="720"/>
        <w:rPr>
          <w:rFonts w:hint="default"/>
        </w:rPr>
      </w:pPr>
      <w:r>
        <w:rPr>
          <w:lang w:val="en-US"/>
        </w:rPr>
        <w:t>3.</w:t>
      </w:r>
      <w:r>
        <w:t>6.2</w:t>
      </w:r>
      <w:r>
        <w:rPr>
          <w:lang w:val="en-US"/>
        </w:rPr>
        <w:t xml:space="preserve"> </w:t>
      </w:r>
      <w:r>
        <w:t>变频器组柜基本功能要求</w:t>
      </w:r>
    </w:p>
    <w:p w14:paraId="50BE21D7">
      <w:pPr>
        <w:pStyle w:val="32"/>
        <w:ind w:firstLine="960"/>
        <w:rPr>
          <w:rFonts w:hint="default"/>
        </w:rPr>
      </w:pPr>
      <w:r>
        <w:rPr>
          <w:lang w:val="en-US"/>
        </w:rPr>
        <w:t xml:space="preserve">3.6.2.1 </w:t>
      </w:r>
      <w:r>
        <w:t>变频器必须配置输入输出铜芯电抗器（电抗器与变频器同品牌）。（内置外置均可）。</w:t>
      </w:r>
    </w:p>
    <w:p w14:paraId="3C4F7885">
      <w:pPr>
        <w:pStyle w:val="32"/>
        <w:ind w:firstLine="960"/>
        <w:rPr>
          <w:rFonts w:hint="default"/>
        </w:rPr>
      </w:pPr>
      <w:r>
        <w:rPr>
          <w:lang w:val="en-US"/>
        </w:rPr>
        <w:t xml:space="preserve">3.6.2.2 </w:t>
      </w:r>
      <w:r>
        <w:t>变频器具备150%、60S（每10分钟）的过载能力。</w:t>
      </w:r>
    </w:p>
    <w:p w14:paraId="38050D8C">
      <w:pPr>
        <w:pStyle w:val="32"/>
        <w:ind w:firstLine="960"/>
        <w:rPr>
          <w:rFonts w:hint="default"/>
        </w:rPr>
      </w:pPr>
      <w:r>
        <w:rPr>
          <w:lang w:val="en-US"/>
        </w:rPr>
        <w:t xml:space="preserve">3.6.2.3 </w:t>
      </w:r>
      <w:r>
        <w:t>变频装置应能接受DCS，并反馈变频装置的主要状态信号和故障报警信号。变频装置同DCS接口采用硬接线方式。变频装置应至少提供下列I/O信号：</w:t>
      </w:r>
    </w:p>
    <w:p w14:paraId="7A56E1CE">
      <w:pPr>
        <w:pStyle w:val="32"/>
        <w:ind w:firstLine="960"/>
        <w:rPr>
          <w:rFonts w:hint="default"/>
          <w:lang w:val="en-US"/>
        </w:rPr>
      </w:pPr>
      <w:r>
        <w:t>模拟量输入信号AI       2路</w:t>
      </w:r>
      <w:r>
        <w:rPr>
          <w:lang w:val="en-US"/>
        </w:rPr>
        <w:t>；</w:t>
      </w:r>
    </w:p>
    <w:p w14:paraId="4FF937D3">
      <w:pPr>
        <w:pStyle w:val="32"/>
        <w:ind w:firstLine="960"/>
        <w:rPr>
          <w:rFonts w:hint="default"/>
          <w:lang w:val="en-US"/>
        </w:rPr>
      </w:pPr>
      <w:r>
        <w:t>模拟量输出信号AO       2路（负载电流和转速）</w:t>
      </w:r>
      <w:r>
        <w:rPr>
          <w:lang w:val="en-US"/>
        </w:rPr>
        <w:t>；</w:t>
      </w:r>
    </w:p>
    <w:p w14:paraId="3C9A2680">
      <w:pPr>
        <w:pStyle w:val="32"/>
        <w:ind w:firstLine="960"/>
        <w:rPr>
          <w:rFonts w:hint="default"/>
          <w:lang w:val="en-US"/>
        </w:rPr>
      </w:pPr>
      <w:r>
        <w:t>开关量输入信号DI       无源干</w:t>
      </w:r>
      <w:r>
        <w:rPr>
          <w:lang w:val="en-US"/>
        </w:rPr>
        <w:t xml:space="preserve">接点     </w:t>
      </w:r>
      <w:r>
        <w:t>5</w:t>
      </w:r>
      <w:r>
        <w:rPr>
          <w:lang w:val="en-US"/>
        </w:rPr>
        <w:t>点；</w:t>
      </w:r>
    </w:p>
    <w:p w14:paraId="48F91048">
      <w:pPr>
        <w:pStyle w:val="32"/>
        <w:ind w:firstLine="960"/>
        <w:rPr>
          <w:rFonts w:hint="default"/>
        </w:rPr>
      </w:pPr>
      <w:r>
        <w:t>开关量输出信号DO      无源干接点（220V AC 5A）3点。</w:t>
      </w:r>
    </w:p>
    <w:p w14:paraId="3634CDEF">
      <w:pPr>
        <w:pStyle w:val="23"/>
        <w:ind w:firstLine="720"/>
        <w:rPr>
          <w:rFonts w:hint="default"/>
        </w:rPr>
      </w:pPr>
      <w:r>
        <w:rPr>
          <w:lang w:val="en-US"/>
        </w:rPr>
        <w:t>3.</w:t>
      </w:r>
      <w:r>
        <w:t>6.3</w:t>
      </w:r>
      <w:r>
        <w:rPr>
          <w:lang w:val="en-US"/>
        </w:rPr>
        <w:t xml:space="preserve"> </w:t>
      </w:r>
      <w:r>
        <w:t>所有电路板及接线头采用加厚三防涂层。</w:t>
      </w:r>
    </w:p>
    <w:p w14:paraId="4BB506A2">
      <w:pPr>
        <w:pStyle w:val="23"/>
        <w:ind w:firstLine="720"/>
        <w:rPr>
          <w:rFonts w:hint="default"/>
        </w:rPr>
      </w:pPr>
      <w:bookmarkStart w:id="164" w:name="_Toc258917649"/>
      <w:r>
        <w:rPr>
          <w:lang w:val="en-US"/>
        </w:rPr>
        <w:t>3.</w:t>
      </w:r>
      <w:r>
        <w:t>6.4</w:t>
      </w:r>
      <w:r>
        <w:rPr>
          <w:lang w:val="en-US"/>
        </w:rPr>
        <w:t xml:space="preserve"> </w:t>
      </w:r>
      <w:r>
        <w:t>变频器应具备飞车起动功能。</w:t>
      </w:r>
    </w:p>
    <w:bookmarkEnd w:id="164"/>
    <w:p w14:paraId="74172B85">
      <w:pPr>
        <w:pStyle w:val="23"/>
        <w:ind w:firstLine="720"/>
        <w:rPr>
          <w:rFonts w:hint="default"/>
        </w:rPr>
      </w:pPr>
      <w:r>
        <w:rPr>
          <w:lang w:val="en-US"/>
        </w:rPr>
        <w:t>3.</w:t>
      </w:r>
      <w:r>
        <w:t>6.5</w:t>
      </w:r>
      <w:r>
        <w:rPr>
          <w:lang w:val="en-US"/>
        </w:rPr>
        <w:t xml:space="preserve"> </w:t>
      </w:r>
      <w:r>
        <w:t>采用一拖一控制方式。</w:t>
      </w:r>
    </w:p>
    <w:p w14:paraId="4777B1D8">
      <w:pPr>
        <w:pStyle w:val="23"/>
        <w:ind w:firstLine="720"/>
        <w:rPr>
          <w:rFonts w:hint="default"/>
        </w:rPr>
      </w:pPr>
      <w:r>
        <w:t>3</w:t>
      </w:r>
      <w:r>
        <w:rPr>
          <w:rFonts w:hint="default"/>
        </w:rPr>
        <w:t>.6.6 690V</w:t>
      </w:r>
      <w:r>
        <w:t>、双辊</w:t>
      </w:r>
      <w:r>
        <w:rPr>
          <w:lang w:val="en-US"/>
        </w:rPr>
        <w:t>挤</w:t>
      </w:r>
      <w:r>
        <w:t>浆机及其他重要设备变频器选用合资品牌。</w:t>
      </w:r>
    </w:p>
    <w:p w14:paraId="3F5EAF58">
      <w:pPr>
        <w:spacing w:line="400" w:lineRule="exact"/>
        <w:ind w:firstLine="120" w:firstLineChars="50"/>
        <w:rPr>
          <w:rFonts w:ascii="宋体" w:hAnsi="宋体" w:cs="宋体"/>
          <w:kern w:val="0"/>
          <w:sz w:val="24"/>
        </w:rPr>
      </w:pPr>
    </w:p>
    <w:p w14:paraId="63C67B36">
      <w:pPr>
        <w:pStyle w:val="5"/>
        <w:ind w:firstLine="480"/>
      </w:pPr>
      <w:r>
        <w:rPr>
          <w:rFonts w:hint="eastAsia"/>
        </w:rPr>
        <w:t xml:space="preserve">3.7 </w:t>
      </w:r>
      <w:r>
        <w:t>软启动器</w:t>
      </w:r>
    </w:p>
    <w:p w14:paraId="6BD3E85E">
      <w:pPr>
        <w:pStyle w:val="23"/>
        <w:ind w:firstLine="720"/>
        <w:rPr>
          <w:rFonts w:hint="default"/>
        </w:rPr>
      </w:pPr>
      <w:r>
        <w:rPr>
          <w:lang w:val="en-US"/>
        </w:rPr>
        <w:t>3.</w:t>
      </w:r>
      <w:r>
        <w:t>7.1</w:t>
      </w:r>
      <w:r>
        <w:rPr>
          <w:lang w:val="en-US"/>
        </w:rPr>
        <w:t xml:space="preserve"> </w:t>
      </w:r>
      <w:r>
        <w:t>主要技术参数</w:t>
      </w:r>
    </w:p>
    <w:p w14:paraId="01D1FFBC">
      <w:pPr>
        <w:pStyle w:val="32"/>
        <w:ind w:firstLine="960"/>
        <w:rPr>
          <w:rFonts w:hint="default"/>
          <w:lang w:val="en-US"/>
        </w:rPr>
      </w:pPr>
      <w:r>
        <w:t>电源电压 ：</w:t>
      </w:r>
      <w:r>
        <w:rPr>
          <w:lang w:val="en-US"/>
        </w:rPr>
        <w:t>AC</w:t>
      </w:r>
      <w:r>
        <w:t>208V～690V</w:t>
      </w:r>
      <w:r>
        <w:rPr>
          <w:lang w:val="en-US"/>
        </w:rPr>
        <w:t>；</w:t>
      </w:r>
    </w:p>
    <w:p w14:paraId="547386BA">
      <w:pPr>
        <w:pStyle w:val="32"/>
        <w:ind w:firstLine="960"/>
        <w:rPr>
          <w:rFonts w:hint="default"/>
          <w:lang w:val="en-US"/>
        </w:rPr>
      </w:pPr>
      <w:r>
        <w:t>通信协议:Modbus-RTU 或Profibus-DP规约可选</w:t>
      </w:r>
      <w:r>
        <w:rPr>
          <w:lang w:val="en-US"/>
        </w:rPr>
        <w:t>；</w:t>
      </w:r>
    </w:p>
    <w:p w14:paraId="1BB5FF35">
      <w:pPr>
        <w:pStyle w:val="32"/>
        <w:ind w:firstLine="960"/>
        <w:rPr>
          <w:rFonts w:hint="default"/>
          <w:lang w:val="en-US"/>
        </w:rPr>
      </w:pPr>
      <w:r>
        <w:t>能提供可编程过载保护、大电流保护、欠载保护、堵转保护、相不平衡保护、反相保护、可控硅过载保护，可实现旁路监测功能。必须具备时间顺序记录（SOE）功能，且能记录事件发生的时间</w:t>
      </w:r>
      <w:r>
        <w:rPr>
          <w:lang w:val="en-US"/>
        </w:rPr>
        <w:t>；</w:t>
      </w:r>
    </w:p>
    <w:p w14:paraId="36F27850">
      <w:pPr>
        <w:pStyle w:val="32"/>
        <w:ind w:firstLine="960"/>
        <w:rPr>
          <w:rFonts w:hint="default"/>
          <w:lang w:val="en-US"/>
        </w:rPr>
      </w:pPr>
      <w:r>
        <w:t>软启动器必须配置液晶（LCD）显示屏</w:t>
      </w:r>
      <w:r>
        <w:rPr>
          <w:lang w:val="en-US"/>
        </w:rPr>
        <w:t>；</w:t>
      </w:r>
    </w:p>
    <w:p w14:paraId="78D83ECA">
      <w:pPr>
        <w:pStyle w:val="32"/>
        <w:ind w:firstLine="960"/>
        <w:rPr>
          <w:rFonts w:hint="default"/>
          <w:lang w:val="en-US"/>
        </w:rPr>
      </w:pPr>
      <w:r>
        <w:t>软启动器的IP防护等级应达到IP20以上，软启动柜的柜体IP防护等级应达到IP42以上</w:t>
      </w:r>
      <w:r>
        <w:rPr>
          <w:lang w:val="en-US"/>
        </w:rPr>
        <w:t>；</w:t>
      </w:r>
    </w:p>
    <w:p w14:paraId="596D87FA">
      <w:pPr>
        <w:pStyle w:val="32"/>
        <w:ind w:firstLine="960"/>
        <w:rPr>
          <w:rFonts w:hint="default"/>
          <w:lang w:val="en-US"/>
        </w:rPr>
      </w:pPr>
      <w:r>
        <w:t>软启动器能实现软启动、软停车功能，电机启动后软启动器能实时监测电机的运行参数</w:t>
      </w:r>
      <w:r>
        <w:rPr>
          <w:lang w:val="en-US"/>
        </w:rPr>
        <w:t>；</w:t>
      </w:r>
    </w:p>
    <w:p w14:paraId="30253015">
      <w:pPr>
        <w:pStyle w:val="32"/>
        <w:ind w:firstLine="960"/>
        <w:rPr>
          <w:rFonts w:hint="default"/>
          <w:lang w:val="en-US"/>
        </w:rPr>
      </w:pPr>
      <w:r>
        <w:t>控制方式：采用一拖一控制方式，即一台软起动器拖动一台电机</w:t>
      </w:r>
      <w:r>
        <w:rPr>
          <w:lang w:val="en-US"/>
        </w:rPr>
        <w:t>；</w:t>
      </w:r>
    </w:p>
    <w:p w14:paraId="4AEFEE82">
      <w:pPr>
        <w:pStyle w:val="32"/>
        <w:ind w:firstLine="960"/>
        <w:rPr>
          <w:rFonts w:hint="default"/>
        </w:rPr>
      </w:pPr>
      <w:r>
        <w:t>所有电路板及接线头采用加厚三防涂层。</w:t>
      </w:r>
    </w:p>
    <w:p w14:paraId="51C0167A">
      <w:pPr>
        <w:pStyle w:val="3"/>
        <w:keepNext w:val="0"/>
        <w:keepLines w:val="0"/>
        <w:spacing w:before="156" w:after="156" w:line="400" w:lineRule="exact"/>
        <w:ind w:firstLine="240"/>
        <w:rPr>
          <w:rFonts w:ascii="宋体" w:hAnsi="宋体" w:cs="微软雅黑"/>
          <w:b w:val="0"/>
          <w:sz w:val="24"/>
          <w:szCs w:val="24"/>
        </w:rPr>
      </w:pPr>
    </w:p>
    <w:p w14:paraId="15EBD2A1">
      <w:pPr>
        <w:pStyle w:val="3"/>
        <w:spacing w:before="156" w:after="156"/>
        <w:ind w:left="284" w:firstLine="0" w:firstLineChars="0"/>
      </w:pPr>
      <w:bookmarkStart w:id="165" w:name="_Toc5990"/>
      <w:bookmarkStart w:id="166" w:name="_Toc17876"/>
      <w:bookmarkStart w:id="167" w:name="_Toc27344"/>
      <w:r>
        <w:rPr>
          <w:rFonts w:hint="eastAsia"/>
        </w:rPr>
        <w:t>4、电缆、电缆桥架、照明</w:t>
      </w:r>
      <w:bookmarkEnd w:id="165"/>
      <w:bookmarkEnd w:id="166"/>
      <w:bookmarkEnd w:id="167"/>
    </w:p>
    <w:p w14:paraId="46CC0071">
      <w:pPr>
        <w:pStyle w:val="5"/>
        <w:ind w:firstLine="480"/>
      </w:pPr>
      <w:r>
        <w:rPr>
          <w:rFonts w:hint="eastAsia"/>
        </w:rPr>
        <w:t>4.1 电缆</w:t>
      </w:r>
    </w:p>
    <w:p w14:paraId="69115F76">
      <w:pPr>
        <w:pStyle w:val="23"/>
        <w:ind w:firstLine="720"/>
        <w:rPr>
          <w:rFonts w:hint="default"/>
        </w:rPr>
      </w:pPr>
      <w:r>
        <w:rPr>
          <w:lang w:val="en-US"/>
        </w:rPr>
        <w:t>4.</w:t>
      </w:r>
      <w:r>
        <w:t>1.1</w:t>
      </w:r>
      <w:r>
        <w:rPr>
          <w:lang w:val="en-US"/>
        </w:rPr>
        <w:t xml:space="preserve"> </w:t>
      </w:r>
      <w:r>
        <w:t>导体</w:t>
      </w:r>
    </w:p>
    <w:p w14:paraId="7C23A8C6">
      <w:pPr>
        <w:pStyle w:val="23"/>
        <w:ind w:firstLine="1200" w:firstLineChars="500"/>
        <w:rPr>
          <w:rFonts w:hint="default"/>
        </w:rPr>
      </w:pPr>
      <w:r>
        <w:t>导体：导体直流电阻符合GB3956-97标准规定。含铜量应达到99.9%。</w:t>
      </w:r>
    </w:p>
    <w:p w14:paraId="04A9B32D">
      <w:pPr>
        <w:pStyle w:val="23"/>
        <w:ind w:firstLine="720"/>
        <w:rPr>
          <w:rFonts w:hint="default"/>
        </w:rPr>
      </w:pPr>
      <w:r>
        <w:rPr>
          <w:lang w:val="en-US"/>
        </w:rPr>
        <w:t>4.</w:t>
      </w:r>
      <w:r>
        <w:t>1.2</w:t>
      </w:r>
      <w:r>
        <w:rPr>
          <w:lang w:val="en-US"/>
        </w:rPr>
        <w:t xml:space="preserve"> </w:t>
      </w:r>
      <w:r>
        <w:t>电缆的型号及要求如下</w:t>
      </w:r>
    </w:p>
    <w:p w14:paraId="703194E7">
      <w:pPr>
        <w:pStyle w:val="23"/>
        <w:ind w:left="720" w:firstLine="480" w:firstLineChars="200"/>
        <w:rPr>
          <w:rFonts w:hint="default"/>
        </w:rPr>
      </w:pPr>
      <w:r>
        <w:t>交联聚乙烯绝缘聚氯乙烯阻燃铜芯电力电缆（阻燃等级为A级）、交联聚氯乙烯绝缘和护套阻燃铜芯控制电缆（阻燃等级为A级）、交联聚氯乙烯绝缘和护套铜丝编织屏蔽阻燃铜芯控制电缆（阻燃等级为A级）、模拟量电缆选用分屏对绞计算机用铜芯屏蔽电缆、高温区域采用耐高温铜芯电缆。</w:t>
      </w:r>
    </w:p>
    <w:p w14:paraId="462B6449">
      <w:pPr>
        <w:pStyle w:val="23"/>
        <w:ind w:firstLine="720"/>
        <w:rPr>
          <w:rFonts w:hint="default"/>
        </w:rPr>
      </w:pPr>
      <w:r>
        <w:rPr>
          <w:lang w:val="en-US"/>
        </w:rPr>
        <w:t>4.</w:t>
      </w:r>
      <w:r>
        <w:t>1.3 绝缘屏蔽上的金属屏蔽采用光亮软铜带重叠绕包，重叠率不少于15%。</w:t>
      </w:r>
    </w:p>
    <w:p w14:paraId="77F4572A">
      <w:pPr>
        <w:pStyle w:val="23"/>
        <w:ind w:left="1440" w:hanging="720" w:firstLineChars="0"/>
        <w:rPr>
          <w:rFonts w:hint="default"/>
        </w:rPr>
      </w:pPr>
      <w:r>
        <w:rPr>
          <w:lang w:val="en-US"/>
        </w:rPr>
        <w:t>4.</w:t>
      </w:r>
      <w:r>
        <w:t>1.4 允许的最小导线截面根据短路电流等级和开关切除时间进行选择，与设备上可能产生的短路电流等级相一致，以防电缆损坏。并满足主回路额定电流不超过电线载流量的70%的要求。</w:t>
      </w:r>
    </w:p>
    <w:p w14:paraId="5987F611">
      <w:pPr>
        <w:pStyle w:val="23"/>
        <w:ind w:left="1440" w:hanging="720" w:firstLineChars="0"/>
        <w:rPr>
          <w:rFonts w:hint="default"/>
        </w:rPr>
      </w:pPr>
      <w:r>
        <w:rPr>
          <w:lang w:val="en-US"/>
        </w:rPr>
        <w:t>4.</w:t>
      </w:r>
      <w:r>
        <w:t xml:space="preserve">1.5 高压配电采用三芯电缆，低压电动机配电采用四芯电缆，低压电源至动力箱、照明配电箱、电源检修箱等采用五芯电缆。 </w:t>
      </w:r>
    </w:p>
    <w:p w14:paraId="267D120E">
      <w:pPr>
        <w:pStyle w:val="23"/>
        <w:ind w:firstLine="720"/>
        <w:rPr>
          <w:rFonts w:hint="default"/>
        </w:rPr>
      </w:pPr>
      <w:r>
        <w:rPr>
          <w:lang w:val="en-US"/>
        </w:rPr>
        <w:t>4.</w:t>
      </w:r>
      <w:r>
        <w:t>1.6 控制电缆备用芯不少于15%。</w:t>
      </w:r>
    </w:p>
    <w:p w14:paraId="152CF6C0">
      <w:pPr>
        <w:spacing w:line="400" w:lineRule="exact"/>
        <w:jc w:val="left"/>
        <w:rPr>
          <w:rFonts w:ascii="宋体" w:hAnsi="宋体" w:cs="宋体"/>
          <w:sz w:val="24"/>
        </w:rPr>
      </w:pPr>
    </w:p>
    <w:p w14:paraId="24316F35">
      <w:pPr>
        <w:pStyle w:val="5"/>
        <w:ind w:firstLine="480"/>
      </w:pPr>
      <w:r>
        <w:rPr>
          <w:rFonts w:hint="eastAsia"/>
        </w:rPr>
        <w:t>4.2 电缆桥架技术要求</w:t>
      </w:r>
    </w:p>
    <w:p w14:paraId="0E29B822">
      <w:pPr>
        <w:pStyle w:val="23"/>
        <w:ind w:firstLine="720"/>
        <w:rPr>
          <w:rFonts w:hint="default"/>
        </w:rPr>
      </w:pPr>
      <w:r>
        <w:t>电缆桥架要求</w:t>
      </w:r>
    </w:p>
    <w:p w14:paraId="417064D5">
      <w:pPr>
        <w:pStyle w:val="23"/>
        <w:ind w:firstLine="720"/>
        <w:rPr>
          <w:rFonts w:hint="default"/>
        </w:rPr>
      </w:pPr>
      <w:r>
        <w:t>桥架配置的扣件、连接片、连接螺栓等附配件的材质必须为不锈钢。防腐层类别：热浸锌（最小平均厚度≧65um）。</w:t>
      </w:r>
    </w:p>
    <w:p w14:paraId="69D5C7DC">
      <w:pPr>
        <w:pStyle w:val="23"/>
        <w:ind w:firstLine="720"/>
        <w:rPr>
          <w:rFonts w:hint="default"/>
          <w:lang w:val="en-US"/>
        </w:rPr>
      </w:pPr>
      <w:r>
        <w:t>厚度（B=宽度mm；D=厚度mm）</w:t>
      </w:r>
    </w:p>
    <w:p w14:paraId="7BB2AE9A">
      <w:pPr>
        <w:pStyle w:val="23"/>
        <w:ind w:firstLine="720"/>
        <w:rPr>
          <w:rFonts w:hint="default"/>
          <w:lang w:val="en-US"/>
        </w:rPr>
      </w:pPr>
      <w:r>
        <w:t>100≦B﹤150  D=1.5</w:t>
      </w:r>
      <w:r>
        <w:rPr>
          <w:lang w:val="en-US"/>
        </w:rPr>
        <w:t>；</w:t>
      </w:r>
    </w:p>
    <w:p w14:paraId="2ED12FD9">
      <w:pPr>
        <w:pStyle w:val="23"/>
        <w:ind w:firstLine="720"/>
        <w:rPr>
          <w:rFonts w:hint="default"/>
          <w:lang w:val="en-US"/>
        </w:rPr>
      </w:pPr>
      <w:r>
        <w:t>150≦B﹤400  D=1.5</w:t>
      </w:r>
      <w:r>
        <w:rPr>
          <w:lang w:val="en-US"/>
        </w:rPr>
        <w:t>；</w:t>
      </w:r>
    </w:p>
    <w:p w14:paraId="27122C4A">
      <w:pPr>
        <w:pStyle w:val="23"/>
        <w:ind w:firstLine="720"/>
        <w:rPr>
          <w:rFonts w:hint="default"/>
          <w:lang w:val="en-US"/>
        </w:rPr>
      </w:pPr>
      <w:r>
        <w:t>400≦B﹤800  D=2.0</w:t>
      </w:r>
      <w:r>
        <w:rPr>
          <w:lang w:val="en-US"/>
        </w:rPr>
        <w:t>；</w:t>
      </w:r>
    </w:p>
    <w:p w14:paraId="75070AB9">
      <w:pPr>
        <w:pStyle w:val="23"/>
        <w:ind w:firstLine="720"/>
        <w:rPr>
          <w:rFonts w:hint="default"/>
          <w:lang w:val="en-US"/>
        </w:rPr>
      </w:pPr>
      <w:r>
        <w:t>800≦B﹤1000  D=2.5。。</w:t>
      </w:r>
    </w:p>
    <w:p w14:paraId="26C67473">
      <w:pPr>
        <w:pStyle w:val="23"/>
        <w:ind w:firstLine="720"/>
        <w:rPr>
          <w:rFonts w:hint="default"/>
        </w:rPr>
      </w:pPr>
      <w:r>
        <w:t>热浸锌覆膜防腐处理, 要求表面光滑平整无毛刺。</w:t>
      </w:r>
    </w:p>
    <w:p w14:paraId="2D7C48C3">
      <w:pPr>
        <w:pStyle w:val="23"/>
        <w:ind w:firstLine="720"/>
        <w:rPr>
          <w:rFonts w:hint="default"/>
        </w:rPr>
      </w:pPr>
      <w:r>
        <w:t>动力电缆桥架采用梯式，弱电电缆桥架采用槽式。</w:t>
      </w:r>
    </w:p>
    <w:p w14:paraId="25037F31">
      <w:pPr>
        <w:pStyle w:val="23"/>
        <w:ind w:firstLine="720"/>
        <w:rPr>
          <w:rFonts w:hint="default"/>
        </w:rPr>
      </w:pPr>
      <w:r>
        <w:t>动力电缆容积率不大于为40%。控制电缆不大于容积率50%。</w:t>
      </w:r>
    </w:p>
    <w:p w14:paraId="14F3C027">
      <w:pPr>
        <w:pStyle w:val="23"/>
        <w:ind w:firstLine="720"/>
        <w:rPr>
          <w:rFonts w:hint="default"/>
        </w:rPr>
      </w:pPr>
      <w:r>
        <w:t>需随桥架敷设通条热浸锌接地扁钢。</w:t>
      </w:r>
    </w:p>
    <w:p w14:paraId="419ADF76">
      <w:pPr>
        <w:pStyle w:val="5"/>
        <w:ind w:firstLine="480"/>
      </w:pPr>
      <w:r>
        <w:rPr>
          <w:rFonts w:hint="eastAsia"/>
        </w:rPr>
        <w:t>4.3 照明</w:t>
      </w:r>
    </w:p>
    <w:p w14:paraId="44AC735D">
      <w:pPr>
        <w:pStyle w:val="23"/>
        <w:ind w:firstLine="720"/>
        <w:rPr>
          <w:rFonts w:hint="default"/>
        </w:rPr>
      </w:pPr>
      <w:r>
        <w:rPr>
          <w:lang w:val="en-US"/>
        </w:rPr>
        <w:t>4.</w:t>
      </w:r>
      <w:r>
        <w:t>3.1</w:t>
      </w:r>
      <w:r>
        <w:rPr>
          <w:lang w:val="en-US"/>
        </w:rPr>
        <w:t xml:space="preserve"> </w:t>
      </w:r>
      <w:r>
        <w:t>电气配电间、控制间、DCS间等处采用LED照明，其余生产厂房均采用采用防腐、防水、防尘一体化灯具LED泛光灯具，三防LED灯具防护等级IP65以上，壳体采用铝合金一次压铸成型，灯具表面喷涂纯聚酯塑粉，采用304不锈钢材质紧固件锁紧，提供第三方权威检测机构颁发的LED灯具壳体防腐WF2检测报告，防爆场所应采用防爆灯具。</w:t>
      </w:r>
    </w:p>
    <w:p w14:paraId="02C9CCF7">
      <w:pPr>
        <w:pStyle w:val="23"/>
        <w:ind w:firstLine="720"/>
        <w:rPr>
          <w:rFonts w:hint="default"/>
        </w:rPr>
      </w:pPr>
      <w:r>
        <w:rPr>
          <w:lang w:val="en-US"/>
        </w:rPr>
        <w:t>4.</w:t>
      </w:r>
      <w:r>
        <w:t>3.2</w:t>
      </w:r>
      <w:r>
        <w:rPr>
          <w:lang w:val="en-US"/>
        </w:rPr>
        <w:t xml:space="preserve"> </w:t>
      </w:r>
      <w:r>
        <w:t>设计有事故照明，事故照明配置应按规范设计独立成网。</w:t>
      </w:r>
    </w:p>
    <w:p w14:paraId="52FAE737">
      <w:pPr>
        <w:pStyle w:val="23"/>
        <w:ind w:firstLine="720"/>
        <w:rPr>
          <w:rFonts w:hint="default"/>
        </w:rPr>
      </w:pPr>
      <w:r>
        <w:rPr>
          <w:lang w:val="en-US"/>
        </w:rPr>
        <w:t>4.</w:t>
      </w:r>
      <w:r>
        <w:t>3.3</w:t>
      </w:r>
      <w:r>
        <w:rPr>
          <w:lang w:val="en-US"/>
        </w:rPr>
        <w:t xml:space="preserve"> </w:t>
      </w:r>
      <w:r>
        <w:t>照明采用定时开、关或自动的方式控制。</w:t>
      </w:r>
    </w:p>
    <w:p w14:paraId="7EA87DA5">
      <w:pPr>
        <w:pStyle w:val="23"/>
        <w:ind w:firstLine="720"/>
        <w:rPr>
          <w:rFonts w:hint="default"/>
        </w:rPr>
      </w:pPr>
      <w:r>
        <w:rPr>
          <w:lang w:val="en-US"/>
        </w:rPr>
        <w:t>4.</w:t>
      </w:r>
      <w:r>
        <w:t>3.4</w:t>
      </w:r>
      <w:r>
        <w:rPr>
          <w:lang w:val="en-US"/>
        </w:rPr>
        <w:t xml:space="preserve"> </w:t>
      </w:r>
      <w:r>
        <w:t>三防LED灯具制造生产厂必须通过国家CCC认证的LED灯具合格产品，需提供CCC有效期证书。</w:t>
      </w:r>
    </w:p>
    <w:p w14:paraId="3AAC6187">
      <w:pPr>
        <w:pStyle w:val="2"/>
        <w:keepNext w:val="0"/>
        <w:keepLines w:val="0"/>
        <w:snapToGrid w:val="0"/>
        <w:spacing w:before="0" w:after="0" w:line="400" w:lineRule="exact"/>
        <w:rPr>
          <w:rFonts w:ascii="宋体" w:hAnsi="宋体" w:cs="宋体"/>
          <w:b w:val="0"/>
          <w:sz w:val="24"/>
        </w:rPr>
      </w:pPr>
    </w:p>
    <w:p w14:paraId="5DA7953B">
      <w:pPr>
        <w:pStyle w:val="3"/>
        <w:spacing w:before="156" w:after="156"/>
        <w:ind w:left="284" w:firstLine="0" w:firstLineChars="0"/>
      </w:pPr>
      <w:bookmarkStart w:id="168" w:name="_Toc26301"/>
      <w:bookmarkStart w:id="169" w:name="_Toc11500"/>
      <w:bookmarkStart w:id="170" w:name="_Toc11418"/>
      <w:r>
        <w:rPr>
          <w:rFonts w:hint="eastAsia"/>
        </w:rPr>
        <w:t>5、综保及自动化装置、直流系统</w:t>
      </w:r>
      <w:bookmarkEnd w:id="168"/>
      <w:bookmarkEnd w:id="169"/>
      <w:bookmarkEnd w:id="170"/>
    </w:p>
    <w:p w14:paraId="7AE9FC7E">
      <w:pPr>
        <w:pStyle w:val="5"/>
        <w:ind w:firstLine="480"/>
      </w:pPr>
      <w:r>
        <w:rPr>
          <w:rFonts w:hint="eastAsia"/>
        </w:rPr>
        <w:t>5.1 技改配电系统综保及综合自动化技术要求</w:t>
      </w:r>
    </w:p>
    <w:p w14:paraId="0B2DB943">
      <w:pPr>
        <w:pStyle w:val="23"/>
        <w:ind w:left="1380" w:hanging="660" w:firstLineChars="0"/>
        <w:rPr>
          <w:rFonts w:hint="default"/>
        </w:rPr>
      </w:pPr>
      <w:r>
        <w:rPr>
          <w:lang w:val="en-US"/>
        </w:rPr>
        <w:t>5.</w:t>
      </w:r>
      <w:r>
        <w:t>1.1</w:t>
      </w:r>
      <w:r>
        <w:rPr>
          <w:lang w:val="en-US"/>
        </w:rPr>
        <w:t xml:space="preserve"> </w:t>
      </w:r>
      <w:r>
        <w:t>电力监控系统</w:t>
      </w:r>
    </w:p>
    <w:p w14:paraId="62120424">
      <w:pPr>
        <w:pStyle w:val="32"/>
        <w:ind w:firstLine="960"/>
        <w:rPr>
          <w:rFonts w:hint="default"/>
        </w:rPr>
      </w:pPr>
      <w:r>
        <w:rPr>
          <w:lang w:val="en-US"/>
        </w:rPr>
        <w:t xml:space="preserve">5.1.1.1 </w:t>
      </w:r>
      <w:r>
        <w:t>电力监控系统由高低压配电等组成。对运行设备进行监控。做到电力资源集中、统一调度，达到配电系统自动监控及数据共享上传目的。</w:t>
      </w:r>
    </w:p>
    <w:p w14:paraId="31C06DF7">
      <w:pPr>
        <w:pStyle w:val="32"/>
        <w:ind w:firstLine="960"/>
        <w:rPr>
          <w:rFonts w:hint="default"/>
        </w:rPr>
      </w:pPr>
      <w:r>
        <w:rPr>
          <w:lang w:val="en-US"/>
        </w:rPr>
        <w:t xml:space="preserve">5.1.1.2 </w:t>
      </w:r>
      <w:r>
        <w:t>监控对象为：包括高厂用变压器、6kV联络线、分段线、各馈线、0.69/0.4kV进线、母联、母线电压、SVG、有源滤波、厂用变压器、公共部分单元、变压器挡位调节、温度等，直流电源系统。接地选线、智能电度表、无线测温等。</w:t>
      </w:r>
    </w:p>
    <w:p w14:paraId="64DC78D6">
      <w:pPr>
        <w:pStyle w:val="32"/>
        <w:ind w:firstLine="960"/>
        <w:rPr>
          <w:rFonts w:hint="default"/>
        </w:rPr>
      </w:pPr>
      <w:r>
        <w:rPr>
          <w:lang w:val="en-US"/>
        </w:rPr>
        <w:t xml:space="preserve">5.1.1.3 </w:t>
      </w:r>
      <w:r>
        <w:t>电力监控系统数据按需求开放至电气智能化管理系统。，相关数据上传至公司MES系统。</w:t>
      </w:r>
    </w:p>
    <w:p w14:paraId="36F799F7">
      <w:pPr>
        <w:pStyle w:val="23"/>
        <w:ind w:firstLine="720"/>
        <w:rPr>
          <w:rFonts w:hint="default"/>
        </w:rPr>
      </w:pPr>
      <w:r>
        <w:rPr>
          <w:lang w:val="en-US"/>
        </w:rPr>
        <w:t>5.</w:t>
      </w:r>
      <w:r>
        <w:t>1.2 监控系统结构</w:t>
      </w:r>
    </w:p>
    <w:p w14:paraId="7866E95C">
      <w:pPr>
        <w:pStyle w:val="32"/>
        <w:ind w:firstLine="960"/>
        <w:rPr>
          <w:rFonts w:hint="default"/>
        </w:rPr>
      </w:pPr>
      <w:r>
        <w:rPr>
          <w:lang w:val="en-US"/>
        </w:rPr>
        <w:t xml:space="preserve">5.1.2.1 </w:t>
      </w:r>
      <w:r>
        <w:t>标准通信规约：电力行业标准DL/T667-1999（IEC60870-5-103）；部颁CDT规约；以太网传输， IEC-60870-5-103（RS485通讯模式）、IEC-60870-5-104（工业以太网通讯模式）、MODBUS、DLT645</w:t>
      </w:r>
      <w:r>
        <w:rPr>
          <w:lang w:val="en-US"/>
        </w:rPr>
        <w:t>等</w:t>
      </w:r>
      <w:r>
        <w:t>标准通信规约以及变电站通讯标准IEC61850。接口类型有：CAN、ETHERNET、COM（RS232/485/422）、以太网、GPS脉冲接口等。</w:t>
      </w:r>
    </w:p>
    <w:p w14:paraId="6355A487">
      <w:pPr>
        <w:pStyle w:val="32"/>
        <w:ind w:firstLine="960"/>
        <w:rPr>
          <w:rFonts w:hint="default"/>
        </w:rPr>
      </w:pPr>
      <w:r>
        <w:rPr>
          <w:lang w:val="en-US"/>
        </w:rPr>
        <w:t xml:space="preserve">5.1.2.2 </w:t>
      </w:r>
      <w:r>
        <w:t>电力监控系统</w:t>
      </w:r>
      <w:r>
        <w:rPr>
          <w:kern w:val="0"/>
        </w:rPr>
        <w:t>采用网络架构，包括有站控层、网络层、设备层。系统应采用分层、分布、开放式的网络实现连接，每层均由相应的设备及网络设备构成，层与层之间在逻辑上应相对独立又紧密联系，数据应实现无缝传输，</w:t>
      </w:r>
      <w:r>
        <w:t>开关柜、保护屏上的在站控层及网络失效的情况下，间隔层仍能独立完成间隔层的监测和断路器控制功能。</w:t>
      </w:r>
    </w:p>
    <w:p w14:paraId="35E42321">
      <w:pPr>
        <w:pStyle w:val="32"/>
        <w:ind w:firstLine="960"/>
        <w:rPr>
          <w:rFonts w:hint="default"/>
          <w:kern w:val="0"/>
        </w:rPr>
      </w:pPr>
      <w:r>
        <w:rPr>
          <w:kern w:val="0"/>
          <w:lang w:val="en-US"/>
        </w:rPr>
        <w:t xml:space="preserve">5.1.2.3 </w:t>
      </w:r>
      <w:r>
        <w:rPr>
          <w:kern w:val="0"/>
        </w:rPr>
        <w:t>站控层主要设备包括服务器、监控主机、UPS、打印机、交换机等设备，其主要功能是通过网络汇集全所的实时数据信息，不断刷新实时数据库，并定时将数据转入历史数据记录库；具有对设备层的设备进行参数修改、数据监测、故障诊断及维护等功能。</w:t>
      </w:r>
    </w:p>
    <w:p w14:paraId="24C4E9D3">
      <w:pPr>
        <w:pStyle w:val="32"/>
        <w:ind w:firstLine="960"/>
        <w:rPr>
          <w:rFonts w:hint="default"/>
          <w:kern w:val="0"/>
        </w:rPr>
      </w:pPr>
      <w:r>
        <w:rPr>
          <w:kern w:val="0"/>
          <w:lang w:val="en-US"/>
        </w:rPr>
        <w:t xml:space="preserve">5.1.2.4 </w:t>
      </w:r>
      <w:r>
        <w:rPr>
          <w:kern w:val="0"/>
        </w:rPr>
        <w:t>网络层主要设备包括通讯管理机、</w:t>
      </w:r>
      <w:r>
        <w:rPr>
          <w:color w:val="000000" w:themeColor="text1"/>
          <w:kern w:val="0"/>
          <w:lang w:val="en-US"/>
          <w14:textFill>
            <w14:solidFill>
              <w14:schemeClr w14:val="tx1"/>
            </w14:solidFill>
          </w14:textFill>
        </w:rPr>
        <w:t>通讯装置</w:t>
      </w:r>
      <w:r>
        <w:rPr>
          <w:color w:val="000000" w:themeColor="text1"/>
          <w:kern w:val="0"/>
          <w14:textFill>
            <w14:solidFill>
              <w14:schemeClr w14:val="tx1"/>
            </w14:solidFill>
          </w14:textFill>
        </w:rPr>
        <w:t>、</w:t>
      </w:r>
      <w:r>
        <w:rPr>
          <w:kern w:val="0"/>
        </w:rPr>
        <w:t>交换机、光电转换器等，其主要功能是采集和传输现场智能设备中的数据，同时远传至站控层，完成设备层和站控层之间的数据交互。</w:t>
      </w:r>
    </w:p>
    <w:p w14:paraId="5254D730">
      <w:pPr>
        <w:pStyle w:val="32"/>
        <w:ind w:firstLine="960"/>
        <w:rPr>
          <w:rFonts w:hint="default"/>
          <w:kern w:val="0"/>
        </w:rPr>
      </w:pPr>
      <w:r>
        <w:rPr>
          <w:kern w:val="0"/>
          <w:lang w:val="en-US"/>
        </w:rPr>
        <w:t xml:space="preserve">5.1.2.5 </w:t>
      </w:r>
      <w:r>
        <w:rPr>
          <w:kern w:val="0"/>
        </w:rPr>
        <w:t>设备层主要设备包括各类设备智能监测装置、智能保护装置及各类传感器等，其主要功能是完成实时运行电气量的采集、设备运行状态的监测、控制命令的执行等。</w:t>
      </w:r>
    </w:p>
    <w:p w14:paraId="561D9176">
      <w:pPr>
        <w:pStyle w:val="23"/>
        <w:ind w:firstLine="720"/>
        <w:rPr>
          <w:rFonts w:hint="default"/>
        </w:rPr>
      </w:pPr>
      <w:r>
        <w:t>5.1.</w:t>
      </w:r>
      <w:r>
        <w:rPr>
          <w:lang w:val="en-US"/>
        </w:rPr>
        <w:t xml:space="preserve">3 </w:t>
      </w:r>
      <w:r>
        <w:t>系统功能</w:t>
      </w:r>
    </w:p>
    <w:p w14:paraId="7CA0CA2D">
      <w:pPr>
        <w:pStyle w:val="32"/>
        <w:ind w:firstLine="960"/>
        <w:rPr>
          <w:rFonts w:hint="default"/>
        </w:rPr>
      </w:pPr>
      <w:r>
        <w:rPr>
          <w:lang w:val="en-US"/>
        </w:rPr>
        <w:t xml:space="preserve">5.1.3.1 </w:t>
      </w:r>
      <w:r>
        <w:t>数据采集与处理：</w:t>
      </w:r>
    </w:p>
    <w:p w14:paraId="47EEE134">
      <w:pPr>
        <w:pStyle w:val="32"/>
        <w:ind w:firstLine="1440" w:firstLineChars="600"/>
        <w:rPr>
          <w:rFonts w:hint="default"/>
        </w:rPr>
      </w:pPr>
      <w:r>
        <w:rPr>
          <w:lang w:val="en-US"/>
        </w:rPr>
        <w:t>1）</w:t>
      </w:r>
      <w:r>
        <w:t>实时采集模拟量、开关量、数字量、温度量、脉冲量以及各类保护信息，对实时数据进行统计、分析及计算。实时数据采集可用硬接线或通讯方式实现。</w:t>
      </w:r>
    </w:p>
    <w:p w14:paraId="53BA5BC0">
      <w:pPr>
        <w:pStyle w:val="32"/>
        <w:ind w:firstLine="1440" w:firstLineChars="600"/>
        <w:rPr>
          <w:rFonts w:hint="default"/>
        </w:rPr>
      </w:pPr>
      <w:r>
        <w:rPr>
          <w:lang w:val="en-US"/>
        </w:rPr>
        <w:t>2）</w:t>
      </w:r>
      <w:r>
        <w:t>实时采集的开关量至少应包含：</w:t>
      </w:r>
      <w:r>
        <w:rPr>
          <w:lang w:val="en-US"/>
        </w:rPr>
        <w:t>6</w:t>
      </w:r>
      <w:r>
        <w:t>kV各回路的断路器小车位置状态、断路器分合状态、接地刀闸分合状态、各个PT小车位置状态、重要运行状态、0.4kV进线及联络框架断路器位置状态、0.4</w:t>
      </w:r>
      <w:r>
        <w:rPr>
          <w:lang w:val="en-US"/>
        </w:rPr>
        <w:t>/0.69</w:t>
      </w:r>
      <w:r>
        <w:t>kV进线及联络框架断路器分合状态</w:t>
      </w:r>
      <w:r>
        <w:rPr>
          <w:lang w:val="en-US"/>
        </w:rPr>
        <w:t>等</w:t>
      </w:r>
      <w:r>
        <w:t>、直流系统电源侧及馈出线侧开关量。</w:t>
      </w:r>
    </w:p>
    <w:p w14:paraId="27A44B97">
      <w:pPr>
        <w:pStyle w:val="32"/>
        <w:ind w:firstLine="1440" w:firstLineChars="600"/>
        <w:rPr>
          <w:rFonts w:hint="default"/>
        </w:rPr>
      </w:pPr>
      <w:r>
        <w:rPr>
          <w:lang w:val="en-US"/>
        </w:rPr>
        <w:t>3）</w:t>
      </w:r>
      <w:r>
        <w:t>实时采集的模拟量至少应包括：</w:t>
      </w:r>
      <w:r>
        <w:rPr>
          <w:lang w:val="en-US"/>
        </w:rPr>
        <w:t>6</w:t>
      </w:r>
      <w:r>
        <w:t>kV各回路电流/电压/功率因数/有功功率/无功功率、0.4</w:t>
      </w:r>
      <w:r>
        <w:rPr>
          <w:lang w:val="en-US"/>
        </w:rPr>
        <w:t>/0.69</w:t>
      </w:r>
      <w:r>
        <w:t>kV配电系统电源进线及联络回路的电流/电压/功率因数/有功功率/无功功率、厂用变、直流系统</w:t>
      </w:r>
      <w:r>
        <w:rPr>
          <w:lang w:val="en-US"/>
        </w:rPr>
        <w:t>等</w:t>
      </w:r>
      <w:r>
        <w:t>运行参数。</w:t>
      </w:r>
    </w:p>
    <w:p w14:paraId="5BFC78AB">
      <w:pPr>
        <w:pStyle w:val="32"/>
        <w:ind w:firstLine="1440" w:firstLineChars="600"/>
        <w:rPr>
          <w:rFonts w:hint="default"/>
        </w:rPr>
      </w:pPr>
      <w:r>
        <w:rPr>
          <w:lang w:val="en-US"/>
        </w:rPr>
        <w:t>4）</w:t>
      </w:r>
      <w:r>
        <w:t>实时显示各回路的电流、电压值；实时计算每日、每月母线电流、电压最高、最低与平均值。</w:t>
      </w:r>
    </w:p>
    <w:p w14:paraId="66BB2C1B">
      <w:pPr>
        <w:pStyle w:val="32"/>
        <w:ind w:firstLine="1440" w:firstLineChars="600"/>
        <w:rPr>
          <w:rFonts w:hint="default"/>
        </w:rPr>
      </w:pPr>
      <w:r>
        <w:rPr>
          <w:lang w:val="en-US"/>
        </w:rPr>
        <w:t>5）</w:t>
      </w:r>
      <w:r>
        <w:t>实时显示各回路的功率因数；实时计算每日、每月各回路功率因数的最大、最小及平均值。</w:t>
      </w:r>
    </w:p>
    <w:p w14:paraId="18C50860">
      <w:pPr>
        <w:pStyle w:val="32"/>
        <w:ind w:firstLine="1440" w:firstLineChars="600"/>
        <w:rPr>
          <w:rFonts w:hint="default"/>
        </w:rPr>
      </w:pPr>
      <w:r>
        <w:rPr>
          <w:lang w:val="en-US"/>
        </w:rPr>
        <w:t>6）</w:t>
      </w:r>
      <w:r>
        <w:t>实时显示各回路的有功、无功功率值；实时计算每日、每月各回路的有功、无功最大、最小及平均值。</w:t>
      </w:r>
    </w:p>
    <w:p w14:paraId="20C89117">
      <w:pPr>
        <w:pStyle w:val="32"/>
        <w:ind w:firstLine="1440" w:firstLineChars="600"/>
        <w:rPr>
          <w:rFonts w:hint="default"/>
        </w:rPr>
      </w:pPr>
      <w:r>
        <w:rPr>
          <w:lang w:val="en-US"/>
        </w:rPr>
        <w:t>7）</w:t>
      </w:r>
      <w:r>
        <w:t>实时显示各变压器温度值；实时计算每日、每月各变压器温度最高、最低与平均值。</w:t>
      </w:r>
    </w:p>
    <w:p w14:paraId="1C672911">
      <w:pPr>
        <w:pStyle w:val="32"/>
        <w:ind w:firstLine="1440" w:firstLineChars="600"/>
        <w:rPr>
          <w:rFonts w:hint="default"/>
        </w:rPr>
      </w:pPr>
      <w:r>
        <w:rPr>
          <w:lang w:val="en-US"/>
        </w:rPr>
        <w:t>8）</w:t>
      </w:r>
      <w:r>
        <w:t xml:space="preserve"> 实时显示各高压进线的频率、谐波分析情况。</w:t>
      </w:r>
    </w:p>
    <w:p w14:paraId="692AB21B">
      <w:pPr>
        <w:pStyle w:val="32"/>
        <w:ind w:firstLine="1440" w:firstLineChars="600"/>
        <w:rPr>
          <w:rFonts w:hint="default"/>
        </w:rPr>
      </w:pPr>
      <w:r>
        <w:rPr>
          <w:lang w:val="en-US"/>
        </w:rPr>
        <w:t>9）</w:t>
      </w:r>
      <w:r>
        <w:t>实时显示直流系统的运行状态参数。</w:t>
      </w:r>
    </w:p>
    <w:p w14:paraId="6E2108BF">
      <w:pPr>
        <w:pStyle w:val="32"/>
        <w:ind w:firstLine="1440" w:firstLineChars="600"/>
        <w:rPr>
          <w:rFonts w:hint="default"/>
        </w:rPr>
      </w:pPr>
      <w:r>
        <w:rPr>
          <w:lang w:val="en-US"/>
        </w:rPr>
        <w:t>10）</w:t>
      </w:r>
      <w:r>
        <w:t>实时显示、统计各回路各时段的电度值,对电能数据进行分时计费统计,应根据用户要求具有多种分时计费(峰、谷、平值等)方案和费率的种类。实时显示、统计各回路每日、每月、每年的有功电度总值和无功电度总值</w:t>
      </w:r>
    </w:p>
    <w:p w14:paraId="13D53EAF">
      <w:pPr>
        <w:pStyle w:val="32"/>
        <w:ind w:firstLine="1440" w:firstLineChars="600"/>
        <w:rPr>
          <w:rFonts w:hint="default"/>
        </w:rPr>
      </w:pPr>
      <w:r>
        <w:rPr>
          <w:lang w:val="en-US"/>
        </w:rPr>
        <w:t>11）</w:t>
      </w:r>
      <w:r>
        <w:t xml:space="preserve"> 数据采集周期、方式、参数等可由用户在线定义，状态量的变化应优先传送。</w:t>
      </w:r>
    </w:p>
    <w:p w14:paraId="306DD9C0">
      <w:pPr>
        <w:pStyle w:val="32"/>
        <w:ind w:firstLine="960"/>
        <w:rPr>
          <w:rFonts w:hint="default"/>
        </w:rPr>
      </w:pPr>
      <w:r>
        <w:rPr>
          <w:lang w:val="en-US"/>
        </w:rPr>
        <w:t xml:space="preserve">5.1.3.2 </w:t>
      </w:r>
      <w:r>
        <w:t>报警处理</w:t>
      </w:r>
    </w:p>
    <w:p w14:paraId="498C4BB0">
      <w:pPr>
        <w:pStyle w:val="32"/>
        <w:ind w:firstLine="1440" w:firstLineChars="600"/>
        <w:rPr>
          <w:rFonts w:hint="default"/>
        </w:rPr>
      </w:pPr>
      <w:r>
        <w:t>设置预告信号和事故信号，并产生不同的音响报警及闪光，自动推出相应画面，对应事故、故障设备的图形发生闪动变位，窗口提示事件内容及处理指导报警信号 可在监控主机上人工确认复归。报警同时启动事件打印输出功能。</w:t>
      </w:r>
    </w:p>
    <w:p w14:paraId="4F70DD1F">
      <w:pPr>
        <w:pStyle w:val="32"/>
        <w:ind w:firstLine="1440" w:firstLineChars="600"/>
        <w:rPr>
          <w:rFonts w:hint="default"/>
        </w:rPr>
      </w:pPr>
      <w:r>
        <w:rPr>
          <w:lang w:val="en-US"/>
        </w:rPr>
        <w:t>1）</w:t>
      </w:r>
      <w:r>
        <w:t>预告信号部分：线路过负荷、线路单相接地、跳闸回路断线、保护监控装置异常、直流电压异常、系统自诊断故障、母线电压越限、电流越限、变压器温度越限等。</w:t>
      </w:r>
    </w:p>
    <w:p w14:paraId="6023649E">
      <w:pPr>
        <w:pStyle w:val="32"/>
        <w:ind w:firstLine="1440" w:firstLineChars="600"/>
        <w:rPr>
          <w:rFonts w:hint="default"/>
        </w:rPr>
      </w:pPr>
      <w:r>
        <w:rPr>
          <w:lang w:val="en-US"/>
        </w:rPr>
        <w:t>2）</w:t>
      </w:r>
      <w:r>
        <w:t>事故信号部分：保护装置动作、开关变位。</w:t>
      </w:r>
    </w:p>
    <w:p w14:paraId="79A781B0">
      <w:pPr>
        <w:pStyle w:val="32"/>
        <w:ind w:firstLine="960"/>
        <w:rPr>
          <w:rFonts w:hint="default"/>
        </w:rPr>
      </w:pPr>
      <w:r>
        <w:rPr>
          <w:lang w:val="en-US"/>
        </w:rPr>
        <w:t xml:space="preserve">5.1.3.3 </w:t>
      </w:r>
      <w:r>
        <w:t>事故追忆及显示画面</w:t>
      </w:r>
    </w:p>
    <w:p w14:paraId="2D6C2549">
      <w:pPr>
        <w:pStyle w:val="32"/>
        <w:ind w:firstLine="1440" w:firstLineChars="600"/>
        <w:rPr>
          <w:rFonts w:hint="default"/>
        </w:rPr>
      </w:pPr>
      <w:r>
        <w:t>保护动作发生时，系统自动启动相关的测量数据记录，供系统进行事故追忆。要求系统可追忆事故前后全站各个间隔的测量数据。并提供曲线、表格等形式选择想要查看的事故追忆数据。</w:t>
      </w:r>
    </w:p>
    <w:p w14:paraId="6032595F">
      <w:pPr>
        <w:pStyle w:val="32"/>
        <w:ind w:firstLine="1440" w:firstLineChars="600"/>
        <w:rPr>
          <w:rFonts w:hint="default"/>
        </w:rPr>
      </w:pPr>
      <w:r>
        <w:rPr>
          <w:lang w:val="en-US"/>
        </w:rPr>
        <w:t>1）</w:t>
      </w:r>
      <w:r>
        <w:t>接线图：包括开关位置和各实时电量信息。网络系统图、一次接线图、二次接线图、电缆走向图、厂用电交流系统图、直流系统图、保护监控配置图、通讯结构图、报警信号图、地理位置信息图等图形，可根据甲方需要绘制各种图形。</w:t>
      </w:r>
    </w:p>
    <w:p w14:paraId="13B75441">
      <w:pPr>
        <w:pStyle w:val="32"/>
        <w:ind w:firstLine="1440" w:firstLineChars="600"/>
        <w:rPr>
          <w:rFonts w:hint="default"/>
        </w:rPr>
      </w:pPr>
      <w:r>
        <w:rPr>
          <w:lang w:val="en-US"/>
        </w:rPr>
        <w:t>2）</w:t>
      </w:r>
      <w:r>
        <w:t>工况图：包括日常数据、电度显示、选点召唤等画面；能显示整个系统各计算机的工作状态图；能显示系统中监控装置的工作状态。</w:t>
      </w:r>
    </w:p>
    <w:p w14:paraId="31550ED7">
      <w:pPr>
        <w:pStyle w:val="32"/>
        <w:ind w:firstLine="1440" w:firstLineChars="600"/>
        <w:rPr>
          <w:rFonts w:hint="default"/>
        </w:rPr>
      </w:pPr>
      <w:r>
        <w:rPr>
          <w:lang w:val="en-US"/>
        </w:rPr>
        <w:t>3）</w:t>
      </w:r>
      <w:r>
        <w:t>棒图：有电流棒、负荷棒图等实时刷新显示图。</w:t>
      </w:r>
    </w:p>
    <w:p w14:paraId="6DCDB8CC">
      <w:pPr>
        <w:pStyle w:val="32"/>
        <w:ind w:firstLine="1440" w:firstLineChars="600"/>
        <w:rPr>
          <w:rFonts w:hint="default"/>
        </w:rPr>
      </w:pPr>
      <w:r>
        <w:rPr>
          <w:lang w:val="en-US"/>
        </w:rPr>
        <w:t>4）</w:t>
      </w:r>
      <w:r>
        <w:t>曲线画面：有电压曲线、电流曲线、负荷曲线等。</w:t>
      </w:r>
    </w:p>
    <w:p w14:paraId="2C6E8EA1">
      <w:pPr>
        <w:pStyle w:val="32"/>
        <w:ind w:firstLine="1440" w:firstLineChars="600"/>
        <w:rPr>
          <w:rFonts w:hint="default"/>
        </w:rPr>
      </w:pPr>
      <w:r>
        <w:rPr>
          <w:lang w:val="en-US"/>
        </w:rPr>
        <w:t>5）</w:t>
      </w:r>
      <w:r>
        <w:t>一览表：包括事故信号一览表、故障信号一览表、操作信号一览表、保护定值一览表。</w:t>
      </w:r>
    </w:p>
    <w:p w14:paraId="6E74C0EE">
      <w:pPr>
        <w:pStyle w:val="32"/>
        <w:ind w:firstLine="1440" w:firstLineChars="600"/>
        <w:rPr>
          <w:rFonts w:hint="default"/>
        </w:rPr>
      </w:pPr>
      <w:r>
        <w:rPr>
          <w:lang w:val="en-US"/>
        </w:rPr>
        <w:t>6）</w:t>
      </w:r>
      <w:r>
        <w:t>系统自检信息。</w:t>
      </w:r>
    </w:p>
    <w:p w14:paraId="170FACD0">
      <w:pPr>
        <w:pStyle w:val="32"/>
        <w:ind w:firstLine="960"/>
        <w:rPr>
          <w:rFonts w:hint="default"/>
        </w:rPr>
      </w:pPr>
      <w:r>
        <w:rPr>
          <w:lang w:val="en-US"/>
        </w:rPr>
        <w:t xml:space="preserve">5.1.3.4 </w:t>
      </w:r>
      <w:r>
        <w:t>遥控跳合闸控制：通过监控主机能实现断路器远方跳合闸。</w:t>
      </w:r>
    </w:p>
    <w:p w14:paraId="01850DCB">
      <w:pPr>
        <w:pStyle w:val="32"/>
        <w:ind w:firstLine="960"/>
        <w:rPr>
          <w:rFonts w:hint="default"/>
        </w:rPr>
      </w:pPr>
      <w:r>
        <w:rPr>
          <w:lang w:val="en-US"/>
        </w:rPr>
        <w:t xml:space="preserve">5.1.3.5 </w:t>
      </w:r>
      <w:r>
        <w:t>远动通信：预留与其他监控系统和企业管理信息网的接口。</w:t>
      </w:r>
    </w:p>
    <w:p w14:paraId="74AE3A5B">
      <w:pPr>
        <w:pStyle w:val="32"/>
        <w:ind w:firstLine="960"/>
        <w:rPr>
          <w:rFonts w:hint="default"/>
        </w:rPr>
      </w:pPr>
      <w:r>
        <w:rPr>
          <w:lang w:val="en-US"/>
        </w:rPr>
        <w:t xml:space="preserve">5.1.3.6 </w:t>
      </w:r>
      <w:r>
        <w:t>历史数据存储：系统主站设有历史数据库，记录周期以5分钟分间隔，保留全部监测量：一日24小时、一月内每日和一年内每月的统计数据；以及重要事故、操作记录保存的时间，各历史数据及在线查询、显示，保存时间可在线修改。全站的数据至少能保存三年。同时也能够转存储到光碟长期保存。</w:t>
      </w:r>
    </w:p>
    <w:p w14:paraId="5DA54589">
      <w:pPr>
        <w:pStyle w:val="32"/>
        <w:ind w:firstLine="960"/>
        <w:rPr>
          <w:rFonts w:hint="default"/>
        </w:rPr>
      </w:pPr>
      <w:r>
        <w:rPr>
          <w:lang w:val="en-US"/>
        </w:rPr>
        <w:t xml:space="preserve">5.1.3.7 </w:t>
      </w:r>
      <w:r>
        <w:t>保护定值修改：监控主机能显示各线路的保护配置并能对所有保护定值进行设置和修改， 也能对各保护功能进行投退，以适应开关所内保护多种运行方式，修改时必须输入相应密码才能进入。</w:t>
      </w:r>
    </w:p>
    <w:p w14:paraId="6B4C492F">
      <w:pPr>
        <w:pStyle w:val="32"/>
        <w:ind w:firstLine="960"/>
        <w:rPr>
          <w:rFonts w:hint="default"/>
        </w:rPr>
      </w:pPr>
      <w:r>
        <w:rPr>
          <w:lang w:val="en-US"/>
        </w:rPr>
        <w:t xml:space="preserve">5.1.3.8 </w:t>
      </w:r>
      <w:r>
        <w:t>数据报表与打印功能</w:t>
      </w:r>
    </w:p>
    <w:p w14:paraId="6ADA03CC">
      <w:pPr>
        <w:pStyle w:val="32"/>
        <w:ind w:firstLine="1440" w:firstLineChars="600"/>
        <w:rPr>
          <w:rFonts w:hint="default"/>
        </w:rPr>
      </w:pPr>
      <w:r>
        <w:t>应提供功能强大、灵活自如的报表编辑工具。所见即所得并可自动生成。应提供典型报表模板。应支持定时和随机两种打印方式。随机打印是自动记录故障，事故情况下操作时的事件，并响应手动选择的各打印功能；定时打印是专用于定时报表的打印。主要功能有：</w:t>
      </w:r>
    </w:p>
    <w:p w14:paraId="61FBB722">
      <w:pPr>
        <w:pStyle w:val="32"/>
        <w:ind w:firstLine="1440" w:firstLineChars="600"/>
        <w:rPr>
          <w:rFonts w:hint="default"/>
          <w:lang w:val="en-US"/>
        </w:rPr>
      </w:pPr>
      <w:r>
        <w:rPr>
          <w:lang w:val="en-US"/>
        </w:rPr>
        <w:t>1）</w:t>
      </w:r>
      <w:r>
        <w:t>现场工况打印</w:t>
      </w:r>
      <w:r>
        <w:rPr>
          <w:lang w:val="en-US"/>
        </w:rPr>
        <w:t>；</w:t>
      </w:r>
    </w:p>
    <w:p w14:paraId="7C47CA63">
      <w:pPr>
        <w:pStyle w:val="32"/>
        <w:ind w:firstLine="1440" w:firstLineChars="600"/>
        <w:rPr>
          <w:rFonts w:hint="default"/>
          <w:lang w:val="en-US"/>
        </w:rPr>
      </w:pPr>
      <w:r>
        <w:rPr>
          <w:lang w:val="en-US"/>
        </w:rPr>
        <w:t>2）</w:t>
      </w:r>
      <w:r>
        <w:t>事故、故障及操作控制项目的自动打印，成组或选择打印；事故、故障通过报表可输出至Excel表格</w:t>
      </w:r>
      <w:r>
        <w:rPr>
          <w:lang w:val="en-US"/>
        </w:rPr>
        <w:t>；</w:t>
      </w:r>
    </w:p>
    <w:p w14:paraId="618DB95B">
      <w:pPr>
        <w:pStyle w:val="32"/>
        <w:ind w:firstLine="1440" w:firstLineChars="600"/>
        <w:rPr>
          <w:rFonts w:hint="default"/>
        </w:rPr>
      </w:pPr>
      <w:r>
        <w:rPr>
          <w:lang w:val="en-US"/>
        </w:rPr>
        <w:t>3）</w:t>
      </w:r>
      <w:r>
        <w:t>对各电气设备和系统运行参数进行汇总统计，并根据用户要求生成各类报表，包括：分时（峰谷平）、班次、日、月、季度和年度报表；</w:t>
      </w:r>
    </w:p>
    <w:p w14:paraId="6FF943DA">
      <w:pPr>
        <w:pStyle w:val="32"/>
        <w:ind w:firstLine="1440" w:firstLineChars="600"/>
        <w:rPr>
          <w:rFonts w:hint="default"/>
        </w:rPr>
      </w:pPr>
      <w:r>
        <w:rPr>
          <w:lang w:val="en-US"/>
        </w:rPr>
        <w:t>4）</w:t>
      </w:r>
      <w:r>
        <w:t>负荷曲线、趋势曲线打印</w:t>
      </w:r>
      <w:r>
        <w:rPr>
          <w:lang w:val="en-US"/>
        </w:rPr>
        <w:t>；</w:t>
      </w:r>
    </w:p>
    <w:p w14:paraId="52DEC8AA">
      <w:pPr>
        <w:pStyle w:val="32"/>
        <w:ind w:firstLine="1440" w:firstLineChars="600"/>
        <w:rPr>
          <w:rFonts w:hint="default"/>
        </w:rPr>
      </w:pPr>
      <w:r>
        <w:rPr>
          <w:lang w:val="en-US"/>
        </w:rPr>
        <w:t>5）</w:t>
      </w:r>
      <w:r>
        <w:t>历史数据选择打印</w:t>
      </w:r>
      <w:r>
        <w:rPr>
          <w:lang w:val="en-US"/>
        </w:rPr>
        <w:t>；</w:t>
      </w:r>
    </w:p>
    <w:p w14:paraId="1C38A1F1">
      <w:pPr>
        <w:pStyle w:val="32"/>
        <w:ind w:firstLine="1440" w:firstLineChars="600"/>
        <w:rPr>
          <w:rFonts w:hint="default"/>
        </w:rPr>
      </w:pPr>
      <w:r>
        <w:rPr>
          <w:lang w:val="en-US"/>
        </w:rPr>
        <w:t>6）</w:t>
      </w:r>
      <w:r>
        <w:t>运行日志，包括日报表、月报表打印</w:t>
      </w:r>
      <w:r>
        <w:rPr>
          <w:lang w:val="en-US"/>
        </w:rPr>
        <w:t>；</w:t>
      </w:r>
    </w:p>
    <w:p w14:paraId="15064550">
      <w:pPr>
        <w:pStyle w:val="32"/>
        <w:ind w:firstLine="1440" w:firstLineChars="600"/>
        <w:rPr>
          <w:rFonts w:hint="default"/>
        </w:rPr>
      </w:pPr>
      <w:r>
        <w:rPr>
          <w:lang w:val="en-US"/>
        </w:rPr>
        <w:t>7）</w:t>
      </w:r>
      <w:r>
        <w:t>各种随机选择打印</w:t>
      </w:r>
      <w:r>
        <w:rPr>
          <w:lang w:val="en-US"/>
        </w:rPr>
        <w:t>；</w:t>
      </w:r>
    </w:p>
    <w:p w14:paraId="4BB5E13B">
      <w:pPr>
        <w:pStyle w:val="32"/>
        <w:ind w:firstLine="1440" w:firstLineChars="600"/>
        <w:rPr>
          <w:rFonts w:hint="default"/>
        </w:rPr>
      </w:pPr>
      <w:r>
        <w:rPr>
          <w:lang w:val="en-US"/>
        </w:rPr>
        <w:t>8）</w:t>
      </w:r>
      <w:r>
        <w:t>屏幕拷贝打印</w:t>
      </w:r>
      <w:r>
        <w:rPr>
          <w:lang w:val="en-US"/>
        </w:rPr>
        <w:t>；</w:t>
      </w:r>
    </w:p>
    <w:p w14:paraId="3A40F0DA">
      <w:pPr>
        <w:pStyle w:val="32"/>
        <w:ind w:firstLine="1440" w:firstLineChars="600"/>
        <w:rPr>
          <w:rFonts w:hint="default"/>
        </w:rPr>
      </w:pPr>
      <w:r>
        <w:rPr>
          <w:lang w:val="en-US"/>
        </w:rPr>
        <w:t>9）</w:t>
      </w:r>
      <w:r>
        <w:t>可根据实际需要制定各种复杂的报表。</w:t>
      </w:r>
    </w:p>
    <w:p w14:paraId="73F81CE2">
      <w:pPr>
        <w:pStyle w:val="32"/>
        <w:ind w:firstLine="960"/>
        <w:rPr>
          <w:rFonts w:hint="default"/>
        </w:rPr>
      </w:pPr>
      <w:r>
        <w:rPr>
          <w:lang w:val="en-US"/>
        </w:rPr>
        <w:t xml:space="preserve">5.1.3.9 </w:t>
      </w:r>
      <w:r>
        <w:t>小电流接地自动选线：监控主机自动寻找单相接地故障线路，并由微机或值班人员进行处理。</w:t>
      </w:r>
    </w:p>
    <w:p w14:paraId="19D4A367">
      <w:pPr>
        <w:pStyle w:val="32"/>
        <w:ind w:firstLine="960"/>
        <w:rPr>
          <w:rFonts w:hint="default"/>
        </w:rPr>
      </w:pPr>
      <w:r>
        <w:rPr>
          <w:lang w:val="en-US"/>
        </w:rPr>
        <w:t xml:space="preserve">5.1.3.10 </w:t>
      </w:r>
      <w:r>
        <w:t>生成与修改</w:t>
      </w:r>
    </w:p>
    <w:p w14:paraId="23A25052">
      <w:pPr>
        <w:pStyle w:val="32"/>
        <w:ind w:firstLine="1440" w:firstLineChars="600"/>
        <w:rPr>
          <w:rFonts w:hint="default"/>
          <w:lang w:val="en-US"/>
        </w:rPr>
      </w:pPr>
      <w:r>
        <w:rPr>
          <w:lang w:val="en-US"/>
        </w:rPr>
        <w:t>1）</w:t>
      </w:r>
      <w:r>
        <w:t>模入、开入、开出定义及修改</w:t>
      </w:r>
      <w:r>
        <w:rPr>
          <w:lang w:val="en-US"/>
        </w:rPr>
        <w:t>；</w:t>
      </w:r>
    </w:p>
    <w:p w14:paraId="7B3F3612">
      <w:pPr>
        <w:pStyle w:val="32"/>
        <w:ind w:firstLine="1440" w:firstLineChars="600"/>
        <w:rPr>
          <w:rFonts w:hint="default"/>
        </w:rPr>
      </w:pPr>
      <w:r>
        <w:rPr>
          <w:lang w:val="en-US"/>
        </w:rPr>
        <w:t>2）</w:t>
      </w:r>
      <w:r>
        <w:t>人工参数的置入、模拟图及相关图的生成修改</w:t>
      </w:r>
      <w:r>
        <w:rPr>
          <w:lang w:val="en-US"/>
        </w:rPr>
        <w:t>；</w:t>
      </w:r>
    </w:p>
    <w:p w14:paraId="54133AD2">
      <w:pPr>
        <w:pStyle w:val="32"/>
        <w:ind w:firstLine="1440" w:firstLineChars="600"/>
        <w:rPr>
          <w:rFonts w:hint="default"/>
        </w:rPr>
      </w:pPr>
      <w:r>
        <w:rPr>
          <w:lang w:val="en-US"/>
        </w:rPr>
        <w:t>3）</w:t>
      </w:r>
      <w:r>
        <w:t>打印报表自动生成及修改。</w:t>
      </w:r>
    </w:p>
    <w:p w14:paraId="31320A60">
      <w:pPr>
        <w:pStyle w:val="32"/>
        <w:ind w:firstLine="960"/>
        <w:rPr>
          <w:rFonts w:hint="default"/>
        </w:rPr>
      </w:pPr>
      <w:r>
        <w:rPr>
          <w:lang w:val="en-US"/>
        </w:rPr>
        <w:t xml:space="preserve">5.1.3.11 </w:t>
      </w:r>
      <w:r>
        <w:t>运行管理功能：系统应有交接班记录、运行记录、检修维护记录、技术资料管理记录、设备管理记录、继电保护定值管理记录等功能。</w:t>
      </w:r>
    </w:p>
    <w:p w14:paraId="6827C2A8">
      <w:pPr>
        <w:pStyle w:val="32"/>
        <w:ind w:firstLine="960"/>
        <w:rPr>
          <w:rFonts w:hint="default"/>
        </w:rPr>
      </w:pPr>
      <w:r>
        <w:rPr>
          <w:lang w:val="en-US"/>
        </w:rPr>
        <w:t xml:space="preserve">5.1.3.12 </w:t>
      </w:r>
      <w:r>
        <w:t>系统自诊断及自恢复：系统应有自诊断及自恢复功能。</w:t>
      </w:r>
    </w:p>
    <w:p w14:paraId="4A3022BE">
      <w:pPr>
        <w:pStyle w:val="32"/>
        <w:ind w:firstLine="960"/>
        <w:rPr>
          <w:rFonts w:hint="default"/>
        </w:rPr>
      </w:pPr>
      <w:r>
        <w:rPr>
          <w:lang w:val="en-US"/>
        </w:rPr>
        <w:t xml:space="preserve">5.1.3.13 </w:t>
      </w:r>
      <w:r>
        <w:t>安全性管理：系统软件设置支持多种权限分区和密级设置，为系统管理员、工程师、一般值班操作人员等提供分级密码，并对所有操作自动进行带时标事件记录，可建立良好的反事故措施。</w:t>
      </w:r>
    </w:p>
    <w:p w14:paraId="64E55B3D">
      <w:pPr>
        <w:pStyle w:val="32"/>
        <w:ind w:firstLine="960"/>
        <w:rPr>
          <w:rFonts w:hint="default"/>
        </w:rPr>
      </w:pPr>
      <w:r>
        <w:rPr>
          <w:lang w:val="en-US"/>
        </w:rPr>
        <w:t xml:space="preserve">5.1.3.14 </w:t>
      </w:r>
      <w:r>
        <w:t>故障录波和谐波分析：系统应有故障录波和谐波分析功能。</w:t>
      </w:r>
    </w:p>
    <w:p w14:paraId="45A50587">
      <w:pPr>
        <w:pStyle w:val="32"/>
        <w:ind w:firstLine="960"/>
        <w:rPr>
          <w:rFonts w:hint="default"/>
        </w:rPr>
      </w:pPr>
      <w:r>
        <w:rPr>
          <w:kern w:val="0"/>
          <w:lang w:val="en-US"/>
        </w:rPr>
        <w:t xml:space="preserve">5.1.3.15 </w:t>
      </w:r>
      <w:r>
        <w:rPr>
          <w:kern w:val="0"/>
        </w:rPr>
        <w:t>系统时间同步：配置GPS卫星同步装置一套。系统监控和管理服务器、</w:t>
      </w:r>
      <w:r>
        <w:rPr>
          <w:kern w:val="0"/>
          <w:lang w:val="en-US"/>
        </w:rPr>
        <w:t>6</w:t>
      </w:r>
      <w:r>
        <w:rPr>
          <w:kern w:val="0"/>
        </w:rPr>
        <w:t>kV微机保护及测控装置、变压器保护装置等可接受全球卫星定位系统（GPS）的标准受时信号（IRIG格式），系统具有时钟同步网络传输校正措施。能通过远动通道，保持系统与调度时钟同步。</w:t>
      </w:r>
    </w:p>
    <w:p w14:paraId="3FE39D66">
      <w:pPr>
        <w:pStyle w:val="32"/>
        <w:ind w:firstLine="960"/>
        <w:rPr>
          <w:rFonts w:hint="default"/>
        </w:rPr>
      </w:pPr>
      <w:r>
        <w:rPr>
          <w:lang w:val="en-US"/>
        </w:rPr>
        <w:t xml:space="preserve">5.1.3.16 </w:t>
      </w:r>
      <w:r>
        <w:t>系统冗余：微机综保系统的通讯管理机、后台服务器等应具备实时冗余功能，当其中一套装置故障情况下，能够实时切换至备用装置全功能运行。</w:t>
      </w:r>
    </w:p>
    <w:p w14:paraId="00E927FA">
      <w:pPr>
        <w:pStyle w:val="32"/>
        <w:ind w:firstLine="960"/>
        <w:rPr>
          <w:rFonts w:hint="default"/>
        </w:rPr>
      </w:pPr>
      <w:r>
        <w:rPr>
          <w:lang w:val="en-US"/>
        </w:rPr>
        <w:t xml:space="preserve">5.1.3.17 </w:t>
      </w:r>
      <w:r>
        <w:t>软件应能实时显示断路器、接地刀控制画面，并能在软件内进行运行、热备用、冷备用、检修四种状态的电动控制，并能实现基于AI视频识别的一键顺控双确认功能。</w:t>
      </w:r>
    </w:p>
    <w:p w14:paraId="0B8E818B">
      <w:pPr>
        <w:pStyle w:val="32"/>
        <w:ind w:firstLine="960"/>
        <w:rPr>
          <w:rFonts w:hint="default"/>
        </w:rPr>
      </w:pPr>
      <w:r>
        <w:rPr>
          <w:lang w:val="en-US"/>
        </w:rPr>
        <w:t xml:space="preserve">5.1.3.18 </w:t>
      </w:r>
      <w:r>
        <w:t>微机“五防”功能，电气操作及工作票管理系统等。</w:t>
      </w:r>
    </w:p>
    <w:p w14:paraId="7C71DBF1">
      <w:pPr>
        <w:pStyle w:val="32"/>
        <w:ind w:firstLine="1440" w:firstLineChars="600"/>
        <w:rPr>
          <w:rFonts w:hint="default"/>
        </w:rPr>
      </w:pPr>
      <w:r>
        <w:t>技改站控层主要设备各包括独立的工程师站、不少于2台操作员站、打印机，微机五防等，间隔层主要设备包括测控单元、通讯接口单元、网络设备（组屏）等。</w:t>
      </w:r>
    </w:p>
    <w:p w14:paraId="65683D6A">
      <w:pPr>
        <w:pStyle w:val="32"/>
        <w:ind w:firstLine="1440" w:firstLineChars="600"/>
        <w:rPr>
          <w:rFonts w:hint="default"/>
        </w:rPr>
      </w:pPr>
      <w:r>
        <w:t>系统内的所有网络通讯光纤电缆、光缆连接所需附件均在供货范围内。</w:t>
      </w:r>
    </w:p>
    <w:p w14:paraId="1B96FED0">
      <w:pPr>
        <w:pStyle w:val="23"/>
        <w:ind w:firstLine="720"/>
        <w:rPr>
          <w:rFonts w:hint="default"/>
        </w:rPr>
      </w:pPr>
      <w:r>
        <w:rPr>
          <w:lang w:val="en-US"/>
        </w:rPr>
        <w:t>5.</w:t>
      </w:r>
      <w:r>
        <w:t>1.</w:t>
      </w:r>
      <w:r>
        <w:rPr>
          <w:lang w:val="en-US"/>
        </w:rPr>
        <w:t>4</w:t>
      </w:r>
      <w:r>
        <w:t xml:space="preserve"> 综合保护装置功能要求</w:t>
      </w:r>
    </w:p>
    <w:p w14:paraId="7463AC76">
      <w:pPr>
        <w:pStyle w:val="32"/>
        <w:ind w:firstLine="960"/>
        <w:rPr>
          <w:rFonts w:hint="default"/>
        </w:rPr>
      </w:pPr>
      <w:r>
        <w:rPr>
          <w:lang w:val="en-US"/>
        </w:rPr>
        <w:t xml:space="preserve">5.1.4.2 </w:t>
      </w:r>
      <w:r>
        <w:t>线路保护装置</w:t>
      </w:r>
    </w:p>
    <w:p w14:paraId="73ADFD63">
      <w:pPr>
        <w:pStyle w:val="32"/>
        <w:ind w:firstLine="1440" w:firstLineChars="600"/>
        <w:rPr>
          <w:rFonts w:hint="default"/>
        </w:rPr>
      </w:pPr>
      <w:r>
        <w:t>三段复合电压闭锁方向电流保护、过流加速保护、过负荷保护、零序电压闭锁零序方向电流保护、零序过压保护、低频减载保护、三相一次重合闸、TV断线检测告警、控制回路异常告警、跳位异常告警、手车位置异常告警、弹簧未储能告警、遥信采集、装置遥信变位、事故遥信、以太网口、故障录波等。</w:t>
      </w:r>
    </w:p>
    <w:p w14:paraId="20D87D7A">
      <w:pPr>
        <w:pStyle w:val="32"/>
        <w:ind w:firstLine="960"/>
        <w:rPr>
          <w:rFonts w:hint="default"/>
        </w:rPr>
      </w:pPr>
      <w:r>
        <w:rPr>
          <w:lang w:val="en-US"/>
        </w:rPr>
        <w:t xml:space="preserve">5.1.4.3 </w:t>
      </w:r>
      <w:r>
        <w:t>厂用变保护装置</w:t>
      </w:r>
    </w:p>
    <w:p w14:paraId="21495BA0">
      <w:pPr>
        <w:pStyle w:val="32"/>
        <w:ind w:firstLine="1440" w:firstLineChars="600"/>
        <w:rPr>
          <w:rFonts w:hint="default"/>
        </w:rPr>
      </w:pPr>
      <w:r>
        <w:t>三段式带复压闭锁的过电流保护、过负荷保护、反时限过流保护、负序过电流保护、高压侧零序电流保护、低压侧零序电流保护、低压侧零序反时限保护、低电压保护、零序电压保护、四路非电量保护、TV断线检测告警、控制回路异常告警、跳位异常告警、手车位置异常告警、弹簧未储能告警、遥信采集、装置遥信变位、事故遥信、以太网口、故障录波等。</w:t>
      </w:r>
    </w:p>
    <w:p w14:paraId="70DB6B4D">
      <w:pPr>
        <w:pStyle w:val="32"/>
        <w:ind w:firstLine="960"/>
        <w:rPr>
          <w:rFonts w:hint="default"/>
        </w:rPr>
      </w:pPr>
      <w:r>
        <w:rPr>
          <w:lang w:val="en-US"/>
        </w:rPr>
        <w:t xml:space="preserve">5.1.4.4 </w:t>
      </w:r>
      <w:r>
        <w:t>高压电动机保护装置</w:t>
      </w:r>
    </w:p>
    <w:p w14:paraId="5EDD9C34">
      <w:pPr>
        <w:pStyle w:val="32"/>
        <w:ind w:firstLine="1440" w:firstLineChars="600"/>
        <w:rPr>
          <w:rFonts w:hint="default"/>
        </w:rPr>
      </w:pPr>
      <w:r>
        <w:t>三段式过电流保护、零序电流保护、过电压保护、低电压保护、不平衡电流保护、不平衡电压保护、非电量保护TV断线检测告警、堵转保护、负序定时限电流保护、负序反时限电流保护、过负荷保护、过热保护、控制回路异常告警、跳位异常告警、手车位置异常告警、弹簧未储能告警、遥信采集、装置遥信变位、事故遥信、以太网口、故障录波等。</w:t>
      </w:r>
    </w:p>
    <w:p w14:paraId="4BC705F5">
      <w:pPr>
        <w:pStyle w:val="32"/>
        <w:ind w:firstLine="960"/>
        <w:rPr>
          <w:rFonts w:hint="default"/>
        </w:rPr>
      </w:pPr>
      <w:r>
        <w:rPr>
          <w:lang w:val="en-US"/>
        </w:rPr>
        <w:t xml:space="preserve">5.1.4.5 </w:t>
      </w:r>
      <w:r>
        <w:t>PT保护监测装置</w:t>
      </w:r>
    </w:p>
    <w:p w14:paraId="709AAFA4">
      <w:pPr>
        <w:pStyle w:val="32"/>
        <w:ind w:firstLine="1440" w:firstLineChars="600"/>
        <w:rPr>
          <w:rFonts w:hint="default"/>
        </w:rPr>
      </w:pPr>
      <w:r>
        <w:t>保护功能：过电压保护、低电压保护、接地保护、TV并列、TV断线检测及故障录波，以太网口等。</w:t>
      </w:r>
    </w:p>
    <w:p w14:paraId="0D7E699E">
      <w:pPr>
        <w:pStyle w:val="32"/>
        <w:ind w:firstLine="960"/>
        <w:rPr>
          <w:rFonts w:hint="default"/>
        </w:rPr>
      </w:pPr>
      <w:r>
        <w:rPr>
          <w:lang w:val="en-US"/>
        </w:rPr>
        <w:t xml:space="preserve">5.1.4.6 </w:t>
      </w:r>
      <w:r>
        <w:t>线路光差保护装置</w:t>
      </w:r>
    </w:p>
    <w:p w14:paraId="0313BA8A">
      <w:pPr>
        <w:pStyle w:val="32"/>
        <w:ind w:firstLine="1440" w:firstLineChars="600"/>
        <w:rPr>
          <w:rFonts w:hint="default"/>
        </w:rPr>
      </w:pPr>
      <w:r>
        <w:t>纵联光纤差动、三段式低压闭锁方向过流保护、反时限过流保护、过流加速保护、三段式零序方向过流保护、零流加速保护、三相一次重合闸、过负荷保护、控制回路异常告警、弹簧未储能告警、TV 异常检测、TA 异常检测、差流长期存在告警遥信采集、装置遥信变位、事故遥信、路遥信开入、双以太网口、故障录波等。</w:t>
      </w:r>
    </w:p>
    <w:p w14:paraId="5A95389F">
      <w:pPr>
        <w:pStyle w:val="32"/>
        <w:ind w:firstLine="960"/>
        <w:rPr>
          <w:rFonts w:hint="default"/>
        </w:rPr>
      </w:pPr>
      <w:r>
        <w:rPr>
          <w:lang w:val="en-US"/>
        </w:rPr>
        <w:t>5.1.4.7</w:t>
      </w:r>
      <w:r>
        <w:t xml:space="preserve"> 测控装置</w:t>
      </w:r>
    </w:p>
    <w:p w14:paraId="166A72CF">
      <w:pPr>
        <w:pStyle w:val="32"/>
        <w:ind w:firstLine="1440" w:firstLineChars="600"/>
        <w:rPr>
          <w:rFonts w:hint="default"/>
          <w:lang w:val="en-US"/>
        </w:rPr>
      </w:pPr>
      <w:r>
        <w:t>1）采集模拟量</w:t>
      </w:r>
      <w:r>
        <w:rPr>
          <w:lang w:val="en-US"/>
        </w:rPr>
        <w:t>；</w:t>
      </w:r>
    </w:p>
    <w:p w14:paraId="14C547B2">
      <w:pPr>
        <w:pStyle w:val="32"/>
        <w:ind w:firstLine="1440" w:firstLineChars="600"/>
        <w:rPr>
          <w:rFonts w:hint="default"/>
          <w:lang w:val="en-US"/>
        </w:rPr>
      </w:pPr>
      <w:r>
        <w:t>2）采集开关量</w:t>
      </w:r>
      <w:r>
        <w:rPr>
          <w:lang w:val="en-US"/>
        </w:rPr>
        <w:t>；</w:t>
      </w:r>
    </w:p>
    <w:p w14:paraId="6DE9489E">
      <w:pPr>
        <w:pStyle w:val="32"/>
        <w:ind w:firstLine="1440" w:firstLineChars="600"/>
        <w:rPr>
          <w:rFonts w:hint="default"/>
          <w:lang w:val="en-US"/>
        </w:rPr>
      </w:pPr>
      <w:r>
        <w:t>3）采集脉冲量</w:t>
      </w:r>
      <w:r>
        <w:rPr>
          <w:lang w:val="en-US"/>
        </w:rPr>
        <w:t>；</w:t>
      </w:r>
    </w:p>
    <w:p w14:paraId="2D36A16E">
      <w:pPr>
        <w:pStyle w:val="32"/>
        <w:ind w:firstLine="1440" w:firstLineChars="600"/>
        <w:rPr>
          <w:rFonts w:hint="default"/>
          <w:lang w:val="en-US"/>
        </w:rPr>
      </w:pPr>
      <w:r>
        <w:t>4）控制开出</w:t>
      </w:r>
      <w:r>
        <w:rPr>
          <w:lang w:val="en-US"/>
        </w:rPr>
        <w:t>；</w:t>
      </w:r>
    </w:p>
    <w:p w14:paraId="7C0B6722">
      <w:pPr>
        <w:pStyle w:val="32"/>
        <w:ind w:firstLine="1440" w:firstLineChars="600"/>
        <w:rPr>
          <w:rFonts w:hint="default"/>
          <w:lang w:val="en-US"/>
        </w:rPr>
      </w:pPr>
      <w:r>
        <w:t>5）谐波分析功能</w:t>
      </w:r>
      <w:r>
        <w:rPr>
          <w:lang w:val="en-US"/>
        </w:rPr>
        <w:t>；</w:t>
      </w:r>
    </w:p>
    <w:p w14:paraId="28A0CD36">
      <w:pPr>
        <w:pStyle w:val="32"/>
        <w:ind w:firstLine="1440" w:firstLineChars="600"/>
        <w:rPr>
          <w:rFonts w:hint="default"/>
        </w:rPr>
      </w:pPr>
      <w:r>
        <w:t>6）模拟量输出。</w:t>
      </w:r>
    </w:p>
    <w:p w14:paraId="3218F038">
      <w:pPr>
        <w:pStyle w:val="32"/>
        <w:ind w:firstLine="960"/>
        <w:rPr>
          <w:rFonts w:hint="default"/>
        </w:rPr>
      </w:pPr>
      <w:r>
        <w:rPr>
          <w:lang w:val="en-US"/>
        </w:rPr>
        <w:t xml:space="preserve">5.1.4.8 </w:t>
      </w:r>
      <w:r>
        <w:t>电能计量</w:t>
      </w:r>
    </w:p>
    <w:p w14:paraId="669CE0D2">
      <w:pPr>
        <w:pStyle w:val="32"/>
        <w:ind w:firstLine="1440" w:firstLineChars="600"/>
        <w:rPr>
          <w:rFonts w:hint="default"/>
          <w:lang w:val="en-US"/>
        </w:rPr>
      </w:pPr>
      <w:r>
        <w:t>1）电能表应具有数据输出及电能脉冲输出功能，通讯功能（485、modbus等），电能表精度：有功0.2/0.5s级，无功0.5s级。应能满足标准试验台校验的要求</w:t>
      </w:r>
      <w:r>
        <w:rPr>
          <w:lang w:val="en-US"/>
        </w:rPr>
        <w:t>；</w:t>
      </w:r>
    </w:p>
    <w:p w14:paraId="5E821E25">
      <w:pPr>
        <w:pStyle w:val="32"/>
        <w:ind w:firstLine="1440" w:firstLineChars="600"/>
        <w:rPr>
          <w:rFonts w:hint="default"/>
        </w:rPr>
      </w:pPr>
      <w:r>
        <w:rPr>
          <w:lang w:val="en-US"/>
        </w:rPr>
        <w:t>2</w:t>
      </w:r>
      <w:r>
        <w:t>）数据输出的通讯规约应满足DL/T 645《多功能电能表通信协议》的规定</w:t>
      </w:r>
      <w:r>
        <w:rPr>
          <w:lang w:val="en-US"/>
        </w:rPr>
        <w:t>；</w:t>
      </w:r>
    </w:p>
    <w:p w14:paraId="5E9083EC">
      <w:pPr>
        <w:pStyle w:val="32"/>
        <w:ind w:firstLine="1440" w:firstLineChars="600"/>
        <w:rPr>
          <w:rFonts w:hint="default"/>
        </w:rPr>
      </w:pPr>
      <w:r>
        <w:rPr>
          <w:lang w:val="en-US"/>
        </w:rPr>
        <w:t>3</w:t>
      </w:r>
      <w:r>
        <w:t>）生成报表、分析报表</w:t>
      </w:r>
      <w:r>
        <w:rPr>
          <w:lang w:val="en-US"/>
        </w:rPr>
        <w:t>；</w:t>
      </w:r>
    </w:p>
    <w:p w14:paraId="7E4F65B7">
      <w:pPr>
        <w:pStyle w:val="32"/>
        <w:ind w:firstLine="1440" w:firstLineChars="600"/>
        <w:rPr>
          <w:rFonts w:hint="default"/>
        </w:rPr>
      </w:pPr>
      <w:r>
        <w:rPr>
          <w:lang w:val="en-US"/>
        </w:rPr>
        <w:t>4</w:t>
      </w:r>
      <w:r>
        <w:t>）电能接至电力监控系统并将数据送至公司能源管理采集系统。</w:t>
      </w:r>
    </w:p>
    <w:p w14:paraId="7109B6D9">
      <w:pPr>
        <w:pStyle w:val="32"/>
        <w:ind w:firstLine="960"/>
        <w:rPr>
          <w:rFonts w:hint="default"/>
          <w:lang w:val="en-US"/>
        </w:rPr>
      </w:pPr>
      <w:r>
        <w:rPr>
          <w:lang w:val="en-US"/>
        </w:rPr>
        <w:t>5.1.4.9</w:t>
      </w:r>
      <w:r>
        <w:t xml:space="preserve"> 故障录波装置功能配置</w:t>
      </w:r>
      <w:r>
        <w:rPr>
          <w:lang w:val="en-US"/>
        </w:rPr>
        <w:t>；</w:t>
      </w:r>
    </w:p>
    <w:p w14:paraId="59F5D1CC">
      <w:pPr>
        <w:pStyle w:val="23"/>
        <w:ind w:firstLine="720"/>
        <w:rPr>
          <w:rFonts w:hint="default"/>
        </w:rPr>
      </w:pPr>
      <w:r>
        <w:rPr>
          <w:lang w:val="en-US"/>
        </w:rPr>
        <w:t>5.</w:t>
      </w:r>
      <w:r>
        <w:t>1.</w:t>
      </w:r>
      <w:r>
        <w:rPr>
          <w:lang w:val="en-US"/>
        </w:rPr>
        <w:t>5</w:t>
      </w:r>
      <w:r>
        <w:t xml:space="preserve"> 遥信、遥测、遥控信息量配置如下（不仅限以下）</w:t>
      </w:r>
    </w:p>
    <w:p w14:paraId="1D0E7972">
      <w:pPr>
        <w:pStyle w:val="32"/>
        <w:ind w:firstLine="960"/>
        <w:rPr>
          <w:rFonts w:hint="default"/>
        </w:rPr>
      </w:pPr>
      <w:r>
        <w:rPr>
          <w:lang w:val="en-US"/>
        </w:rPr>
        <w:t xml:space="preserve">5.1.5.1 </w:t>
      </w:r>
      <w:r>
        <w:t>遥测量：Ia、Ib、Ic、In、Io、Ua、Ub、Uc、Un、UL、F、P、Q。</w:t>
      </w:r>
    </w:p>
    <w:p w14:paraId="17FE87FE">
      <w:pPr>
        <w:pStyle w:val="32"/>
        <w:ind w:firstLine="960"/>
        <w:rPr>
          <w:rFonts w:hint="default"/>
        </w:rPr>
      </w:pPr>
      <w:r>
        <w:rPr>
          <w:lang w:val="en-US"/>
        </w:rPr>
        <w:t xml:space="preserve">5.1.5.2 </w:t>
      </w:r>
      <w:r>
        <w:t xml:space="preserve">遥信量：就地，远方，手合（遥合），手分（遥分），开关合位，开关分位，弹簧未储能，接地刀闸，隔离刀闸分合，同期合闸，手车运行位置，手车试验位，联络线闭锁、保护动作信号、轻重瓦斯、释压装置动作、通风故障。 </w:t>
      </w:r>
    </w:p>
    <w:p w14:paraId="22A62EB7">
      <w:pPr>
        <w:pStyle w:val="32"/>
        <w:ind w:firstLine="960"/>
        <w:rPr>
          <w:rFonts w:hint="default"/>
        </w:rPr>
      </w:pPr>
      <w:r>
        <w:rPr>
          <w:lang w:val="en-US"/>
        </w:rPr>
        <w:t xml:space="preserve">5.1.5.2 </w:t>
      </w:r>
      <w:r>
        <w:t>遥控量：遥跳、遥合</w:t>
      </w:r>
    </w:p>
    <w:p w14:paraId="2A53300C">
      <w:pPr>
        <w:pStyle w:val="32"/>
        <w:ind w:firstLine="960"/>
        <w:rPr>
          <w:rFonts w:hint="default"/>
        </w:rPr>
      </w:pPr>
      <w:r>
        <w:rPr>
          <w:lang w:val="en-US"/>
        </w:rPr>
        <w:t xml:space="preserve">5.1.5.3 </w:t>
      </w:r>
      <w:r>
        <w:t>公共部分单元</w:t>
      </w:r>
    </w:p>
    <w:p w14:paraId="56A5E6C6">
      <w:pPr>
        <w:pStyle w:val="32"/>
        <w:ind w:firstLine="1440" w:firstLineChars="600"/>
        <w:rPr>
          <w:rFonts w:hint="default"/>
        </w:rPr>
      </w:pPr>
      <w:r>
        <w:t>全站事故总信号；</w:t>
      </w:r>
    </w:p>
    <w:p w14:paraId="3BF44815">
      <w:pPr>
        <w:pStyle w:val="32"/>
        <w:ind w:firstLine="1440" w:firstLineChars="600"/>
        <w:rPr>
          <w:rFonts w:hint="default"/>
        </w:rPr>
      </w:pPr>
      <w:r>
        <w:t>全站预告总信号；</w:t>
      </w:r>
    </w:p>
    <w:p w14:paraId="36308DA0">
      <w:pPr>
        <w:pStyle w:val="32"/>
        <w:ind w:firstLine="1440" w:firstLineChars="600"/>
        <w:rPr>
          <w:rFonts w:hint="default"/>
        </w:rPr>
      </w:pPr>
      <w:r>
        <w:t>自投信号；母线电压过高、过低信号；所用开关位置信号；直流接地信号；浮充、均充、整流信号；直流断线信号；直流绝缘降低信号；合闸母线/控制母线电压过高、过低信号；蓄电池总保险熔断信号；</w:t>
      </w:r>
    </w:p>
    <w:p w14:paraId="29AD2622">
      <w:pPr>
        <w:pStyle w:val="32"/>
        <w:ind w:firstLine="1440" w:firstLineChars="600"/>
        <w:rPr>
          <w:rFonts w:hint="default"/>
        </w:rPr>
      </w:pPr>
      <w:r>
        <w:t>6kV系统接地信号；</w:t>
      </w:r>
    </w:p>
    <w:p w14:paraId="53B3197B">
      <w:pPr>
        <w:pStyle w:val="32"/>
        <w:ind w:firstLine="1440" w:firstLineChars="600"/>
        <w:rPr>
          <w:rFonts w:hint="default"/>
        </w:rPr>
      </w:pPr>
      <w:r>
        <w:t>PT二次回路断线信号。</w:t>
      </w:r>
    </w:p>
    <w:p w14:paraId="3673BD5B">
      <w:pPr>
        <w:pStyle w:val="32"/>
        <w:ind w:firstLine="960"/>
        <w:rPr>
          <w:rFonts w:hint="default"/>
        </w:rPr>
      </w:pPr>
      <w:r>
        <w:rPr>
          <w:lang w:val="en-US"/>
        </w:rPr>
        <w:t xml:space="preserve">5.1.5.4 </w:t>
      </w:r>
      <w:r>
        <w:t>保护装置至少多出3组干接点（每组1个常开、1个常闭）满足智能化需求。</w:t>
      </w:r>
    </w:p>
    <w:p w14:paraId="71DDF72B">
      <w:pPr>
        <w:pStyle w:val="23"/>
        <w:ind w:firstLine="720"/>
        <w:rPr>
          <w:rFonts w:hint="default"/>
        </w:rPr>
      </w:pPr>
      <w:r>
        <w:rPr>
          <w:lang w:val="en-US"/>
        </w:rPr>
        <w:t>5.</w:t>
      </w:r>
      <w:r>
        <w:t>1.</w:t>
      </w:r>
      <w:r>
        <w:rPr>
          <w:lang w:val="en-US"/>
        </w:rPr>
        <w:t>6</w:t>
      </w:r>
      <w:r>
        <w:t xml:space="preserve"> 通讯管理单元</w:t>
      </w:r>
    </w:p>
    <w:p w14:paraId="3664531E">
      <w:pPr>
        <w:pStyle w:val="32"/>
        <w:ind w:firstLine="960"/>
        <w:rPr>
          <w:rFonts w:hint="default"/>
        </w:rPr>
      </w:pPr>
      <w:r>
        <w:rPr>
          <w:lang w:val="en-US"/>
        </w:rPr>
        <w:t xml:space="preserve">5.1.6.1 </w:t>
      </w:r>
      <w:r>
        <w:t>6kV高压配电室通讯装置要求</w:t>
      </w:r>
    </w:p>
    <w:p w14:paraId="0BA60EF7">
      <w:pPr>
        <w:pStyle w:val="32"/>
        <w:ind w:firstLine="1440" w:firstLineChars="600"/>
        <w:rPr>
          <w:rFonts w:hint="default"/>
          <w:color w:val="000000" w:themeColor="text1"/>
          <w14:textFill>
            <w14:solidFill>
              <w14:schemeClr w14:val="tx1"/>
            </w14:solidFill>
          </w14:textFill>
        </w:rPr>
      </w:pPr>
      <w:r>
        <w:rPr>
          <w:color w:val="000000" w:themeColor="text1"/>
          <w14:textFill>
            <w14:solidFill>
              <w14:schemeClr w14:val="tx1"/>
            </w14:solidFill>
          </w14:textFill>
        </w:rPr>
        <w:t>通讯装置采用完全冗余双机系统（两台通讯管理机），即数据实时同步，故障情况下双机快速无缝切换。通讯装置主要功能：采集各种微机保护及自动装置信息、采集各种测控装置及智能电表信息、采集智能辅助设备信息、定值管理、接受和执行主站命令、故障波形的转换、转发、存储和检索、历史事件记录和查询、远方命令记录和查询、实现与变电站主计算机系统通信、实现与管理远动通信、与集控中心通信、支持多种通信规约、支持大容量存储、支持网路存储、通过GPS可实现自动对时和统一系统时间、各设备、装置通信状态检查和监视、转发信息编辑、合成、通过网络联机维护和监测、支持多套双机切换方案、自诊断功能。</w:t>
      </w:r>
    </w:p>
    <w:p w14:paraId="42A31307">
      <w:pPr>
        <w:pStyle w:val="32"/>
        <w:ind w:firstLine="960"/>
        <w:rPr>
          <w:rFonts w:hint="default"/>
          <w:color w:val="000000" w:themeColor="text1"/>
          <w14:textFill>
            <w14:solidFill>
              <w14:schemeClr w14:val="tx1"/>
            </w14:solidFill>
          </w14:textFill>
        </w:rPr>
      </w:pPr>
      <w:r>
        <w:rPr>
          <w:color w:val="000000" w:themeColor="text1"/>
          <w:lang w:val="en-US"/>
          <w14:textFill>
            <w14:solidFill>
              <w14:schemeClr w14:val="tx1"/>
            </w14:solidFill>
          </w14:textFill>
        </w:rPr>
        <w:t xml:space="preserve">5.1.6.2 </w:t>
      </w:r>
      <w:r>
        <w:rPr>
          <w:color w:val="000000" w:themeColor="text1"/>
          <w14:textFill>
            <w14:solidFill>
              <w14:schemeClr w14:val="tx1"/>
            </w14:solidFill>
          </w14:textFill>
        </w:rPr>
        <w:t>0.4</w:t>
      </w:r>
      <w:r>
        <w:rPr>
          <w:color w:val="000000" w:themeColor="text1"/>
          <w:lang w:val="en-US"/>
          <w14:textFill>
            <w14:solidFill>
              <w14:schemeClr w14:val="tx1"/>
            </w14:solidFill>
          </w14:textFill>
        </w:rPr>
        <w:t>/0.69</w:t>
      </w:r>
      <w:r>
        <w:rPr>
          <w:color w:val="000000" w:themeColor="text1"/>
          <w14:textFill>
            <w14:solidFill>
              <w14:schemeClr w14:val="tx1"/>
            </w14:solidFill>
          </w14:textFill>
        </w:rPr>
        <w:t>kV低压配电室通讯装置要求</w:t>
      </w:r>
    </w:p>
    <w:p w14:paraId="63D1AFA5">
      <w:pPr>
        <w:pStyle w:val="32"/>
        <w:ind w:firstLine="1440" w:firstLineChars="600"/>
        <w:rPr>
          <w:rFonts w:hint="default"/>
          <w:color w:val="000000" w:themeColor="text1"/>
          <w14:textFill>
            <w14:solidFill>
              <w14:schemeClr w14:val="tx1"/>
            </w14:solidFill>
          </w14:textFill>
        </w:rPr>
      </w:pPr>
      <w:r>
        <w:rPr>
          <w:color w:val="000000" w:themeColor="text1"/>
          <w:lang w:val="en-US"/>
          <w14:textFill>
            <w14:solidFill>
              <w14:schemeClr w14:val="tx1"/>
            </w14:solidFill>
          </w14:textFill>
        </w:rPr>
        <w:t>通过通讯装置实现对</w:t>
      </w:r>
      <w:r>
        <w:rPr>
          <w:color w:val="000000" w:themeColor="text1"/>
          <w14:textFill>
            <w14:solidFill>
              <w14:schemeClr w14:val="tx1"/>
            </w14:solidFill>
          </w14:textFill>
        </w:rPr>
        <w:t>数据</w:t>
      </w:r>
      <w:r>
        <w:rPr>
          <w:color w:val="000000" w:themeColor="text1"/>
          <w:lang w:val="en-US"/>
          <w14:textFill>
            <w14:solidFill>
              <w14:schemeClr w14:val="tx1"/>
            </w14:solidFill>
          </w14:textFill>
        </w:rPr>
        <w:t>收集、</w:t>
      </w:r>
      <w:r>
        <w:rPr>
          <w:color w:val="000000" w:themeColor="text1"/>
          <w14:textFill>
            <w14:solidFill>
              <w14:schemeClr w14:val="tx1"/>
            </w14:solidFill>
          </w14:textFill>
        </w:rPr>
        <w:t>传输至电气智能化管理系统。</w:t>
      </w:r>
    </w:p>
    <w:p w14:paraId="71952F9D">
      <w:pPr>
        <w:pStyle w:val="23"/>
        <w:ind w:firstLine="720"/>
        <w:rPr>
          <w:rFonts w:hint="default"/>
        </w:rPr>
      </w:pPr>
      <w:r>
        <w:rPr>
          <w:lang w:val="en-US"/>
        </w:rPr>
        <w:t>5.</w:t>
      </w:r>
      <w:r>
        <w:t>1.7 硬件设备</w:t>
      </w:r>
    </w:p>
    <w:p w14:paraId="568B3AD6">
      <w:pPr>
        <w:pStyle w:val="32"/>
        <w:ind w:firstLine="960"/>
        <w:rPr>
          <w:rFonts w:hint="default"/>
        </w:rPr>
      </w:pPr>
      <w:r>
        <w:t>计算机监控系统应采用可靠的、符合工业标准的硬件设备。</w:t>
      </w:r>
    </w:p>
    <w:p w14:paraId="1C110BBD">
      <w:pPr>
        <w:pStyle w:val="32"/>
        <w:ind w:firstLine="960"/>
        <w:rPr>
          <w:rFonts w:hint="default"/>
        </w:rPr>
      </w:pPr>
      <w:r>
        <w:rPr>
          <w:lang w:val="en-US"/>
        </w:rPr>
        <w:t xml:space="preserve">5.1.7.1 </w:t>
      </w:r>
      <w:r>
        <w:t>品牌：现有主流配置</w:t>
      </w:r>
    </w:p>
    <w:p w14:paraId="0C1509BD">
      <w:pPr>
        <w:pStyle w:val="32"/>
        <w:ind w:firstLine="1440" w:firstLineChars="600"/>
        <w:rPr>
          <w:rFonts w:hint="default"/>
        </w:rPr>
      </w:pPr>
      <w:r>
        <w:t>显示屏：双屏24"含报警声响一体LCD显示器（16:9，黑色，分辨率：1920×1080）。</w:t>
      </w:r>
    </w:p>
    <w:p w14:paraId="0332CD1D">
      <w:pPr>
        <w:pStyle w:val="32"/>
        <w:ind w:firstLine="960"/>
        <w:rPr>
          <w:rFonts w:hint="default"/>
        </w:rPr>
      </w:pPr>
      <w:r>
        <w:rPr>
          <w:lang w:val="en-US"/>
        </w:rPr>
        <w:t xml:space="preserve">5.1.7.2 </w:t>
      </w:r>
      <w:r>
        <w:t>打印机：1台HP 网络彩色趋势曲线喷墨（A3）打印机，1台激光（A3）打印机。</w:t>
      </w:r>
    </w:p>
    <w:p w14:paraId="4556E78B">
      <w:pPr>
        <w:pStyle w:val="32"/>
        <w:ind w:firstLine="960"/>
        <w:rPr>
          <w:rFonts w:hint="default"/>
          <w:color w:val="000000" w:themeColor="text1"/>
          <w14:textFill>
            <w14:solidFill>
              <w14:schemeClr w14:val="tx1"/>
            </w14:solidFill>
          </w14:textFill>
        </w:rPr>
      </w:pPr>
      <w:r>
        <w:rPr>
          <w:color w:val="000000" w:themeColor="text1"/>
          <w:lang w:val="en-US"/>
          <w14:textFill>
            <w14:solidFill>
              <w14:schemeClr w14:val="tx1"/>
            </w14:solidFill>
          </w14:textFill>
        </w:rPr>
        <w:t xml:space="preserve">5.1.7.3 </w:t>
      </w:r>
      <w:r>
        <w:rPr>
          <w:color w:val="000000" w:themeColor="text1"/>
          <w14:textFill>
            <w14:solidFill>
              <w14:schemeClr w14:val="tx1"/>
            </w14:solidFill>
          </w14:textFill>
        </w:rPr>
        <w:t>UPS不间断电源容量不小于3kVA。停电后持续供电时间不小于2小时。</w:t>
      </w:r>
    </w:p>
    <w:p w14:paraId="5F4DBB71">
      <w:pPr>
        <w:pStyle w:val="32"/>
        <w:ind w:firstLine="960"/>
        <w:rPr>
          <w:rFonts w:hint="default"/>
        </w:rPr>
      </w:pPr>
      <w:r>
        <w:rPr>
          <w:lang w:val="en-US"/>
        </w:rPr>
        <w:t xml:space="preserve">5.1.7.4 </w:t>
      </w:r>
      <w:r>
        <w:t>配置1套诊断调试维修工具以及与综合保护器连接的专用接口电缆及附件，用于综合保护器的诊断、维修、调试。</w:t>
      </w:r>
    </w:p>
    <w:p w14:paraId="2AB2C196">
      <w:pPr>
        <w:pStyle w:val="32"/>
        <w:ind w:firstLine="960"/>
        <w:rPr>
          <w:rFonts w:hint="default"/>
        </w:rPr>
      </w:pPr>
      <w:r>
        <w:rPr>
          <w:lang w:val="en-US"/>
        </w:rPr>
        <w:t xml:space="preserve">5.1.7.5 </w:t>
      </w:r>
      <w:r>
        <w:t>提供综合保护器编程、调试、维修诊断软件1套及监控系统编程、调试后备份光盘各1套。</w:t>
      </w:r>
    </w:p>
    <w:p w14:paraId="4D5AF888">
      <w:pPr>
        <w:pStyle w:val="32"/>
        <w:ind w:firstLine="960"/>
        <w:rPr>
          <w:rFonts w:hint="default"/>
        </w:rPr>
      </w:pPr>
      <w:r>
        <w:rPr>
          <w:lang w:val="en-US"/>
        </w:rPr>
        <w:t xml:space="preserve">5.1.7.6 </w:t>
      </w:r>
      <w:r>
        <w:t>声响报警装置</w:t>
      </w:r>
    </w:p>
    <w:p w14:paraId="2F92852C">
      <w:pPr>
        <w:pStyle w:val="32"/>
        <w:ind w:firstLine="1440" w:firstLineChars="600"/>
        <w:rPr>
          <w:rFonts w:hint="default"/>
        </w:rPr>
      </w:pPr>
      <w:r>
        <w:t>电力监测系统应各不少于提供不少于二套声响报警装置（站控层和间隔层各一套）。系统根据事故信号和预告信号驱动声响报警装置发出不同的声响。</w:t>
      </w:r>
    </w:p>
    <w:p w14:paraId="4C782284">
      <w:pPr>
        <w:pStyle w:val="23"/>
        <w:ind w:firstLine="720"/>
        <w:rPr>
          <w:rFonts w:hint="default"/>
        </w:rPr>
      </w:pPr>
      <w:r>
        <w:rPr>
          <w:lang w:val="en-US"/>
        </w:rPr>
        <w:t>5.</w:t>
      </w:r>
      <w:r>
        <w:t>1.8</w:t>
      </w:r>
      <w:r>
        <w:rPr>
          <w:lang w:val="en-US"/>
        </w:rPr>
        <w:t xml:space="preserve"> </w:t>
      </w:r>
      <w:r>
        <w:t>监控系统性能指标</w:t>
      </w:r>
    </w:p>
    <w:p w14:paraId="7B6BBFF8">
      <w:pPr>
        <w:pStyle w:val="32"/>
        <w:ind w:firstLine="960"/>
        <w:rPr>
          <w:rFonts w:hint="default"/>
          <w:lang w:val="en-US"/>
        </w:rPr>
      </w:pPr>
      <w:r>
        <w:rPr>
          <w:lang w:val="en-US"/>
        </w:rPr>
        <w:t xml:space="preserve">5.1.8.1 </w:t>
      </w:r>
      <w:r>
        <w:t>模拟量测量综合误差：有功、无功≤0.5%，电流、电压≤0.2%。</w:t>
      </w:r>
    </w:p>
    <w:p w14:paraId="321B048B">
      <w:pPr>
        <w:pStyle w:val="32"/>
        <w:ind w:firstLine="960"/>
        <w:rPr>
          <w:rFonts w:hint="default"/>
        </w:rPr>
      </w:pPr>
      <w:r>
        <w:rPr>
          <w:lang w:val="en-US"/>
        </w:rPr>
        <w:t>5.1.8.</w:t>
      </w:r>
      <w:r>
        <w:t>2</w:t>
      </w:r>
      <w:r>
        <w:rPr>
          <w:lang w:val="en-US"/>
        </w:rPr>
        <w:t xml:space="preserve"> </w:t>
      </w:r>
      <w:r>
        <w:t>电网频率测量误差</w:t>
      </w:r>
      <w:r>
        <w:rPr>
          <w:lang w:val="en-US"/>
        </w:rPr>
        <w:t>：</w:t>
      </w:r>
      <w:r>
        <w:t>≤0.01Hz。</w:t>
      </w:r>
    </w:p>
    <w:p w14:paraId="1100BB34">
      <w:pPr>
        <w:pStyle w:val="32"/>
        <w:ind w:firstLine="960"/>
        <w:rPr>
          <w:rFonts w:hint="default"/>
        </w:rPr>
      </w:pPr>
      <w:r>
        <w:rPr>
          <w:lang w:val="en-US"/>
        </w:rPr>
        <w:t>5.1.8.</w:t>
      </w:r>
      <w:r>
        <w:t>3</w:t>
      </w:r>
      <w:r>
        <w:rPr>
          <w:lang w:val="en-US"/>
        </w:rPr>
        <w:t xml:space="preserve"> </w:t>
      </w:r>
      <w:r>
        <w:t>事件顺序记录分辨率（SOE）</w:t>
      </w:r>
      <w:r>
        <w:tab/>
      </w:r>
      <w:r>
        <w:t>站控层≤2ms 间隔层≤1ms。</w:t>
      </w:r>
    </w:p>
    <w:p w14:paraId="7903DC39">
      <w:pPr>
        <w:pStyle w:val="32"/>
        <w:ind w:firstLine="960"/>
        <w:rPr>
          <w:rFonts w:hint="default"/>
        </w:rPr>
      </w:pPr>
      <w:r>
        <w:rPr>
          <w:lang w:val="en-US"/>
        </w:rPr>
        <w:t>5.1.8.</w:t>
      </w:r>
      <w:r>
        <w:t>4</w:t>
      </w:r>
      <w:r>
        <w:rPr>
          <w:lang w:val="en-US"/>
        </w:rPr>
        <w:t xml:space="preserve"> </w:t>
      </w:r>
      <w:r>
        <w:t xml:space="preserve">遥测信息响应时间：   </w:t>
      </w:r>
      <w:r>
        <w:rPr>
          <w:lang w:val="en-US"/>
        </w:rPr>
        <w:t xml:space="preserve">                           </w:t>
      </w:r>
      <w:r>
        <w:t>≤2s</w:t>
      </w:r>
    </w:p>
    <w:p w14:paraId="0740B621">
      <w:pPr>
        <w:pStyle w:val="32"/>
        <w:ind w:firstLine="960"/>
        <w:rPr>
          <w:rFonts w:hint="default"/>
        </w:rPr>
      </w:pPr>
      <w:r>
        <w:rPr>
          <w:lang w:val="en-US"/>
        </w:rPr>
        <w:t>5.1.8.</w:t>
      </w:r>
      <w:r>
        <w:t>5</w:t>
      </w:r>
      <w:r>
        <w:rPr>
          <w:lang w:val="en-US"/>
        </w:rPr>
        <w:t xml:space="preserve"> </w:t>
      </w:r>
      <w:r>
        <w:t>遥信变化响应时间：</w:t>
      </w:r>
      <w:r>
        <w:rPr>
          <w:lang w:val="en-US"/>
        </w:rPr>
        <w:t xml:space="preserve">                              </w:t>
      </w:r>
      <w:r>
        <w:t>≤1s</w:t>
      </w:r>
    </w:p>
    <w:p w14:paraId="1A323E13">
      <w:pPr>
        <w:pStyle w:val="32"/>
        <w:ind w:firstLine="960"/>
        <w:rPr>
          <w:rFonts w:hint="default"/>
        </w:rPr>
      </w:pPr>
      <w:r>
        <w:rPr>
          <w:lang w:val="en-US"/>
        </w:rPr>
        <w:t>5.1.8.</w:t>
      </w:r>
      <w:r>
        <w:t>6</w:t>
      </w:r>
      <w:r>
        <w:rPr>
          <w:lang w:val="en-US"/>
        </w:rPr>
        <w:t xml:space="preserve"> </w:t>
      </w:r>
      <w:r>
        <w:t>控制命令从生成到输出的时间：</w:t>
      </w:r>
      <w:r>
        <w:rPr>
          <w:lang w:val="en-US"/>
        </w:rPr>
        <w:t xml:space="preserve">                    </w:t>
      </w:r>
      <w:r>
        <w:t>≤1s</w:t>
      </w:r>
    </w:p>
    <w:p w14:paraId="21A4BB09">
      <w:pPr>
        <w:pStyle w:val="32"/>
        <w:ind w:firstLine="960"/>
        <w:rPr>
          <w:rFonts w:hint="default"/>
        </w:rPr>
      </w:pPr>
      <w:r>
        <w:rPr>
          <w:lang w:val="en-US"/>
        </w:rPr>
        <w:t>5.1.8.</w:t>
      </w:r>
      <w:r>
        <w:t>7</w:t>
      </w:r>
      <w:r>
        <w:rPr>
          <w:lang w:val="en-US"/>
        </w:rPr>
        <w:t xml:space="preserve"> </w:t>
      </w:r>
      <w:r>
        <w:t>画面实时数据更新周期模拟量：</w:t>
      </w:r>
      <w:r>
        <w:rPr>
          <w:lang w:val="en-US"/>
        </w:rPr>
        <w:t xml:space="preserve">                    </w:t>
      </w:r>
      <w:r>
        <w:t>≤3s</w:t>
      </w:r>
    </w:p>
    <w:p w14:paraId="08681A70">
      <w:pPr>
        <w:pStyle w:val="32"/>
        <w:ind w:firstLine="960"/>
        <w:rPr>
          <w:rFonts w:hint="default"/>
        </w:rPr>
      </w:pPr>
      <w:r>
        <w:rPr>
          <w:lang w:val="en-US"/>
        </w:rPr>
        <w:t>5.1.8.</w:t>
      </w:r>
      <w:r>
        <w:t>8</w:t>
      </w:r>
      <w:r>
        <w:rPr>
          <w:lang w:val="en-US"/>
        </w:rPr>
        <w:t xml:space="preserve"> </w:t>
      </w:r>
      <w:r>
        <w:t>画面实时数据更新周期开关量：</w:t>
      </w:r>
      <w:r>
        <w:rPr>
          <w:lang w:val="en-US"/>
        </w:rPr>
        <w:t xml:space="preserve">                    </w:t>
      </w:r>
      <w:r>
        <w:t>≤2s</w:t>
      </w:r>
    </w:p>
    <w:p w14:paraId="2026D16E">
      <w:pPr>
        <w:pStyle w:val="32"/>
        <w:ind w:firstLine="960"/>
        <w:rPr>
          <w:rFonts w:hint="default"/>
        </w:rPr>
      </w:pPr>
      <w:r>
        <w:rPr>
          <w:lang w:val="en-US"/>
        </w:rPr>
        <w:t>5.1.8.</w:t>
      </w:r>
      <w:r>
        <w:t>9</w:t>
      </w:r>
      <w:r>
        <w:rPr>
          <w:lang w:val="en-US"/>
        </w:rPr>
        <w:t xml:space="preserve"> </w:t>
      </w:r>
      <w:r>
        <w:t>双机系统可用率：</w:t>
      </w:r>
      <w:r>
        <w:rPr>
          <w:lang w:val="en-US"/>
        </w:rPr>
        <w:t xml:space="preserve">                                </w:t>
      </w:r>
      <w:r>
        <w:t>≥99.99％</w:t>
      </w:r>
    </w:p>
    <w:p w14:paraId="4BA2219A">
      <w:pPr>
        <w:pStyle w:val="32"/>
        <w:ind w:firstLine="960"/>
        <w:rPr>
          <w:rFonts w:hint="default"/>
        </w:rPr>
      </w:pPr>
      <w:r>
        <w:rPr>
          <w:lang w:val="en-US"/>
        </w:rPr>
        <w:t>5.1.8.</w:t>
      </w:r>
      <w:r>
        <w:t>10</w:t>
      </w:r>
      <w:r>
        <w:rPr>
          <w:lang w:val="en-US"/>
        </w:rPr>
        <w:t xml:space="preserve"> </w:t>
      </w:r>
      <w:r>
        <w:t>控制操作正确率：</w:t>
      </w:r>
      <w:r>
        <w:rPr>
          <w:lang w:val="en-US"/>
        </w:rPr>
        <w:t xml:space="preserve">                               </w:t>
      </w:r>
      <w:r>
        <w:t>=100％</w:t>
      </w:r>
    </w:p>
    <w:p w14:paraId="5C3384F5">
      <w:pPr>
        <w:pStyle w:val="32"/>
        <w:ind w:firstLine="960"/>
        <w:rPr>
          <w:rFonts w:hint="default"/>
        </w:rPr>
      </w:pPr>
      <w:r>
        <w:rPr>
          <w:lang w:val="en-US"/>
        </w:rPr>
        <w:t>5.1.8.</w:t>
      </w:r>
      <w:r>
        <w:t>11</w:t>
      </w:r>
      <w:r>
        <w:rPr>
          <w:lang w:val="en-US"/>
        </w:rPr>
        <w:t xml:space="preserve"> </w:t>
      </w:r>
      <w:r>
        <w:t>遥控动作成功率：</w:t>
      </w:r>
      <w:r>
        <w:rPr>
          <w:lang w:val="en-US"/>
        </w:rPr>
        <w:t xml:space="preserve">                               </w:t>
      </w:r>
      <w:r>
        <w:t>=100％</w:t>
      </w:r>
    </w:p>
    <w:p w14:paraId="622920C1">
      <w:pPr>
        <w:pStyle w:val="32"/>
        <w:ind w:firstLine="960"/>
        <w:rPr>
          <w:rFonts w:hint="default"/>
        </w:rPr>
      </w:pPr>
      <w:r>
        <w:rPr>
          <w:lang w:val="en-US"/>
        </w:rPr>
        <w:t>5.1.8.</w:t>
      </w:r>
      <w:r>
        <w:t>12</w:t>
      </w:r>
      <w:r>
        <w:rPr>
          <w:lang w:val="en-US"/>
        </w:rPr>
        <w:t xml:space="preserve"> </w:t>
      </w:r>
      <w:r>
        <w:t>事故时遥信年正确动作率：</w:t>
      </w:r>
      <w:r>
        <w:rPr>
          <w:lang w:val="en-US"/>
        </w:rPr>
        <w:t xml:space="preserve">                       </w:t>
      </w:r>
      <w:r>
        <w:t>=100％</w:t>
      </w:r>
    </w:p>
    <w:p w14:paraId="33D11E9D">
      <w:pPr>
        <w:pStyle w:val="32"/>
        <w:ind w:firstLine="960"/>
        <w:rPr>
          <w:rFonts w:hint="default"/>
        </w:rPr>
      </w:pPr>
      <w:r>
        <w:rPr>
          <w:lang w:val="en-US"/>
        </w:rPr>
        <w:t>5.1.8.</w:t>
      </w:r>
      <w:r>
        <w:t>13</w:t>
      </w:r>
      <w:r>
        <w:rPr>
          <w:lang w:val="en-US"/>
        </w:rPr>
        <w:t xml:space="preserve"> </w:t>
      </w:r>
      <w:r>
        <w:t>系统平均无故障间隔时间（MTBF）：</w:t>
      </w:r>
      <w:r>
        <w:rPr>
          <w:lang w:val="en-US"/>
        </w:rPr>
        <w:t xml:space="preserve">                </w:t>
      </w:r>
      <w:r>
        <w:t>≥30000h</w:t>
      </w:r>
    </w:p>
    <w:p w14:paraId="65BF9973">
      <w:pPr>
        <w:pStyle w:val="32"/>
        <w:ind w:firstLine="960"/>
        <w:rPr>
          <w:rFonts w:hint="default"/>
        </w:rPr>
      </w:pPr>
      <w:r>
        <w:rPr>
          <w:lang w:val="en-US"/>
        </w:rPr>
        <w:t>5.1.8.</w:t>
      </w:r>
      <w:r>
        <w:t>14</w:t>
      </w:r>
      <w:r>
        <w:rPr>
          <w:lang w:val="en-US"/>
        </w:rPr>
        <w:t xml:space="preserve"> </w:t>
      </w:r>
      <w:r>
        <w:t>间隔级测控单元平均无故障间隔时间：</w:t>
      </w:r>
      <w:r>
        <w:rPr>
          <w:lang w:val="en-US"/>
        </w:rPr>
        <w:t xml:space="preserve">             </w:t>
      </w:r>
      <w:r>
        <w:t>≥40000h</w:t>
      </w:r>
    </w:p>
    <w:p w14:paraId="1FD9D086">
      <w:pPr>
        <w:pStyle w:val="41"/>
        <w:ind w:firstLine="1200"/>
        <w:rPr>
          <w:rFonts w:hint="default"/>
        </w:rPr>
      </w:pPr>
      <w:r>
        <w:t>（其中I/O单元模件MTBF：≥50000h）</w:t>
      </w:r>
    </w:p>
    <w:p w14:paraId="4B800D77">
      <w:pPr>
        <w:pStyle w:val="32"/>
        <w:ind w:firstLine="960"/>
        <w:rPr>
          <w:rFonts w:hint="default"/>
        </w:rPr>
      </w:pPr>
      <w:r>
        <w:rPr>
          <w:lang w:val="en-US"/>
        </w:rPr>
        <w:t>5.1.8.</w:t>
      </w:r>
      <w:r>
        <w:t>15</w:t>
      </w:r>
      <w:r>
        <w:rPr>
          <w:lang w:val="en-US"/>
        </w:rPr>
        <w:t xml:space="preserve"> </w:t>
      </w:r>
      <w:r>
        <w:t>各工作站的CPU平均负荷率</w:t>
      </w:r>
    </w:p>
    <w:p w14:paraId="02D8032D">
      <w:pPr>
        <w:pStyle w:val="41"/>
        <w:ind w:firstLine="1680" w:firstLineChars="700"/>
        <w:rPr>
          <w:rFonts w:hint="default"/>
          <w:lang w:val="en-US"/>
        </w:rPr>
      </w:pPr>
      <w:r>
        <w:t>正常时（任意30min内）：</w:t>
      </w:r>
      <w:r>
        <w:rPr>
          <w:lang w:val="en-US"/>
        </w:rPr>
        <w:t xml:space="preserve">                    </w:t>
      </w:r>
      <w:r>
        <w:t xml:space="preserve">      ≤30％</w:t>
      </w:r>
      <w:r>
        <w:rPr>
          <w:lang w:val="en-US"/>
        </w:rPr>
        <w:t>；</w:t>
      </w:r>
    </w:p>
    <w:p w14:paraId="18267E9E">
      <w:pPr>
        <w:pStyle w:val="41"/>
        <w:ind w:firstLine="1680" w:firstLineChars="700"/>
        <w:rPr>
          <w:rFonts w:hint="default"/>
          <w:lang w:val="en-US"/>
        </w:rPr>
      </w:pPr>
      <w:r>
        <w:t xml:space="preserve">电力系统故障（10s内）： </w:t>
      </w:r>
      <w:r>
        <w:rPr>
          <w:lang w:val="en-US"/>
        </w:rPr>
        <w:t xml:space="preserve">                  </w:t>
      </w:r>
      <w:r>
        <w:t xml:space="preserve">        ≤50％</w:t>
      </w:r>
      <w:r>
        <w:rPr>
          <w:lang w:val="en-US"/>
        </w:rPr>
        <w:t>；</w:t>
      </w:r>
    </w:p>
    <w:p w14:paraId="44D994E2">
      <w:pPr>
        <w:pStyle w:val="32"/>
        <w:ind w:firstLine="960"/>
        <w:rPr>
          <w:rFonts w:hint="default"/>
          <w:bCs/>
          <w:kern w:val="44"/>
        </w:rPr>
      </w:pPr>
      <w:r>
        <w:rPr>
          <w:lang w:val="en-US"/>
        </w:rPr>
        <w:t>5.1.8.</w:t>
      </w:r>
      <w:r>
        <w:t>16</w:t>
      </w:r>
      <w:r>
        <w:rPr>
          <w:lang w:val="en-US"/>
        </w:rPr>
        <w:t xml:space="preserve"> </w:t>
      </w:r>
      <w:r>
        <w:t>模数转换分辨率：</w:t>
      </w:r>
      <w:r>
        <w:rPr>
          <w:lang w:val="en-US"/>
        </w:rPr>
        <w:t xml:space="preserve">                  </w:t>
      </w:r>
      <w:r>
        <w:t xml:space="preserve"> ≥16位＋1位符号位。</w:t>
      </w:r>
    </w:p>
    <w:p w14:paraId="5A17B1F0">
      <w:pPr>
        <w:pStyle w:val="23"/>
        <w:ind w:firstLine="720"/>
        <w:rPr>
          <w:rFonts w:hint="default"/>
        </w:rPr>
      </w:pPr>
      <w:r>
        <w:rPr>
          <w:lang w:val="en-US"/>
        </w:rPr>
        <w:t>5.</w:t>
      </w:r>
      <w:r>
        <w:t>1.9</w:t>
      </w:r>
      <w:r>
        <w:rPr>
          <w:lang w:val="en-US"/>
        </w:rPr>
        <w:t xml:space="preserve"> </w:t>
      </w:r>
      <w:r>
        <w:t>电气智能化管理系统系统</w:t>
      </w:r>
    </w:p>
    <w:p w14:paraId="76606F8E">
      <w:pPr>
        <w:pStyle w:val="32"/>
        <w:ind w:firstLine="960"/>
        <w:rPr>
          <w:rFonts w:hint="default"/>
        </w:rPr>
      </w:pPr>
      <w:r>
        <w:rPr>
          <w:lang w:val="en-US"/>
        </w:rPr>
        <w:t>5.</w:t>
      </w:r>
      <w:r>
        <w:t>1.9.1 6kV开关柜智能化配置要求</w:t>
      </w:r>
    </w:p>
    <w:p w14:paraId="2024BD61">
      <w:pPr>
        <w:pStyle w:val="32"/>
        <w:ind w:firstLine="960"/>
        <w:rPr>
          <w:rFonts w:hint="default"/>
          <w:lang w:val="en-US"/>
        </w:rPr>
      </w:pPr>
      <w:r>
        <w:rPr>
          <w:lang w:val="en-US"/>
        </w:rPr>
        <w:t>5.</w:t>
      </w:r>
      <w:r>
        <w:t>1.9.2</w:t>
      </w:r>
      <w:r>
        <w:rPr>
          <w:lang w:val="en-US"/>
        </w:rPr>
        <w:t xml:space="preserve"> </w:t>
      </w:r>
      <w:r>
        <w:t>电气智能化管理系统系统要求</w:t>
      </w:r>
    </w:p>
    <w:p w14:paraId="0ED548C4">
      <w:pPr>
        <w:pStyle w:val="32"/>
        <w:ind w:firstLine="1440" w:firstLineChars="600"/>
        <w:rPr>
          <w:rFonts w:hint="default"/>
          <w:lang w:val="en-US"/>
        </w:rPr>
      </w:pPr>
      <w:r>
        <w:rPr>
          <w:lang w:val="en-US"/>
        </w:rPr>
        <w:t>本次</w:t>
      </w:r>
      <w:r>
        <w:rPr>
          <w:kern w:val="0"/>
        </w:rPr>
        <w:t>电气智能化管理系统应符合当前信息化、智能化技术，可对各类运行数据进行统计及分析，通过分析结果协助运维人员。系统应能采集微机监控系统数据，也可采集站内在线监测数据，并能进行多维度对比分析，提供分析结果，提升供电可靠性及管理效率。</w:t>
      </w:r>
    </w:p>
    <w:p w14:paraId="77D775A4">
      <w:pPr>
        <w:pStyle w:val="32"/>
        <w:ind w:firstLine="1440" w:firstLineChars="600"/>
        <w:rPr>
          <w:rFonts w:hint="default"/>
        </w:rPr>
      </w:pPr>
      <w:r>
        <w:t>电气智能化管理系统平台与电力监控系统进行数据互通。</w:t>
      </w:r>
      <w:r>
        <w:rPr>
          <w:kern w:val="0"/>
        </w:rPr>
        <w:t>与能源管控(MES)系统对接，实时数据上传到MES系统。</w:t>
      </w:r>
    </w:p>
    <w:p w14:paraId="72AA1E84">
      <w:pPr>
        <w:pStyle w:val="32"/>
        <w:ind w:firstLine="960"/>
        <w:rPr>
          <w:rFonts w:hint="default"/>
        </w:rPr>
      </w:pPr>
      <w:r>
        <w:t>5.1.</w:t>
      </w:r>
      <w:r>
        <w:rPr>
          <w:lang w:val="en-US"/>
        </w:rPr>
        <w:t xml:space="preserve">9.3 </w:t>
      </w:r>
      <w:r>
        <w:t>技术原则</w:t>
      </w:r>
    </w:p>
    <w:p w14:paraId="5C6F9ECA">
      <w:pPr>
        <w:pStyle w:val="32"/>
        <w:ind w:firstLine="1440" w:firstLineChars="600"/>
        <w:rPr>
          <w:rFonts w:hint="default"/>
          <w:lang w:val="en-US"/>
        </w:rPr>
      </w:pPr>
      <w:bookmarkStart w:id="171" w:name="_Toc25963"/>
      <w:bookmarkStart w:id="172" w:name="_Toc514838338"/>
      <w:r>
        <w:t>1)系统应具备断路器电寿命分析、断路器机械特性健康分析、温度及电流相关性系数对比、温升曲线预测、接触电阻计算、变压器寿命分析、电机频谱分析等算法</w:t>
      </w:r>
      <w:r>
        <w:rPr>
          <w:lang w:val="en-US"/>
        </w:rPr>
        <w:t>；</w:t>
      </w:r>
    </w:p>
    <w:bookmarkEnd w:id="171"/>
    <w:bookmarkEnd w:id="172"/>
    <w:p w14:paraId="77BBF682">
      <w:pPr>
        <w:pStyle w:val="32"/>
        <w:ind w:firstLine="1440" w:firstLineChars="600"/>
        <w:rPr>
          <w:rFonts w:hint="default"/>
          <w:lang w:val="en-US"/>
        </w:rPr>
      </w:pPr>
      <w:r>
        <w:t>2)系统应能采集微机监控系统及DCS系统数据，也可采集站内在线监测数据，并能进行多维度对比分析，提供分析结果</w:t>
      </w:r>
      <w:r>
        <w:rPr>
          <w:lang w:val="en-US"/>
        </w:rPr>
        <w:t>；</w:t>
      </w:r>
    </w:p>
    <w:p w14:paraId="251B1B10">
      <w:pPr>
        <w:pStyle w:val="32"/>
        <w:ind w:firstLine="1440" w:firstLineChars="600"/>
        <w:rPr>
          <w:rFonts w:hint="default"/>
        </w:rPr>
      </w:pPr>
      <w:r>
        <w:t>3）电气智能化管理系统作为全站智能化平台，需统一在一个平台上管理全站辅助系统、所包含系统如下：视频监控</w:t>
      </w:r>
      <w:r>
        <w:rPr>
          <w:lang w:val="en-US"/>
        </w:rPr>
        <w:t>等</w:t>
      </w:r>
      <w:r>
        <w:t>设备在线监测及健康状态分析、设备全生命周期管理、（轨道机器人巡检预留通讯接口）等。</w:t>
      </w:r>
    </w:p>
    <w:p w14:paraId="2D97C483">
      <w:pPr>
        <w:pStyle w:val="32"/>
        <w:ind w:firstLine="960"/>
        <w:rPr>
          <w:rFonts w:hint="default"/>
        </w:rPr>
      </w:pPr>
      <w:bookmarkStart w:id="173" w:name="_Toc62639920"/>
      <w:bookmarkStart w:id="174" w:name="_Toc514838340"/>
      <w:r>
        <w:t>5.1.</w:t>
      </w:r>
      <w:r>
        <w:rPr>
          <w:lang w:val="en-US"/>
        </w:rPr>
        <w:t xml:space="preserve">9.4 </w:t>
      </w:r>
      <w:r>
        <w:t>系统功能要求</w:t>
      </w:r>
      <w:bookmarkEnd w:id="173"/>
    </w:p>
    <w:p w14:paraId="1B52732F">
      <w:pPr>
        <w:pStyle w:val="32"/>
        <w:ind w:firstLine="960"/>
        <w:rPr>
          <w:rFonts w:hint="default"/>
        </w:rPr>
      </w:pPr>
      <w:r>
        <w:t>5.</w:t>
      </w:r>
      <w:r>
        <w:rPr>
          <w:lang w:val="en-US"/>
        </w:rPr>
        <w:t xml:space="preserve">1.9.5 </w:t>
      </w:r>
      <w:r>
        <w:t>设备健康管理功能</w:t>
      </w:r>
    </w:p>
    <w:p w14:paraId="680738CD">
      <w:pPr>
        <w:pStyle w:val="32"/>
        <w:ind w:firstLine="1440" w:firstLineChars="600"/>
        <w:rPr>
          <w:rFonts w:hint="default"/>
          <w:kern w:val="0"/>
        </w:rPr>
      </w:pPr>
      <w:r>
        <w:rPr>
          <w:kern w:val="0"/>
        </w:rPr>
        <w:t>为保障厂内电气设备的全系感知，需要对变电站内的电气设备（开关柜、变压器、低压柜、电机、S</w:t>
      </w:r>
      <w:r>
        <w:rPr>
          <w:rFonts w:hint="default"/>
          <w:kern w:val="0"/>
        </w:rPr>
        <w:t>VG</w:t>
      </w:r>
      <w:r>
        <w:rPr>
          <w:kern w:val="0"/>
        </w:rPr>
        <w:t>、A</w:t>
      </w:r>
      <w:r>
        <w:rPr>
          <w:rFonts w:hint="default"/>
          <w:kern w:val="0"/>
        </w:rPr>
        <w:t>PF</w:t>
      </w:r>
      <w:r>
        <w:rPr>
          <w:kern w:val="0"/>
        </w:rPr>
        <w:t>、直流屏</w:t>
      </w:r>
      <w:r>
        <w:rPr>
          <w:kern w:val="0"/>
          <w:lang w:val="en-US"/>
        </w:rPr>
        <w:t>等</w:t>
      </w:r>
      <w:r>
        <w:rPr>
          <w:kern w:val="0"/>
        </w:rPr>
        <w:t>）进行全生命周期的健康管理，能够通过多维度比对进行数学建模。拥有能进行温度和电流相关性计算、温升曲线预测、接触电阻计算的温度模型；拥有开关柜机械特性与电气特性相结合，数据绘制成曲线，对每次操作过程中位移和电流的相关性进行分析的机电模型；拥有可以通过每次断路器的分断电流，计算开关寿命折损的电寿命模型；拥有能够通过电流频谱分析电机主要故障、隐患的分析模型。</w:t>
      </w:r>
    </w:p>
    <w:p w14:paraId="34A242DB">
      <w:pPr>
        <w:pStyle w:val="32"/>
        <w:ind w:firstLine="960"/>
        <w:rPr>
          <w:rFonts w:hint="default"/>
        </w:rPr>
      </w:pPr>
      <w:r>
        <w:t>5.</w:t>
      </w:r>
      <w:r>
        <w:rPr>
          <w:lang w:val="en-US"/>
        </w:rPr>
        <w:t xml:space="preserve">1.9.6 </w:t>
      </w:r>
      <w:r>
        <w:t>日常运维功能</w:t>
      </w:r>
    </w:p>
    <w:p w14:paraId="5AAFBD8D">
      <w:pPr>
        <w:pStyle w:val="32"/>
        <w:ind w:firstLine="1440" w:firstLineChars="600"/>
        <w:rPr>
          <w:rFonts w:hint="default"/>
          <w:kern w:val="0"/>
        </w:rPr>
      </w:pPr>
      <w:r>
        <w:rPr>
          <w:kern w:val="0"/>
        </w:rPr>
        <w:t>为提高运维人员的工作效率及工作质量，需能够辅助运维人员进行智慧运维，要求具备图纸/资料电子化，可修改，能够记录修改人和修改日期；日常报表自动生成；操作记录自动生成；事件记录、消缺记录手动录入，可上传现场照片；整改条件可指定人员、限定时限并自动通知，自动提醒，能够闭环整改审核及其意见；定检试验手动上传，可绘制历史曲线，设备寿命管理，实现无纸化线上智能运维。</w:t>
      </w:r>
    </w:p>
    <w:p w14:paraId="0F292D0F">
      <w:pPr>
        <w:pStyle w:val="32"/>
        <w:ind w:firstLine="960"/>
        <w:rPr>
          <w:rFonts w:hint="default"/>
        </w:rPr>
      </w:pPr>
      <w:r>
        <w:t>5.1.</w:t>
      </w:r>
      <w:r>
        <w:rPr>
          <w:lang w:val="en-US"/>
        </w:rPr>
        <w:t xml:space="preserve">9.7 </w:t>
      </w:r>
      <w:r>
        <w:t>专家分析功能</w:t>
      </w:r>
    </w:p>
    <w:p w14:paraId="47A2B037">
      <w:pPr>
        <w:pStyle w:val="32"/>
        <w:ind w:firstLine="1440" w:firstLineChars="600"/>
        <w:rPr>
          <w:rFonts w:hint="default"/>
          <w:color w:val="000000"/>
          <w:kern w:val="0"/>
          <w:lang w:bidi="ar"/>
        </w:rPr>
      </w:pPr>
      <w:r>
        <w:rPr>
          <w:color w:val="000000"/>
          <w:kern w:val="0"/>
          <w:lang w:bidi="ar"/>
        </w:rPr>
        <w:t>在一次设备和二次保护统一建模的基础上，建立告警信号智能预判模型，对告警信号进行分类处理，将告警与故障进行递进分析，告警处理的智能化操作,结合告警处理的预案联动，实现基于不同岗位职责的分类告警信息推送，主告警的精确识别、多形式告警信息的显示接收，并提供不同工况下的最优处理预案，达到告警信息的及时性、准确性和高效性。</w:t>
      </w:r>
    </w:p>
    <w:p w14:paraId="3FE04455">
      <w:pPr>
        <w:pStyle w:val="32"/>
        <w:ind w:firstLine="1440" w:firstLineChars="600"/>
        <w:rPr>
          <w:rFonts w:hint="default"/>
        </w:rPr>
      </w:pPr>
      <w:r>
        <w:t>应急预案：在系统中建立应急事件处理信息库，根据系统报警信息提供的内容，激活与内容相关的应急处理预案供运维人员选择。结合设备位置信息、故障设备的故障现象、故障类型等为运维人员处理事件提供全面的信息支撑，为应急事件中的调度指挥提供依据。</w:t>
      </w:r>
    </w:p>
    <w:p w14:paraId="6E968713">
      <w:pPr>
        <w:pStyle w:val="32"/>
        <w:ind w:firstLine="1440" w:firstLineChars="600"/>
        <w:rPr>
          <w:rFonts w:hint="default"/>
        </w:rPr>
      </w:pPr>
      <w:r>
        <w:t>故障分析：电气智能化管理系统记录每次故障发生的各项数值，并录入事后调查确认的故障原因，形成历史故障数据库。新发故障与历史库中的数据进行大数据比对，判断此次故障可能的原因。随着历史库的不断累积，故障分析还能起到故障预测的作用。</w:t>
      </w:r>
    </w:p>
    <w:bookmarkEnd w:id="174"/>
    <w:p w14:paraId="3D232D0D">
      <w:pPr>
        <w:pStyle w:val="32"/>
        <w:ind w:firstLine="960"/>
        <w:rPr>
          <w:rFonts w:hint="default"/>
        </w:rPr>
      </w:pPr>
      <w:r>
        <w:t>5.1.</w:t>
      </w:r>
      <w:r>
        <w:rPr>
          <w:lang w:val="en-US"/>
        </w:rPr>
        <w:t xml:space="preserve">9.8 </w:t>
      </w:r>
      <w:r>
        <w:t>智能联动</w:t>
      </w:r>
    </w:p>
    <w:p w14:paraId="3F4FF2F8">
      <w:pPr>
        <w:pStyle w:val="32"/>
        <w:ind w:firstLine="1440" w:firstLineChars="600"/>
        <w:rPr>
          <w:rFonts w:hint="default"/>
        </w:rPr>
      </w:pPr>
      <w:r>
        <w:t>智能联动作为智能化的核心体现，主要是以主辅系统联动、辅辅系统联动为主，如有特殊联动要求，可根据实际需求进行制定联动模块。</w:t>
      </w:r>
    </w:p>
    <w:p w14:paraId="5CE5AB58">
      <w:pPr>
        <w:pStyle w:val="32"/>
        <w:ind w:firstLine="960"/>
        <w:rPr>
          <w:rFonts w:hint="default"/>
        </w:rPr>
      </w:pPr>
      <w:r>
        <w:t>5.1.</w:t>
      </w:r>
      <w:r>
        <w:rPr>
          <w:lang w:val="en-US"/>
        </w:rPr>
        <w:t>9.9</w:t>
      </w:r>
      <w:r>
        <w:t xml:space="preserve"> </w:t>
      </w:r>
      <w:r>
        <w:rPr>
          <w:lang w:val="en-US"/>
        </w:rPr>
        <w:t>6</w:t>
      </w:r>
      <w:r>
        <w:t>kV开关柜在线监测设备</w:t>
      </w:r>
    </w:p>
    <w:p w14:paraId="54FB4887">
      <w:pPr>
        <w:pStyle w:val="32"/>
        <w:ind w:firstLine="1440" w:firstLineChars="600"/>
        <w:rPr>
          <w:rFonts w:hint="default"/>
        </w:rPr>
      </w:pPr>
      <w:r>
        <w:t>电气智能化管理系统负责建立与</w:t>
      </w:r>
      <w:r>
        <w:rPr>
          <w:lang w:val="en-US"/>
        </w:rPr>
        <w:t>6</w:t>
      </w:r>
      <w:r>
        <w:t>kV开关柜在线监测系统的数据通讯，具备开关柜智能分析与管理功能。</w:t>
      </w:r>
    </w:p>
    <w:p w14:paraId="04FE4036">
      <w:pPr>
        <w:pStyle w:val="32"/>
        <w:ind w:firstLine="1440" w:firstLineChars="600"/>
        <w:rPr>
          <w:rFonts w:hint="default"/>
        </w:rPr>
      </w:pPr>
      <w:r>
        <w:t>要求电气智能化管理系统能够实时采集和监控</w:t>
      </w:r>
      <w:r>
        <w:rPr>
          <w:lang w:val="en-US"/>
        </w:rPr>
        <w:t>6</w:t>
      </w:r>
      <w:r>
        <w:t>kV开关柜的所有数据信息；数据信息至少包含：电流、电压、有功、无功、功率因素、断路器上下臂温度、断路器工作状态、柜内视频信号等；同时电气智能化管理系统具备设备状态监测，边缘计算及分析，备就地控制，规约转换功能；具备根据底盘车、接地刀和断路器的机械位置和电气状态，系统远程遥控自动完成一键顺序化操作；具备通过AI视频识别技术，对开关柜内断路器及接地刀进行位置判断，系统远程实现一键顺控双位确认功能；系统具备防误、电机堵转报警等功能，系统指令类型包括送电、热备用、冷备用、检修四种类型。要求系统能够实时回传开关柜柜内的视频信号，能随时对断路器和接地刀状态进行实时视频监视。并在对断路器和接地刀远程操作时，能通过视频监视操作结果进行二次确认。能在系统进行遥控操作时进行视频联动，同时操作视频能进行存储和回放。</w:t>
      </w:r>
    </w:p>
    <w:p w14:paraId="64D034D9">
      <w:pPr>
        <w:pStyle w:val="32"/>
        <w:ind w:firstLine="960"/>
        <w:rPr>
          <w:rFonts w:hint="default"/>
        </w:rPr>
      </w:pPr>
      <w:r>
        <w:t>5.1.</w:t>
      </w:r>
      <w:r>
        <w:rPr>
          <w:lang w:val="en-US"/>
        </w:rPr>
        <w:t xml:space="preserve">9.10 </w:t>
      </w:r>
      <w:r>
        <w:t>智能监测装置（具有边缘计算功能）</w:t>
      </w:r>
    </w:p>
    <w:p w14:paraId="07797F9D">
      <w:pPr>
        <w:pStyle w:val="32"/>
        <w:ind w:firstLine="1440" w:firstLineChars="600"/>
        <w:rPr>
          <w:rFonts w:hint="default"/>
        </w:rPr>
      </w:pPr>
      <w:r>
        <w:t>投标方提供的智能监测装置应满足就地采集柜内各类传感器(关键点温度、机械特性数据、分合闸线圈电流、储能电机电流)数据，并能根据采集的数据就地运算分析（边缘计算功能）设备状态。还应具备（底盘车及接地开关）电动控制功能，具备与电动底盘车、电动接地刀匹配的，控制电动底盘车、电动接地刀的输出接口，以及具备采集电动底盘车、电动接地刀状态的接口，并可分析电动底盘车及电动接地刀电机电流，实时掌握电动机构的健康状况。</w:t>
      </w:r>
    </w:p>
    <w:p w14:paraId="6A84DA7A">
      <w:pPr>
        <w:pStyle w:val="32"/>
        <w:ind w:firstLine="1440" w:firstLineChars="600"/>
        <w:rPr>
          <w:rFonts w:hint="default"/>
        </w:rPr>
      </w:pPr>
      <w:r>
        <w:t>当从站控层或者人机界面上下发指令时，智能控制终端应能根据底盘车、接地刀和断路器的机械位置和电气状态，自动完成的一键顺序化操作，并能通过AI视频识别技术，对开关柜内断路器及接地刀进行位置判断，实现一键顺控双位确认。指令类型包括送电、热备用、冷备用、检修四种类型。</w:t>
      </w:r>
    </w:p>
    <w:p w14:paraId="57D3C41B">
      <w:pPr>
        <w:pStyle w:val="32"/>
        <w:ind w:firstLine="1440" w:firstLineChars="600"/>
        <w:rPr>
          <w:rFonts w:hint="default"/>
          <w:lang w:val="en-US"/>
        </w:rPr>
      </w:pPr>
      <w:r>
        <w:rPr>
          <w:lang w:val="en-US"/>
        </w:rPr>
        <w:t>1）</w:t>
      </w:r>
      <w:r>
        <w:t>能提供断路器电动底盘车自动控制功能</w:t>
      </w:r>
    </w:p>
    <w:p w14:paraId="7D5F3F72">
      <w:pPr>
        <w:pStyle w:val="32"/>
        <w:ind w:firstLine="1440" w:firstLineChars="600"/>
        <w:rPr>
          <w:rFonts w:hint="default"/>
          <w:kern w:val="0"/>
        </w:rPr>
      </w:pPr>
      <w:r>
        <w:rPr>
          <w:kern w:val="0"/>
        </w:rPr>
        <w:t>有电机堵转保护和故障报警功能，当进、出操作过程中出现阻滞时发出报警信号，自动退回实验位置。防止相关机械闭锁元件的损坏；</w:t>
      </w:r>
    </w:p>
    <w:p w14:paraId="438D600F">
      <w:pPr>
        <w:pStyle w:val="32"/>
        <w:ind w:firstLine="1440" w:firstLineChars="600"/>
        <w:rPr>
          <w:rFonts w:hint="default"/>
          <w:kern w:val="0"/>
        </w:rPr>
      </w:pPr>
      <w:r>
        <w:rPr>
          <w:kern w:val="0"/>
        </w:rPr>
        <w:t>有控制电流设定功能，当控制电流超过设定值时，触发电机堵转保护和故障报警功能。</w:t>
      </w:r>
    </w:p>
    <w:p w14:paraId="064D2FB4">
      <w:pPr>
        <w:pStyle w:val="32"/>
        <w:ind w:firstLine="1440" w:firstLineChars="600"/>
        <w:rPr>
          <w:rFonts w:hint="default"/>
        </w:rPr>
      </w:pPr>
      <w:r>
        <w:rPr>
          <w:lang w:val="en-US"/>
        </w:rPr>
        <w:t>2）</w:t>
      </w:r>
      <w:r>
        <w:t>能提供开关柜电动接地刀自动控制功能</w:t>
      </w:r>
    </w:p>
    <w:p w14:paraId="60846560">
      <w:pPr>
        <w:pStyle w:val="32"/>
        <w:ind w:firstLine="1440" w:firstLineChars="600"/>
        <w:rPr>
          <w:rFonts w:hint="default"/>
          <w:kern w:val="0"/>
        </w:rPr>
      </w:pPr>
      <w:r>
        <w:rPr>
          <w:kern w:val="0"/>
        </w:rPr>
        <w:t>应具有电动操作电机堵转保护和故障报警功能，当接地开关电动操作的齿轮机构在运行过程中出现阻滞时进行报警，可及时切断电机，防止电动操作机构继续进行损坏相关机械部件；</w:t>
      </w:r>
    </w:p>
    <w:p w14:paraId="3B32C538">
      <w:pPr>
        <w:pStyle w:val="32"/>
        <w:ind w:firstLine="1440" w:firstLineChars="600"/>
        <w:rPr>
          <w:rFonts w:hint="default"/>
          <w:kern w:val="0"/>
        </w:rPr>
      </w:pPr>
      <w:r>
        <w:rPr>
          <w:kern w:val="0"/>
        </w:rPr>
        <w:t>具有电机制动功能，以防止接地开关合闸或者分闸到位后电机因惯性停转卡死。</w:t>
      </w:r>
    </w:p>
    <w:p w14:paraId="635055D0">
      <w:pPr>
        <w:pStyle w:val="32"/>
        <w:ind w:firstLine="960"/>
        <w:rPr>
          <w:rFonts w:hint="default"/>
        </w:rPr>
      </w:pPr>
      <w:r>
        <w:t>5.1.9.1</w:t>
      </w:r>
      <w:r>
        <w:rPr>
          <w:lang w:val="en-US"/>
        </w:rPr>
        <w:t xml:space="preserve">1 </w:t>
      </w:r>
      <w:r>
        <w:t>变压器在线监测设备</w:t>
      </w:r>
    </w:p>
    <w:p w14:paraId="5B291A57">
      <w:pPr>
        <w:pStyle w:val="32"/>
        <w:ind w:firstLine="1440" w:firstLineChars="600"/>
        <w:rPr>
          <w:rFonts w:hint="default"/>
        </w:rPr>
      </w:pPr>
      <w:r>
        <w:rPr>
          <w:kern w:val="0"/>
          <w:lang w:val="en-US"/>
        </w:rPr>
        <w:t>6</w:t>
      </w:r>
      <w:r>
        <w:rPr>
          <w:kern w:val="0"/>
        </w:rPr>
        <w:t>kV变压器监测包括电气数据、高低压侧温度在线监测设备及配套设施，变</w:t>
      </w:r>
      <w:r>
        <w:t>压器厂家要预留通讯接口，通讯方式采用提供标准485通讯接口,通讯协议需支持modbus等协议。</w:t>
      </w:r>
    </w:p>
    <w:p w14:paraId="5BC02C93">
      <w:pPr>
        <w:pStyle w:val="32"/>
        <w:ind w:firstLine="960"/>
        <w:rPr>
          <w:rFonts w:hint="default"/>
        </w:rPr>
      </w:pPr>
      <w:r>
        <w:t>5.1.</w:t>
      </w:r>
      <w:r>
        <w:rPr>
          <w:lang w:val="en-US"/>
        </w:rPr>
        <w:t xml:space="preserve">9.12 </w:t>
      </w:r>
      <w:r>
        <w:t>电机在线监测设备</w:t>
      </w:r>
    </w:p>
    <w:p w14:paraId="6D64E728">
      <w:pPr>
        <w:pStyle w:val="32"/>
        <w:ind w:firstLine="1440" w:firstLineChars="600"/>
        <w:rPr>
          <w:rFonts w:hint="default"/>
        </w:rPr>
      </w:pPr>
      <w:r>
        <w:t>所有高压电机均需要配置电机频谱装置并将数据上传至电气智能化管理系统统一分析处理，电机频谱监测用于分析判断电子绕组异常、转子绕组异常、铁芯气息，通过电机运行参数指标信息，生成健康历史曲线，评估电机总体健康指标。</w:t>
      </w:r>
    </w:p>
    <w:p w14:paraId="137D5F23">
      <w:pPr>
        <w:pStyle w:val="32"/>
        <w:ind w:firstLine="1440" w:firstLineChars="600"/>
        <w:rPr>
          <w:rFonts w:hint="default"/>
          <w:lang w:val="en-US"/>
        </w:rPr>
      </w:pPr>
      <w:r>
        <w:t>1）电机在线监测装置应安装在开关柜内，不允许在电机本体或不可控环境安装传感器</w:t>
      </w:r>
      <w:r>
        <w:rPr>
          <w:lang w:val="en-US"/>
        </w:rPr>
        <w:t>；</w:t>
      </w:r>
    </w:p>
    <w:p w14:paraId="3D7BB2FB">
      <w:pPr>
        <w:pStyle w:val="32"/>
        <w:ind w:firstLine="1440" w:firstLineChars="600"/>
        <w:rPr>
          <w:rFonts w:hint="default"/>
        </w:rPr>
      </w:pPr>
      <w:r>
        <w:rPr>
          <w:lang w:val="en-US"/>
        </w:rPr>
        <w:t>2）</w:t>
      </w:r>
      <w:r>
        <w:t>装置应能在线监测电动机工作电流数据，并有实时波形显示</w:t>
      </w:r>
      <w:r>
        <w:rPr>
          <w:lang w:val="en-US"/>
        </w:rPr>
        <w:t>；</w:t>
      </w:r>
    </w:p>
    <w:p w14:paraId="53192F8B">
      <w:pPr>
        <w:pStyle w:val="32"/>
        <w:ind w:firstLine="1440" w:firstLineChars="600"/>
        <w:rPr>
          <w:rFonts w:hint="default"/>
        </w:rPr>
      </w:pPr>
      <w:r>
        <w:t>3）装置应能在线进行电流频谱的分析，并显示有相应畸变向量的历史趋势曲线</w:t>
      </w:r>
      <w:r>
        <w:rPr>
          <w:lang w:val="en-US"/>
        </w:rPr>
        <w:t>；</w:t>
      </w:r>
    </w:p>
    <w:p w14:paraId="01C5ABC4">
      <w:pPr>
        <w:pStyle w:val="32"/>
        <w:ind w:firstLine="1440" w:firstLineChars="600"/>
        <w:rPr>
          <w:rFonts w:hint="default"/>
        </w:rPr>
      </w:pPr>
      <w:r>
        <w:t>4）装置经过分析能判断目前电机的故障类型，及对其运行现状作评估分数</w:t>
      </w:r>
      <w:r>
        <w:rPr>
          <w:lang w:val="en-US"/>
        </w:rPr>
        <w:t>；</w:t>
      </w:r>
    </w:p>
    <w:p w14:paraId="2AF2623B">
      <w:pPr>
        <w:pStyle w:val="32"/>
        <w:ind w:firstLine="1440" w:firstLineChars="600"/>
        <w:rPr>
          <w:rFonts w:hint="default"/>
        </w:rPr>
      </w:pPr>
      <w:r>
        <w:rPr>
          <w:lang w:val="en-US"/>
        </w:rPr>
        <w:t>5</w:t>
      </w:r>
      <w:r>
        <w:t>）针对电机的常见故障（如匝间短路、相间短路、气隙偏心等），系统能建立相应故障模型，通过监测指标与模型数据的比对，完成故障的初步监测</w:t>
      </w:r>
      <w:r>
        <w:rPr>
          <w:lang w:val="en-US"/>
        </w:rPr>
        <w:t>；</w:t>
      </w:r>
    </w:p>
    <w:p w14:paraId="0F4365B3">
      <w:pPr>
        <w:pStyle w:val="32"/>
        <w:ind w:firstLine="1440" w:firstLineChars="600"/>
        <w:rPr>
          <w:rFonts w:hint="default"/>
        </w:rPr>
      </w:pPr>
      <w:r>
        <w:rPr>
          <w:lang w:val="en-US"/>
        </w:rPr>
        <w:t>6</w:t>
      </w:r>
      <w:r>
        <w:t>）针对每一台电机，应对至少一年内历史运行数据收集，建立自有数据信息档案，通过数据的横向比较，完成故障的精准定位</w:t>
      </w:r>
      <w:r>
        <w:rPr>
          <w:lang w:val="en-US"/>
        </w:rPr>
        <w:t>；</w:t>
      </w:r>
    </w:p>
    <w:p w14:paraId="7CB172B6">
      <w:pPr>
        <w:pStyle w:val="32"/>
        <w:ind w:firstLine="1440" w:firstLineChars="600"/>
        <w:rPr>
          <w:rFonts w:hint="default"/>
        </w:rPr>
      </w:pPr>
      <w:r>
        <w:rPr>
          <w:lang w:val="en-US"/>
        </w:rPr>
        <w:t>7</w:t>
      </w:r>
      <w:r>
        <w:t>）装置具备通过web界面实现对电动机数据的实时监测、对相关参数进行设置的功能。</w:t>
      </w:r>
    </w:p>
    <w:p w14:paraId="0F303644">
      <w:pPr>
        <w:pStyle w:val="32"/>
        <w:ind w:firstLine="960"/>
        <w:rPr>
          <w:rFonts w:hint="default"/>
        </w:rPr>
      </w:pPr>
      <w:r>
        <w:t>5.1.</w:t>
      </w:r>
      <w:r>
        <w:rPr>
          <w:lang w:val="en-US"/>
        </w:rPr>
        <w:t>9.13</w:t>
      </w:r>
      <w:r>
        <w:t xml:space="preserve"> 0.4kV开关柜设备在线监测</w:t>
      </w:r>
    </w:p>
    <w:p w14:paraId="04EE9859">
      <w:pPr>
        <w:pStyle w:val="32"/>
        <w:ind w:firstLine="1440" w:firstLineChars="600"/>
        <w:rPr>
          <w:rFonts w:hint="default"/>
        </w:rPr>
      </w:pPr>
      <w:r>
        <w:t>低压智能终端用于采集MCC配电段低压大回路无线测温数据、框架断路器（含触头磨损监测、6点测温等），并通过通讯装置在低压配电段进线柜上进行显示。为保证低压电机的运行连续性，所监测框架断路器、低压马达控制器、智能仪表，由</w:t>
      </w:r>
      <w:r>
        <w:rPr>
          <w:lang w:val="en-US"/>
        </w:rPr>
        <w:t>通讯装置</w:t>
      </w:r>
      <w:r>
        <w:t>接入并上送至电气智能化管理系统。</w:t>
      </w:r>
    </w:p>
    <w:p w14:paraId="45285891">
      <w:pPr>
        <w:pStyle w:val="32"/>
        <w:ind w:firstLine="1440" w:firstLineChars="600"/>
        <w:rPr>
          <w:rFonts w:hint="default" w:cs="MingLiU"/>
          <w:color w:val="FF0000"/>
        </w:rPr>
      </w:pPr>
      <w:r>
        <w:t>0.4kV开关柜内马达保护和低压无功补偿装置SVG，A</w:t>
      </w:r>
      <w:r>
        <w:rPr>
          <w:rFonts w:hint="default"/>
        </w:rPr>
        <w:t>PF</w:t>
      </w:r>
      <w:r>
        <w:t>，设备提供厂家提供通讯接口，通讯接口具有以太网接口或RS-485通信接口。支持IEC-60870-5-103（RS485通讯模式）、IEC-60870-5-104（工业以太网通讯模式）标准通信规约以及变电站通讯标准IEC61850或提供通讯转接口及通讯规约。装置数据接入</w:t>
      </w:r>
      <w:r>
        <w:rPr>
          <w:lang w:val="en-US"/>
        </w:rPr>
        <w:t>通讯装置</w:t>
      </w:r>
      <w:r>
        <w:t>。</w:t>
      </w:r>
    </w:p>
    <w:p w14:paraId="5E5FFEFC">
      <w:pPr>
        <w:pStyle w:val="5"/>
        <w:ind w:firstLine="480"/>
      </w:pPr>
      <w:bookmarkStart w:id="175" w:name="_Toc425753880"/>
      <w:bookmarkStart w:id="176" w:name="_Toc425752405"/>
      <w:bookmarkStart w:id="177" w:name="_Toc472491683"/>
      <w:bookmarkStart w:id="178" w:name="_Toc293058192"/>
      <w:bookmarkStart w:id="179" w:name="_Toc507652385"/>
      <w:bookmarkStart w:id="180" w:name="_Toc178156523"/>
      <w:r>
        <w:rPr>
          <w:rFonts w:hint="eastAsia"/>
        </w:rPr>
        <w:t>5.2直流屏技术规范</w:t>
      </w:r>
    </w:p>
    <w:p w14:paraId="6428DF7E">
      <w:pPr>
        <w:pStyle w:val="23"/>
        <w:ind w:left="1380" w:hanging="660" w:firstLineChars="0"/>
        <w:rPr>
          <w:rFonts w:hint="default"/>
        </w:rPr>
      </w:pPr>
      <w:r>
        <w:rPr>
          <w:lang w:val="en-US"/>
        </w:rPr>
        <w:t>5.</w:t>
      </w:r>
      <w:r>
        <w:t xml:space="preserve">2.1 </w:t>
      </w:r>
      <w:r>
        <w:rPr>
          <w:lang w:val="en-US"/>
        </w:rPr>
        <w:t>直流</w:t>
      </w:r>
      <w:r>
        <w:t>屏</w:t>
      </w:r>
    </w:p>
    <w:tbl>
      <w:tblPr>
        <w:tblStyle w:val="18"/>
        <w:tblW w:w="9025" w:type="dxa"/>
        <w:tblInd w:w="94"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2470"/>
        <w:gridCol w:w="2146"/>
        <w:gridCol w:w="1027"/>
        <w:gridCol w:w="1967"/>
      </w:tblGrid>
      <w:tr w14:paraId="39172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415" w:type="dxa"/>
          </w:tcPr>
          <w:p w14:paraId="3BB2B3D5">
            <w:pPr>
              <w:spacing w:line="400" w:lineRule="exact"/>
              <w:jc w:val="center"/>
              <w:rPr>
                <w:rFonts w:ascii="宋体" w:hAnsi="宋体" w:cs="宋体"/>
                <w:sz w:val="24"/>
              </w:rPr>
            </w:pPr>
            <w:r>
              <w:rPr>
                <w:rFonts w:hint="eastAsia" w:ascii="宋体" w:hAnsi="宋体" w:cs="宋体"/>
                <w:sz w:val="24"/>
              </w:rPr>
              <w:t>序号</w:t>
            </w:r>
          </w:p>
        </w:tc>
        <w:tc>
          <w:tcPr>
            <w:tcW w:w="2470" w:type="dxa"/>
          </w:tcPr>
          <w:p w14:paraId="540DE983">
            <w:pPr>
              <w:spacing w:line="400" w:lineRule="exact"/>
              <w:jc w:val="center"/>
              <w:rPr>
                <w:rFonts w:ascii="宋体" w:hAnsi="宋体" w:cs="宋体"/>
                <w:sz w:val="24"/>
              </w:rPr>
            </w:pPr>
            <w:r>
              <w:rPr>
                <w:rFonts w:hint="eastAsia" w:ascii="宋体" w:hAnsi="宋体" w:cs="宋体"/>
                <w:sz w:val="24"/>
              </w:rPr>
              <w:t>名称</w:t>
            </w:r>
          </w:p>
        </w:tc>
        <w:tc>
          <w:tcPr>
            <w:tcW w:w="2146" w:type="dxa"/>
          </w:tcPr>
          <w:p w14:paraId="7B55CC29">
            <w:pPr>
              <w:spacing w:line="400" w:lineRule="exact"/>
              <w:jc w:val="center"/>
              <w:rPr>
                <w:rFonts w:ascii="宋体" w:hAnsi="宋体" w:cs="宋体"/>
                <w:sz w:val="24"/>
              </w:rPr>
            </w:pPr>
            <w:r>
              <w:rPr>
                <w:rFonts w:hint="eastAsia" w:ascii="宋体" w:hAnsi="宋体" w:cs="宋体"/>
                <w:sz w:val="24"/>
              </w:rPr>
              <w:t>规格</w:t>
            </w:r>
          </w:p>
        </w:tc>
        <w:tc>
          <w:tcPr>
            <w:tcW w:w="1027" w:type="dxa"/>
          </w:tcPr>
          <w:p w14:paraId="0AC2FEBC">
            <w:pPr>
              <w:spacing w:line="400" w:lineRule="exact"/>
              <w:jc w:val="center"/>
              <w:rPr>
                <w:rFonts w:ascii="宋体" w:hAnsi="宋体" w:cs="宋体"/>
                <w:sz w:val="24"/>
              </w:rPr>
            </w:pPr>
            <w:r>
              <w:rPr>
                <w:rFonts w:hint="eastAsia" w:ascii="宋体" w:hAnsi="宋体" w:cs="宋体"/>
                <w:sz w:val="24"/>
              </w:rPr>
              <w:t>数量</w:t>
            </w:r>
          </w:p>
        </w:tc>
        <w:tc>
          <w:tcPr>
            <w:tcW w:w="1967" w:type="dxa"/>
          </w:tcPr>
          <w:p w14:paraId="2E29F2FB">
            <w:pPr>
              <w:spacing w:line="400" w:lineRule="exact"/>
              <w:jc w:val="center"/>
              <w:rPr>
                <w:rFonts w:ascii="宋体" w:hAnsi="宋体" w:cs="宋体"/>
                <w:sz w:val="24"/>
              </w:rPr>
            </w:pPr>
            <w:r>
              <w:rPr>
                <w:rFonts w:hint="eastAsia" w:ascii="宋体" w:hAnsi="宋体" w:cs="宋体"/>
                <w:sz w:val="24"/>
              </w:rPr>
              <w:t>备注</w:t>
            </w:r>
          </w:p>
        </w:tc>
      </w:tr>
      <w:tr w14:paraId="015C88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415" w:type="dxa"/>
          </w:tcPr>
          <w:p w14:paraId="3AA5FCB1">
            <w:pPr>
              <w:spacing w:line="400" w:lineRule="exact"/>
              <w:jc w:val="center"/>
              <w:rPr>
                <w:rFonts w:ascii="宋体" w:hAnsi="宋体" w:cs="宋体"/>
                <w:sz w:val="24"/>
              </w:rPr>
            </w:pPr>
            <w:r>
              <w:rPr>
                <w:rFonts w:hint="eastAsia" w:ascii="宋体" w:hAnsi="宋体" w:cs="宋体"/>
                <w:sz w:val="24"/>
              </w:rPr>
              <w:t>1</w:t>
            </w:r>
          </w:p>
        </w:tc>
        <w:tc>
          <w:tcPr>
            <w:tcW w:w="2470" w:type="dxa"/>
          </w:tcPr>
          <w:p w14:paraId="0012F425">
            <w:pPr>
              <w:spacing w:line="400" w:lineRule="exact"/>
              <w:jc w:val="center"/>
              <w:rPr>
                <w:rFonts w:ascii="宋体" w:hAnsi="宋体" w:cs="宋体"/>
                <w:sz w:val="24"/>
              </w:rPr>
            </w:pPr>
            <w:r>
              <w:rPr>
                <w:rFonts w:hint="eastAsia" w:ascii="宋体" w:hAnsi="宋体" w:cs="宋体"/>
                <w:sz w:val="24"/>
              </w:rPr>
              <w:t>直流屏</w:t>
            </w:r>
          </w:p>
        </w:tc>
        <w:tc>
          <w:tcPr>
            <w:tcW w:w="2146" w:type="dxa"/>
          </w:tcPr>
          <w:p w14:paraId="69642BB6">
            <w:pPr>
              <w:spacing w:line="400" w:lineRule="exact"/>
              <w:jc w:val="center"/>
              <w:rPr>
                <w:rFonts w:ascii="宋体" w:hAnsi="宋体" w:cs="宋体"/>
                <w:sz w:val="24"/>
              </w:rPr>
            </w:pPr>
            <w:r>
              <w:rPr>
                <w:rFonts w:hint="eastAsia" w:ascii="宋体" w:hAnsi="宋体" w:cs="宋体"/>
                <w:sz w:val="24"/>
              </w:rPr>
              <w:t xml:space="preserve">按设计 </w:t>
            </w:r>
            <w:r>
              <w:rPr>
                <w:rFonts w:ascii="宋体" w:hAnsi="宋体" w:cs="宋体"/>
                <w:sz w:val="24"/>
              </w:rPr>
              <w:t xml:space="preserve">  </w:t>
            </w:r>
            <w:r>
              <w:rPr>
                <w:rFonts w:hint="eastAsia" w:ascii="宋体" w:hAnsi="宋体" w:cs="宋体"/>
                <w:sz w:val="24"/>
              </w:rPr>
              <w:t>-220V</w:t>
            </w:r>
          </w:p>
        </w:tc>
        <w:tc>
          <w:tcPr>
            <w:tcW w:w="1027" w:type="dxa"/>
          </w:tcPr>
          <w:p w14:paraId="06291F52">
            <w:pPr>
              <w:spacing w:line="400" w:lineRule="exact"/>
              <w:jc w:val="center"/>
              <w:rPr>
                <w:rFonts w:ascii="宋体" w:hAnsi="宋体" w:cs="宋体"/>
                <w:sz w:val="24"/>
              </w:rPr>
            </w:pPr>
            <w:r>
              <w:rPr>
                <w:rFonts w:hint="eastAsia" w:ascii="宋体" w:hAnsi="宋体" w:cs="宋体"/>
                <w:sz w:val="24"/>
              </w:rPr>
              <w:t>按设计</w:t>
            </w:r>
          </w:p>
        </w:tc>
        <w:tc>
          <w:tcPr>
            <w:tcW w:w="1967" w:type="dxa"/>
          </w:tcPr>
          <w:p w14:paraId="469B19A5">
            <w:pPr>
              <w:spacing w:line="400" w:lineRule="exact"/>
              <w:jc w:val="center"/>
              <w:rPr>
                <w:rFonts w:ascii="宋体" w:hAnsi="宋体" w:cs="宋体"/>
                <w:sz w:val="24"/>
              </w:rPr>
            </w:pPr>
          </w:p>
        </w:tc>
      </w:tr>
      <w:tr w14:paraId="3D18F7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14" w:hRule="atLeast"/>
        </w:trPr>
        <w:tc>
          <w:tcPr>
            <w:tcW w:w="1415" w:type="dxa"/>
          </w:tcPr>
          <w:p w14:paraId="0E30657E">
            <w:pPr>
              <w:spacing w:line="400" w:lineRule="exact"/>
              <w:jc w:val="center"/>
              <w:rPr>
                <w:rFonts w:ascii="宋体" w:hAnsi="宋体" w:cs="宋体"/>
                <w:sz w:val="24"/>
              </w:rPr>
            </w:pPr>
            <w:r>
              <w:rPr>
                <w:rFonts w:hint="eastAsia" w:ascii="宋体" w:hAnsi="宋体" w:cs="宋体"/>
                <w:sz w:val="24"/>
              </w:rPr>
              <w:t>2</w:t>
            </w:r>
          </w:p>
        </w:tc>
        <w:tc>
          <w:tcPr>
            <w:tcW w:w="2470" w:type="dxa"/>
          </w:tcPr>
          <w:p w14:paraId="2F9D8737">
            <w:pPr>
              <w:spacing w:line="400" w:lineRule="exact"/>
              <w:jc w:val="center"/>
              <w:rPr>
                <w:rFonts w:ascii="宋体" w:hAnsi="宋体" w:cs="宋体"/>
                <w:sz w:val="24"/>
              </w:rPr>
            </w:pPr>
            <w:r>
              <w:rPr>
                <w:rFonts w:hint="eastAsia" w:ascii="宋体" w:hAnsi="宋体" w:cs="宋体"/>
                <w:sz w:val="24"/>
              </w:rPr>
              <w:t>放电装置</w:t>
            </w:r>
          </w:p>
        </w:tc>
        <w:tc>
          <w:tcPr>
            <w:tcW w:w="2146" w:type="dxa"/>
          </w:tcPr>
          <w:p w14:paraId="6CE10E5B">
            <w:pPr>
              <w:spacing w:line="400" w:lineRule="exact"/>
              <w:rPr>
                <w:rFonts w:ascii="宋体" w:hAnsi="宋体" w:cs="宋体"/>
                <w:sz w:val="24"/>
              </w:rPr>
            </w:pPr>
          </w:p>
        </w:tc>
        <w:tc>
          <w:tcPr>
            <w:tcW w:w="1027" w:type="dxa"/>
          </w:tcPr>
          <w:p w14:paraId="08EE3ED8">
            <w:pPr>
              <w:spacing w:line="400" w:lineRule="exact"/>
              <w:jc w:val="center"/>
              <w:rPr>
                <w:rFonts w:ascii="宋体" w:hAnsi="宋体" w:cs="宋体"/>
                <w:sz w:val="24"/>
              </w:rPr>
            </w:pPr>
            <w:r>
              <w:rPr>
                <w:rFonts w:hint="eastAsia" w:ascii="宋体" w:hAnsi="宋体" w:cs="宋体"/>
                <w:sz w:val="24"/>
              </w:rPr>
              <w:t>按设计</w:t>
            </w:r>
          </w:p>
        </w:tc>
        <w:tc>
          <w:tcPr>
            <w:tcW w:w="1967" w:type="dxa"/>
          </w:tcPr>
          <w:p w14:paraId="165FFCD0">
            <w:pPr>
              <w:spacing w:line="400" w:lineRule="exact"/>
              <w:jc w:val="center"/>
              <w:rPr>
                <w:rFonts w:ascii="宋体" w:hAnsi="宋体" w:cs="宋体"/>
                <w:sz w:val="24"/>
              </w:rPr>
            </w:pPr>
          </w:p>
        </w:tc>
      </w:tr>
      <w:tr w14:paraId="388678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54" w:hRule="atLeast"/>
        </w:trPr>
        <w:tc>
          <w:tcPr>
            <w:tcW w:w="1415" w:type="dxa"/>
          </w:tcPr>
          <w:p w14:paraId="70B3F52F">
            <w:pPr>
              <w:spacing w:line="400" w:lineRule="exact"/>
              <w:jc w:val="center"/>
              <w:rPr>
                <w:rFonts w:ascii="宋体" w:hAnsi="宋体" w:cs="宋体"/>
                <w:sz w:val="24"/>
              </w:rPr>
            </w:pPr>
            <w:r>
              <w:rPr>
                <w:rFonts w:hint="eastAsia" w:ascii="宋体" w:hAnsi="宋体" w:cs="宋体"/>
                <w:sz w:val="24"/>
              </w:rPr>
              <w:t>3</w:t>
            </w:r>
          </w:p>
        </w:tc>
        <w:tc>
          <w:tcPr>
            <w:tcW w:w="2470" w:type="dxa"/>
          </w:tcPr>
          <w:p w14:paraId="693DB2B3">
            <w:pPr>
              <w:spacing w:line="400" w:lineRule="exact"/>
              <w:jc w:val="center"/>
              <w:rPr>
                <w:rFonts w:ascii="宋体" w:hAnsi="宋体" w:cs="宋体"/>
                <w:sz w:val="24"/>
              </w:rPr>
            </w:pPr>
            <w:r>
              <w:rPr>
                <w:rFonts w:hint="eastAsia" w:ascii="宋体" w:hAnsi="宋体" w:cs="宋体"/>
                <w:sz w:val="24"/>
              </w:rPr>
              <w:t>备品备件及专用工具</w:t>
            </w:r>
          </w:p>
        </w:tc>
        <w:tc>
          <w:tcPr>
            <w:tcW w:w="2146" w:type="dxa"/>
          </w:tcPr>
          <w:p w14:paraId="51548C78">
            <w:pPr>
              <w:spacing w:line="400" w:lineRule="exact"/>
              <w:rPr>
                <w:rFonts w:ascii="宋体" w:hAnsi="宋体" w:cs="宋体"/>
                <w:sz w:val="24"/>
              </w:rPr>
            </w:pPr>
          </w:p>
        </w:tc>
        <w:tc>
          <w:tcPr>
            <w:tcW w:w="1027" w:type="dxa"/>
          </w:tcPr>
          <w:p w14:paraId="38B9C284">
            <w:pPr>
              <w:spacing w:line="400" w:lineRule="exact"/>
              <w:rPr>
                <w:rFonts w:ascii="宋体" w:hAnsi="宋体" w:cs="宋体"/>
                <w:sz w:val="24"/>
              </w:rPr>
            </w:pPr>
          </w:p>
        </w:tc>
        <w:tc>
          <w:tcPr>
            <w:tcW w:w="1967" w:type="dxa"/>
          </w:tcPr>
          <w:p w14:paraId="2A69BD27">
            <w:pPr>
              <w:spacing w:line="400" w:lineRule="exact"/>
              <w:rPr>
                <w:rFonts w:ascii="宋体" w:hAnsi="宋体" w:cs="宋体"/>
                <w:sz w:val="24"/>
              </w:rPr>
            </w:pPr>
          </w:p>
        </w:tc>
      </w:tr>
    </w:tbl>
    <w:p w14:paraId="790B3DDA">
      <w:pPr>
        <w:pStyle w:val="23"/>
        <w:ind w:left="1380" w:hanging="660" w:firstLineChars="0"/>
        <w:rPr>
          <w:rFonts w:hint="default"/>
        </w:rPr>
      </w:pPr>
      <w:r>
        <w:rPr>
          <w:lang w:val="en-US"/>
        </w:rPr>
        <w:t>5.</w:t>
      </w:r>
      <w:r>
        <w:t>2.2 直流屏技术要求</w:t>
      </w:r>
    </w:p>
    <w:p w14:paraId="090C39CB">
      <w:pPr>
        <w:pStyle w:val="32"/>
        <w:ind w:firstLine="960"/>
        <w:rPr>
          <w:rFonts w:hint="default"/>
          <w:lang w:val="en-US"/>
        </w:rPr>
      </w:pPr>
      <w:r>
        <w:t>直流系统电压： DC220V</w:t>
      </w:r>
      <w:r>
        <w:rPr>
          <w:lang w:val="en-US"/>
        </w:rPr>
        <w:t>；</w:t>
      </w:r>
    </w:p>
    <w:p w14:paraId="45424F07">
      <w:pPr>
        <w:pStyle w:val="32"/>
        <w:ind w:firstLine="960"/>
        <w:rPr>
          <w:rFonts w:hint="default"/>
          <w:lang w:val="en-US"/>
        </w:rPr>
      </w:pPr>
      <w:r>
        <w:t>控母电压范围： 220V±10%</w:t>
      </w:r>
      <w:r>
        <w:rPr>
          <w:lang w:val="en-US"/>
        </w:rPr>
        <w:t>；</w:t>
      </w:r>
    </w:p>
    <w:p w14:paraId="5DD1DE3C">
      <w:pPr>
        <w:pStyle w:val="32"/>
        <w:ind w:firstLine="960"/>
        <w:rPr>
          <w:rFonts w:hint="default"/>
          <w:lang w:val="en-US"/>
        </w:rPr>
      </w:pPr>
      <w:r>
        <w:t>交流输入： 双路AC380V电源，并可自动切换</w:t>
      </w:r>
      <w:r>
        <w:rPr>
          <w:lang w:val="en-US"/>
        </w:rPr>
        <w:t>；</w:t>
      </w:r>
    </w:p>
    <w:p w14:paraId="1E659580">
      <w:pPr>
        <w:pStyle w:val="32"/>
        <w:ind w:firstLine="960"/>
        <w:rPr>
          <w:rFonts w:hint="default"/>
          <w:lang w:val="en-US"/>
        </w:rPr>
      </w:pPr>
      <w:r>
        <w:t>直流系统接线：</w:t>
      </w:r>
      <w:r>
        <w:rPr>
          <w:lang w:val="en-US"/>
        </w:rPr>
        <w:t xml:space="preserve"> </w:t>
      </w:r>
      <w:r>
        <w:t>母线分段接线</w:t>
      </w:r>
      <w:r>
        <w:rPr>
          <w:lang w:val="en-US"/>
        </w:rPr>
        <w:t>；</w:t>
      </w:r>
    </w:p>
    <w:p w14:paraId="636AA15F">
      <w:pPr>
        <w:pStyle w:val="32"/>
        <w:ind w:firstLine="960"/>
        <w:rPr>
          <w:rFonts w:hint="default"/>
          <w:lang w:val="en-US"/>
        </w:rPr>
      </w:pPr>
      <w:r>
        <w:t>蓄电池组数： 1组</w:t>
      </w:r>
      <w:r>
        <w:rPr>
          <w:lang w:val="en-US"/>
        </w:rPr>
        <w:t>；</w:t>
      </w:r>
    </w:p>
    <w:p w14:paraId="4860AFA9">
      <w:pPr>
        <w:pStyle w:val="32"/>
        <w:ind w:firstLine="960"/>
        <w:rPr>
          <w:rFonts w:hint="default"/>
          <w:lang w:val="en-US"/>
        </w:rPr>
      </w:pPr>
      <w:r>
        <w:t>蓄电池型式： 免维护铅酸蓄电池</w:t>
      </w:r>
      <w:r>
        <w:rPr>
          <w:lang w:val="en-US"/>
        </w:rPr>
        <w:t>；</w:t>
      </w:r>
    </w:p>
    <w:p w14:paraId="22181A4E">
      <w:pPr>
        <w:pStyle w:val="32"/>
        <w:ind w:firstLine="960"/>
        <w:rPr>
          <w:rFonts w:hint="default"/>
          <w:lang w:val="en-US"/>
        </w:rPr>
      </w:pPr>
      <w:r>
        <w:t>蓄电池容量： 按设计.蓄电池运行方式:浮充电方式</w:t>
      </w:r>
      <w:r>
        <w:rPr>
          <w:lang w:val="en-US"/>
        </w:rPr>
        <w:t>；</w:t>
      </w:r>
    </w:p>
    <w:p w14:paraId="54F2BE23">
      <w:pPr>
        <w:pStyle w:val="32"/>
        <w:ind w:firstLine="960"/>
        <w:rPr>
          <w:rFonts w:hint="default"/>
          <w:lang w:val="en-US"/>
        </w:rPr>
      </w:pPr>
      <w:r>
        <w:t>高频开关电源： 按设计</w:t>
      </w:r>
      <w:r>
        <w:rPr>
          <w:lang w:val="en-US"/>
        </w:rPr>
        <w:t>；</w:t>
      </w:r>
    </w:p>
    <w:p w14:paraId="77EE54D0">
      <w:pPr>
        <w:pStyle w:val="32"/>
        <w:ind w:firstLine="960"/>
        <w:rPr>
          <w:rFonts w:hint="default"/>
          <w:lang w:val="en-US"/>
        </w:rPr>
      </w:pPr>
      <w:r>
        <w:t>稳压精度： ≤±0.5%</w:t>
      </w:r>
      <w:r>
        <w:rPr>
          <w:lang w:val="en-US"/>
        </w:rPr>
        <w:t>；</w:t>
      </w:r>
    </w:p>
    <w:p w14:paraId="06E00EBD">
      <w:pPr>
        <w:pStyle w:val="32"/>
        <w:ind w:firstLine="960"/>
        <w:rPr>
          <w:rFonts w:hint="default"/>
          <w:lang w:val="en-US"/>
        </w:rPr>
      </w:pPr>
      <w:r>
        <w:t>稳流精度： ≤±0.5%</w:t>
      </w:r>
      <w:r>
        <w:rPr>
          <w:lang w:val="en-US"/>
        </w:rPr>
        <w:t>；</w:t>
      </w:r>
    </w:p>
    <w:p w14:paraId="532F9D1F">
      <w:pPr>
        <w:pStyle w:val="32"/>
        <w:ind w:firstLine="960"/>
        <w:rPr>
          <w:rFonts w:hint="default"/>
          <w:lang w:val="en-US"/>
        </w:rPr>
      </w:pPr>
      <w:r>
        <w:t>纹波系数： ≤±0.5%</w:t>
      </w:r>
      <w:r>
        <w:rPr>
          <w:lang w:val="en-US"/>
        </w:rPr>
        <w:t>；</w:t>
      </w:r>
    </w:p>
    <w:p w14:paraId="74562BAB">
      <w:pPr>
        <w:pStyle w:val="32"/>
        <w:ind w:firstLine="960"/>
        <w:rPr>
          <w:rFonts w:hint="default"/>
        </w:rPr>
      </w:pPr>
      <w:r>
        <w:t>通信： 采用RS485接口与电力监控系统通信。</w:t>
      </w:r>
    </w:p>
    <w:p w14:paraId="6F26A0F3">
      <w:pPr>
        <w:pStyle w:val="23"/>
        <w:ind w:firstLine="720"/>
        <w:rPr>
          <w:rFonts w:hint="default"/>
        </w:rPr>
      </w:pPr>
      <w:r>
        <w:rPr>
          <w:lang w:val="en-US"/>
        </w:rPr>
        <w:t>5.</w:t>
      </w:r>
      <w:r>
        <w:t>2.3 直流设备主要性能</w:t>
      </w:r>
    </w:p>
    <w:p w14:paraId="45F5E0FA">
      <w:pPr>
        <w:pStyle w:val="32"/>
        <w:ind w:firstLine="960"/>
        <w:rPr>
          <w:rFonts w:hint="default"/>
          <w:lang w:val="en-US"/>
        </w:rPr>
      </w:pPr>
      <w:r>
        <w:t>（1）稳压功能</w:t>
      </w:r>
      <w:r>
        <w:rPr>
          <w:lang w:val="en-US"/>
        </w:rPr>
        <w:t>；</w:t>
      </w:r>
    </w:p>
    <w:p w14:paraId="75EBFE14">
      <w:pPr>
        <w:pStyle w:val="32"/>
        <w:ind w:firstLine="960"/>
        <w:rPr>
          <w:rFonts w:hint="default"/>
          <w:lang w:val="en-US"/>
        </w:rPr>
      </w:pPr>
      <w:r>
        <w:t>（2）稳流、限流功能</w:t>
      </w:r>
      <w:r>
        <w:rPr>
          <w:lang w:val="en-US"/>
        </w:rPr>
        <w:t>；</w:t>
      </w:r>
    </w:p>
    <w:p w14:paraId="78BAC4A4">
      <w:pPr>
        <w:pStyle w:val="32"/>
        <w:ind w:firstLine="960"/>
        <w:rPr>
          <w:rFonts w:hint="default"/>
          <w:lang w:val="en-US"/>
        </w:rPr>
      </w:pPr>
      <w:r>
        <w:t>（3）直流电源屏实现数字化、微机系统或PLC，带10寸彩色触摸屏，具有RS-485、232或422接口，支持MODEBUS等多种规约，易于接入上位机监控系统</w:t>
      </w:r>
      <w:r>
        <w:rPr>
          <w:lang w:val="en-US"/>
        </w:rPr>
        <w:t>；</w:t>
      </w:r>
    </w:p>
    <w:p w14:paraId="28A1E6C0">
      <w:pPr>
        <w:pStyle w:val="32"/>
        <w:ind w:firstLine="960"/>
        <w:rPr>
          <w:rFonts w:hint="default"/>
          <w:lang w:val="en-US"/>
        </w:rPr>
      </w:pPr>
      <w:r>
        <w:t>（4） 均衡充电与浮充电方式自动转换（稳流限流充电功能）</w:t>
      </w:r>
      <w:r>
        <w:rPr>
          <w:lang w:val="en-US"/>
        </w:rPr>
        <w:t>；</w:t>
      </w:r>
    </w:p>
    <w:p w14:paraId="0BC6AD7E">
      <w:pPr>
        <w:pStyle w:val="32"/>
        <w:ind w:firstLine="960"/>
        <w:rPr>
          <w:rFonts w:hint="default"/>
        </w:rPr>
      </w:pPr>
      <w:r>
        <w:t>（5）高频开关整流模块（充电装置）、具有防腐蚀等功能，采用N+1热冗余方式并联组合供电，并可带电热插拔检修，提供原厂证明。</w:t>
      </w:r>
    </w:p>
    <w:p w14:paraId="57B568C3">
      <w:pPr>
        <w:pStyle w:val="23"/>
        <w:ind w:firstLine="720"/>
        <w:rPr>
          <w:rFonts w:hint="default"/>
        </w:rPr>
      </w:pPr>
      <w:r>
        <w:rPr>
          <w:lang w:val="en-US"/>
        </w:rPr>
        <w:t>5.</w:t>
      </w:r>
      <w:r>
        <w:t>2.4 蓄电池组</w:t>
      </w:r>
    </w:p>
    <w:p w14:paraId="4895FAA9">
      <w:pPr>
        <w:pStyle w:val="32"/>
        <w:ind w:firstLine="960"/>
        <w:rPr>
          <w:rFonts w:hint="default"/>
        </w:rPr>
      </w:pPr>
      <w:r>
        <w:t>（1）蓄电池组采用免维护铅酸蓄电池。</w:t>
      </w:r>
    </w:p>
    <w:p w14:paraId="55A6652D">
      <w:pPr>
        <w:pStyle w:val="32"/>
        <w:ind w:firstLine="1440" w:firstLineChars="600"/>
        <w:rPr>
          <w:rFonts w:hint="default"/>
        </w:rPr>
      </w:pPr>
      <w:r>
        <w:t>蓄电池生产企业应已获得ISO9001、ISO14001及ISO18001国际标准管理体系认证，投标人应在投标文件中提供证书复印件。</w:t>
      </w:r>
      <w:r>
        <w:cr/>
      </w:r>
      <w:r>
        <w:t xml:space="preserve">    投标人应提供项目授权，需提供蓄电池泰尔认证、符合国标、电力行业，不接受OEM或ODM产品（泰尔认证证书署名工厂必须是品牌方所有工厂，以经销商名义委托第三方工厂办理的作贴牌处理，不予接受）。供货时应提供蓄电池原厂生产证明和蓄电池出厂试验报告。</w:t>
      </w:r>
    </w:p>
    <w:p w14:paraId="1B5556F3">
      <w:pPr>
        <w:pStyle w:val="32"/>
        <w:ind w:firstLine="1440" w:firstLineChars="600"/>
        <w:rPr>
          <w:rFonts w:hint="default"/>
        </w:rPr>
      </w:pPr>
      <w:r>
        <w:t>蓄电池槽、盖阻燃性符合GB/T23764-2019要求。</w:t>
      </w:r>
    </w:p>
    <w:p w14:paraId="3E96A367">
      <w:pPr>
        <w:pStyle w:val="32"/>
        <w:ind w:firstLine="1440" w:firstLineChars="600"/>
        <w:rPr>
          <w:rFonts w:hint="default"/>
        </w:rPr>
      </w:pPr>
      <w:r>
        <w:t>蓄电池浮充使用寿命不少于10年，并提供60度高温加速浮充寿命试验报告。</w:t>
      </w:r>
    </w:p>
    <w:p w14:paraId="0CF19194">
      <w:pPr>
        <w:pStyle w:val="23"/>
        <w:ind w:firstLine="720"/>
        <w:rPr>
          <w:rFonts w:hint="default"/>
        </w:rPr>
      </w:pPr>
      <w:r>
        <w:t>（2）微机蓄电池监测单元</w:t>
      </w:r>
    </w:p>
    <w:p w14:paraId="5D109F24">
      <w:pPr>
        <w:pStyle w:val="32"/>
        <w:ind w:firstLine="1440" w:firstLineChars="600"/>
        <w:rPr>
          <w:rFonts w:hint="default"/>
        </w:rPr>
      </w:pPr>
      <w:r>
        <w:t>采用蓄电池自动巡检装置，实现蓄电池自动管理及监测（电压、温度、内阻）。</w:t>
      </w:r>
    </w:p>
    <w:p w14:paraId="49BF4ED7">
      <w:pPr>
        <w:pStyle w:val="23"/>
        <w:ind w:firstLine="720"/>
        <w:rPr>
          <w:rFonts w:hint="default"/>
        </w:rPr>
      </w:pPr>
      <w:r>
        <w:t>（3）直流馈线单元</w:t>
      </w:r>
    </w:p>
    <w:p w14:paraId="3BBE030D">
      <w:pPr>
        <w:pStyle w:val="32"/>
        <w:ind w:firstLine="1440" w:firstLineChars="600"/>
        <w:rPr>
          <w:rFonts w:hint="default"/>
        </w:rPr>
      </w:pPr>
      <w:r>
        <w:t>直流馈线单元包括馈线开关单元采用专用直流断路器。</w:t>
      </w:r>
    </w:p>
    <w:p w14:paraId="473755E4">
      <w:pPr>
        <w:pStyle w:val="23"/>
        <w:ind w:firstLine="720"/>
        <w:rPr>
          <w:rFonts w:hint="default"/>
        </w:rPr>
      </w:pPr>
      <w:r>
        <w:t>（4）智能放电装置；用于对蓄电池进行核对性放电。</w:t>
      </w:r>
    </w:p>
    <w:p w14:paraId="0523BEEB">
      <w:pPr>
        <w:pStyle w:val="23"/>
        <w:ind w:firstLine="720"/>
        <w:rPr>
          <w:rFonts w:hint="default"/>
        </w:rPr>
      </w:pPr>
      <w:r>
        <w:t>（5）采用微机绝缘检测装置，能监测正、负母线对地电压及回路接地选线。</w:t>
      </w:r>
    </w:p>
    <w:p w14:paraId="078EFFD2">
      <w:pPr>
        <w:spacing w:line="400" w:lineRule="exact"/>
        <w:ind w:firstLine="482" w:firstLineChars="200"/>
        <w:jc w:val="left"/>
        <w:rPr>
          <w:rFonts w:ascii="宋体" w:hAnsi="宋体"/>
          <w:b/>
          <w:sz w:val="24"/>
        </w:rPr>
      </w:pPr>
    </w:p>
    <w:p w14:paraId="2E44FD59">
      <w:pPr>
        <w:pStyle w:val="2"/>
        <w:rPr>
          <w:lang w:val="zh-CN"/>
        </w:rPr>
      </w:pPr>
      <w:bookmarkStart w:id="181" w:name="_Toc32056"/>
      <w:bookmarkStart w:id="182" w:name="_Toc5631"/>
      <w:bookmarkStart w:id="183" w:name="_Toc26802"/>
      <w:r>
        <w:rPr>
          <w:rFonts w:hint="eastAsia"/>
          <w:lang w:val="zh-CN"/>
        </w:rPr>
        <w:t>六、中标后提供的</w:t>
      </w:r>
      <w:bookmarkEnd w:id="175"/>
      <w:bookmarkEnd w:id="176"/>
      <w:bookmarkEnd w:id="177"/>
      <w:bookmarkStart w:id="184" w:name="_Toc472491685"/>
      <w:r>
        <w:rPr>
          <w:rFonts w:hint="eastAsia"/>
          <w:lang w:val="zh-CN"/>
        </w:rPr>
        <w:t>电气部分资料、图纸</w:t>
      </w:r>
      <w:bookmarkEnd w:id="184"/>
      <w:r>
        <w:rPr>
          <w:rFonts w:hint="eastAsia"/>
          <w:lang w:val="zh-CN"/>
        </w:rPr>
        <w:t>（</w:t>
      </w:r>
      <w:r>
        <w:rPr>
          <w:rFonts w:hint="eastAsia"/>
        </w:rPr>
        <w:t>包含但不仅限于以下）</w:t>
      </w:r>
      <w:bookmarkEnd w:id="181"/>
      <w:bookmarkEnd w:id="182"/>
      <w:bookmarkEnd w:id="183"/>
    </w:p>
    <w:p w14:paraId="5105C1B8">
      <w:pPr>
        <w:pStyle w:val="5"/>
        <w:ind w:firstLine="480"/>
      </w:pPr>
      <w:r>
        <w:rPr>
          <w:rFonts w:hint="eastAsia"/>
        </w:rPr>
        <w:t>（1）变压器、高低压开关柜等一览表；</w:t>
      </w:r>
    </w:p>
    <w:p w14:paraId="259B4572">
      <w:pPr>
        <w:pStyle w:val="5"/>
        <w:ind w:firstLine="480"/>
      </w:pPr>
      <w:r>
        <w:rPr>
          <w:rFonts w:hint="eastAsia"/>
        </w:rPr>
        <w:t>（2）其他用电设备清单；</w:t>
      </w:r>
    </w:p>
    <w:p w14:paraId="550DE158">
      <w:pPr>
        <w:pStyle w:val="5"/>
        <w:ind w:firstLine="480"/>
      </w:pPr>
      <w:r>
        <w:rPr>
          <w:rFonts w:hint="eastAsia"/>
        </w:rPr>
        <w:t>（3）电气系统图、接线图；</w:t>
      </w:r>
    </w:p>
    <w:p w14:paraId="42E7CD9E">
      <w:pPr>
        <w:pStyle w:val="5"/>
        <w:ind w:firstLine="480"/>
      </w:pPr>
      <w:r>
        <w:rPr>
          <w:rFonts w:hint="eastAsia"/>
        </w:rPr>
        <w:t>（4）电气监控网络拓扑图、接线图；</w:t>
      </w:r>
    </w:p>
    <w:p w14:paraId="7AAA09C8">
      <w:pPr>
        <w:pStyle w:val="5"/>
        <w:ind w:firstLine="480"/>
      </w:pPr>
      <w:r>
        <w:rPr>
          <w:rFonts w:hint="eastAsia"/>
        </w:rPr>
        <w:t>（5）设备的启动、控制原理图；</w:t>
      </w:r>
    </w:p>
    <w:p w14:paraId="5FF021E0">
      <w:pPr>
        <w:pStyle w:val="5"/>
        <w:ind w:firstLine="480"/>
      </w:pPr>
      <w:r>
        <w:rPr>
          <w:rFonts w:hint="eastAsia"/>
        </w:rPr>
        <w:t>（6）电气间的布置及安装图；</w:t>
      </w:r>
    </w:p>
    <w:p w14:paraId="2E869C83">
      <w:pPr>
        <w:pStyle w:val="5"/>
        <w:ind w:firstLine="480"/>
      </w:pPr>
      <w:r>
        <w:rPr>
          <w:rFonts w:hint="eastAsia"/>
        </w:rPr>
        <w:t>（7）电缆敷设及布置图；</w:t>
      </w:r>
    </w:p>
    <w:p w14:paraId="78E6668E">
      <w:pPr>
        <w:pStyle w:val="5"/>
        <w:ind w:firstLine="480"/>
      </w:pPr>
      <w:r>
        <w:rPr>
          <w:rFonts w:hint="eastAsia"/>
        </w:rPr>
        <w:t>（8）电气系统接地图；</w:t>
      </w:r>
    </w:p>
    <w:p w14:paraId="0E983CB7">
      <w:pPr>
        <w:pStyle w:val="5"/>
        <w:ind w:firstLine="480"/>
      </w:pPr>
      <w:r>
        <w:rPr>
          <w:rFonts w:hint="eastAsia"/>
        </w:rPr>
        <w:t>（9）电气照明清单；</w:t>
      </w:r>
    </w:p>
    <w:p w14:paraId="4E7C5F06">
      <w:pPr>
        <w:pStyle w:val="5"/>
        <w:ind w:firstLine="480"/>
      </w:pPr>
      <w:r>
        <w:rPr>
          <w:rFonts w:hint="eastAsia"/>
        </w:rPr>
        <w:t>（10）电缆清册；</w:t>
      </w:r>
    </w:p>
    <w:p w14:paraId="53C63358">
      <w:pPr>
        <w:pStyle w:val="5"/>
        <w:ind w:firstLine="480"/>
      </w:pPr>
      <w:r>
        <w:rPr>
          <w:rFonts w:hint="eastAsia"/>
        </w:rPr>
        <w:t>（11）电气资料</w:t>
      </w:r>
      <w:bookmarkStart w:id="185" w:name="_Toc479928004"/>
      <w:r>
        <w:rPr>
          <w:rFonts w:hint="eastAsia"/>
        </w:rPr>
        <w:t>。</w:t>
      </w:r>
    </w:p>
    <w:bookmarkEnd w:id="185"/>
    <w:p w14:paraId="0AA76DD6">
      <w:pPr>
        <w:spacing w:line="400" w:lineRule="exact"/>
        <w:jc w:val="left"/>
        <w:rPr>
          <w:rFonts w:ascii="宋体" w:hAnsi="宋体"/>
          <w:sz w:val="24"/>
        </w:rPr>
      </w:pPr>
    </w:p>
    <w:p w14:paraId="7711B7CD">
      <w:pPr>
        <w:pStyle w:val="2"/>
      </w:pPr>
      <w:bookmarkStart w:id="186" w:name="_Toc3073"/>
      <w:bookmarkStart w:id="187" w:name="_Toc3089"/>
      <w:bookmarkStart w:id="188" w:name="_Toc24447"/>
      <w:bookmarkStart w:id="189" w:name="_Toc479928007"/>
      <w:r>
        <w:rPr>
          <w:rFonts w:hint="eastAsia"/>
        </w:rPr>
        <w:t>七、专用工具</w:t>
      </w:r>
      <w:bookmarkEnd w:id="186"/>
      <w:bookmarkEnd w:id="187"/>
      <w:bookmarkEnd w:id="188"/>
    </w:p>
    <w:p w14:paraId="07031E47">
      <w:pPr>
        <w:pStyle w:val="5"/>
        <w:numPr>
          <w:ilvl w:val="0"/>
          <w:numId w:val="6"/>
        </w:numPr>
        <w:ind w:firstLine="480"/>
      </w:pPr>
      <w:r>
        <w:rPr>
          <w:rFonts w:hint="eastAsia"/>
        </w:rPr>
        <w:t>免费提供随机工具，并列出所需的随机工具的型号、数量。</w:t>
      </w:r>
    </w:p>
    <w:p w14:paraId="0B279F33">
      <w:pPr>
        <w:autoSpaceDE w:val="0"/>
        <w:autoSpaceDN w:val="0"/>
        <w:adjustRightInd w:val="0"/>
        <w:spacing w:line="400" w:lineRule="exact"/>
        <w:jc w:val="left"/>
        <w:textAlignment w:val="bottom"/>
        <w:rPr>
          <w:rFonts w:ascii="宋体" w:hAnsi="宋体"/>
          <w:sz w:val="24"/>
        </w:rPr>
      </w:pPr>
    </w:p>
    <w:p w14:paraId="44CED1E8">
      <w:pPr>
        <w:pStyle w:val="5"/>
        <w:numPr>
          <w:ilvl w:val="0"/>
          <w:numId w:val="6"/>
        </w:numPr>
        <w:ind w:firstLine="480"/>
      </w:pPr>
      <w:r>
        <w:rPr>
          <w:rFonts w:hint="eastAsia"/>
        </w:rPr>
        <w:t>6.3kV变压器随机清单及供货（包含但不限于以下设备，投标方填写）</w:t>
      </w:r>
    </w:p>
    <w:tbl>
      <w:tblPr>
        <w:tblStyle w:val="18"/>
        <w:tblW w:w="90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2748"/>
        <w:gridCol w:w="2298"/>
        <w:gridCol w:w="1244"/>
        <w:gridCol w:w="1960"/>
      </w:tblGrid>
      <w:tr w14:paraId="1D54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dxa"/>
            <w:tcBorders>
              <w:tl2br w:val="nil"/>
              <w:tr2bl w:val="nil"/>
            </w:tcBorders>
          </w:tcPr>
          <w:p w14:paraId="43E3E8DE">
            <w:pPr>
              <w:spacing w:line="400" w:lineRule="exact"/>
              <w:jc w:val="center"/>
              <w:rPr>
                <w:rFonts w:ascii="宋体" w:hAnsi="宋体"/>
                <w:sz w:val="24"/>
              </w:rPr>
            </w:pPr>
            <w:r>
              <w:rPr>
                <w:rFonts w:hint="eastAsia" w:ascii="宋体" w:hAnsi="宋体"/>
                <w:sz w:val="24"/>
              </w:rPr>
              <w:t>序号</w:t>
            </w:r>
          </w:p>
        </w:tc>
        <w:tc>
          <w:tcPr>
            <w:tcW w:w="2748" w:type="dxa"/>
            <w:tcBorders>
              <w:tl2br w:val="nil"/>
              <w:tr2bl w:val="nil"/>
            </w:tcBorders>
          </w:tcPr>
          <w:p w14:paraId="68BF5D2A">
            <w:pPr>
              <w:spacing w:line="400" w:lineRule="exact"/>
              <w:jc w:val="center"/>
              <w:rPr>
                <w:rFonts w:ascii="宋体" w:hAnsi="宋体"/>
                <w:sz w:val="24"/>
              </w:rPr>
            </w:pPr>
            <w:r>
              <w:rPr>
                <w:rFonts w:hint="eastAsia" w:ascii="宋体" w:hAnsi="宋体"/>
                <w:sz w:val="24"/>
              </w:rPr>
              <w:t>设备名称</w:t>
            </w:r>
          </w:p>
        </w:tc>
        <w:tc>
          <w:tcPr>
            <w:tcW w:w="2298" w:type="dxa"/>
            <w:tcBorders>
              <w:tl2br w:val="nil"/>
              <w:tr2bl w:val="nil"/>
            </w:tcBorders>
          </w:tcPr>
          <w:p w14:paraId="51F55500">
            <w:pPr>
              <w:spacing w:line="400" w:lineRule="exact"/>
              <w:jc w:val="center"/>
              <w:rPr>
                <w:rFonts w:ascii="宋体" w:hAnsi="宋体"/>
                <w:sz w:val="24"/>
              </w:rPr>
            </w:pPr>
            <w:r>
              <w:rPr>
                <w:rFonts w:hint="eastAsia" w:ascii="宋体" w:hAnsi="宋体"/>
                <w:sz w:val="24"/>
              </w:rPr>
              <w:t>数量</w:t>
            </w:r>
          </w:p>
        </w:tc>
        <w:tc>
          <w:tcPr>
            <w:tcW w:w="1244" w:type="dxa"/>
            <w:tcBorders>
              <w:tl2br w:val="nil"/>
              <w:tr2bl w:val="nil"/>
            </w:tcBorders>
          </w:tcPr>
          <w:p w14:paraId="0007B01E">
            <w:pPr>
              <w:spacing w:line="400" w:lineRule="exact"/>
              <w:jc w:val="center"/>
              <w:rPr>
                <w:rFonts w:ascii="宋体" w:hAnsi="宋体"/>
                <w:sz w:val="24"/>
              </w:rPr>
            </w:pPr>
            <w:r>
              <w:rPr>
                <w:rFonts w:hint="eastAsia" w:ascii="宋体" w:hAnsi="宋体"/>
                <w:sz w:val="24"/>
              </w:rPr>
              <w:t>单价</w:t>
            </w:r>
          </w:p>
        </w:tc>
        <w:tc>
          <w:tcPr>
            <w:tcW w:w="1960" w:type="dxa"/>
            <w:tcBorders>
              <w:tl2br w:val="nil"/>
              <w:tr2bl w:val="nil"/>
            </w:tcBorders>
          </w:tcPr>
          <w:p w14:paraId="4EEC5C48">
            <w:pPr>
              <w:spacing w:line="400" w:lineRule="exact"/>
              <w:jc w:val="center"/>
              <w:rPr>
                <w:rFonts w:ascii="宋体" w:hAnsi="宋体"/>
                <w:sz w:val="24"/>
              </w:rPr>
            </w:pPr>
            <w:r>
              <w:rPr>
                <w:rFonts w:hint="eastAsia" w:ascii="宋体" w:hAnsi="宋体"/>
                <w:sz w:val="24"/>
              </w:rPr>
              <w:t>备注</w:t>
            </w:r>
          </w:p>
        </w:tc>
      </w:tr>
      <w:tr w14:paraId="5D6C0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dxa"/>
            <w:tcBorders>
              <w:tl2br w:val="nil"/>
              <w:tr2bl w:val="nil"/>
            </w:tcBorders>
            <w:vAlign w:val="center"/>
          </w:tcPr>
          <w:p w14:paraId="381A7F74">
            <w:pPr>
              <w:spacing w:line="400" w:lineRule="exact"/>
              <w:jc w:val="center"/>
              <w:rPr>
                <w:rFonts w:ascii="宋体" w:hAnsi="宋体"/>
                <w:sz w:val="24"/>
              </w:rPr>
            </w:pPr>
            <w:r>
              <w:rPr>
                <w:rFonts w:ascii="宋体" w:hAnsi="宋体"/>
                <w:sz w:val="24"/>
              </w:rPr>
              <w:t>1</w:t>
            </w:r>
          </w:p>
        </w:tc>
        <w:tc>
          <w:tcPr>
            <w:tcW w:w="2748" w:type="dxa"/>
            <w:tcBorders>
              <w:tl2br w:val="nil"/>
              <w:tr2bl w:val="nil"/>
            </w:tcBorders>
            <w:vAlign w:val="center"/>
          </w:tcPr>
          <w:p w14:paraId="1C833D3E">
            <w:pPr>
              <w:spacing w:line="400" w:lineRule="exact"/>
              <w:jc w:val="center"/>
              <w:rPr>
                <w:rFonts w:ascii="宋体" w:hAnsi="宋体"/>
                <w:sz w:val="24"/>
              </w:rPr>
            </w:pPr>
          </w:p>
        </w:tc>
        <w:tc>
          <w:tcPr>
            <w:tcW w:w="2298" w:type="dxa"/>
            <w:tcBorders>
              <w:tl2br w:val="nil"/>
              <w:tr2bl w:val="nil"/>
            </w:tcBorders>
            <w:vAlign w:val="center"/>
          </w:tcPr>
          <w:p w14:paraId="27605B25">
            <w:pPr>
              <w:spacing w:line="400" w:lineRule="exact"/>
              <w:jc w:val="center"/>
              <w:rPr>
                <w:rFonts w:ascii="宋体" w:hAnsi="宋体"/>
                <w:sz w:val="24"/>
              </w:rPr>
            </w:pPr>
          </w:p>
        </w:tc>
        <w:tc>
          <w:tcPr>
            <w:tcW w:w="1244" w:type="dxa"/>
            <w:tcBorders>
              <w:tl2br w:val="nil"/>
              <w:tr2bl w:val="nil"/>
            </w:tcBorders>
            <w:vAlign w:val="center"/>
          </w:tcPr>
          <w:p w14:paraId="6EB3F631">
            <w:pPr>
              <w:spacing w:line="400" w:lineRule="exact"/>
              <w:jc w:val="center"/>
              <w:rPr>
                <w:rFonts w:ascii="宋体" w:hAnsi="宋体"/>
                <w:sz w:val="24"/>
              </w:rPr>
            </w:pPr>
          </w:p>
        </w:tc>
        <w:tc>
          <w:tcPr>
            <w:tcW w:w="1960" w:type="dxa"/>
            <w:tcBorders>
              <w:tl2br w:val="nil"/>
              <w:tr2bl w:val="nil"/>
            </w:tcBorders>
            <w:vAlign w:val="center"/>
          </w:tcPr>
          <w:p w14:paraId="0088C8EA">
            <w:pPr>
              <w:spacing w:line="400" w:lineRule="exact"/>
              <w:jc w:val="center"/>
              <w:rPr>
                <w:rFonts w:ascii="宋体" w:hAnsi="宋体"/>
                <w:sz w:val="24"/>
              </w:rPr>
            </w:pPr>
          </w:p>
        </w:tc>
      </w:tr>
      <w:tr w14:paraId="059F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 w:type="dxa"/>
            <w:tcBorders>
              <w:tl2br w:val="nil"/>
              <w:tr2bl w:val="nil"/>
            </w:tcBorders>
            <w:vAlign w:val="center"/>
          </w:tcPr>
          <w:p w14:paraId="1810D156">
            <w:pPr>
              <w:spacing w:line="400" w:lineRule="exact"/>
              <w:jc w:val="center"/>
              <w:rPr>
                <w:rFonts w:ascii="宋体" w:hAnsi="宋体"/>
                <w:sz w:val="24"/>
              </w:rPr>
            </w:pPr>
            <w:r>
              <w:rPr>
                <w:rFonts w:ascii="宋体" w:hAnsi="宋体"/>
                <w:sz w:val="24"/>
              </w:rPr>
              <w:t>2</w:t>
            </w:r>
          </w:p>
        </w:tc>
        <w:tc>
          <w:tcPr>
            <w:tcW w:w="2748" w:type="dxa"/>
            <w:tcBorders>
              <w:tl2br w:val="nil"/>
              <w:tr2bl w:val="nil"/>
            </w:tcBorders>
            <w:vAlign w:val="center"/>
          </w:tcPr>
          <w:p w14:paraId="1B8919A7">
            <w:pPr>
              <w:spacing w:line="400" w:lineRule="exact"/>
              <w:jc w:val="center"/>
              <w:rPr>
                <w:rFonts w:ascii="宋体" w:hAnsi="宋体"/>
                <w:sz w:val="24"/>
              </w:rPr>
            </w:pPr>
          </w:p>
        </w:tc>
        <w:tc>
          <w:tcPr>
            <w:tcW w:w="2298" w:type="dxa"/>
            <w:tcBorders>
              <w:tl2br w:val="nil"/>
              <w:tr2bl w:val="nil"/>
            </w:tcBorders>
            <w:vAlign w:val="center"/>
          </w:tcPr>
          <w:p w14:paraId="4B0F2CC2">
            <w:pPr>
              <w:spacing w:line="400" w:lineRule="exact"/>
              <w:jc w:val="center"/>
              <w:rPr>
                <w:rFonts w:ascii="宋体" w:hAnsi="宋体"/>
                <w:sz w:val="24"/>
              </w:rPr>
            </w:pPr>
          </w:p>
        </w:tc>
        <w:tc>
          <w:tcPr>
            <w:tcW w:w="1244" w:type="dxa"/>
            <w:tcBorders>
              <w:tl2br w:val="nil"/>
              <w:tr2bl w:val="nil"/>
            </w:tcBorders>
            <w:vAlign w:val="center"/>
          </w:tcPr>
          <w:p w14:paraId="36F9C9CC">
            <w:pPr>
              <w:spacing w:line="400" w:lineRule="exact"/>
              <w:jc w:val="center"/>
              <w:rPr>
                <w:rFonts w:ascii="宋体" w:hAnsi="宋体"/>
                <w:sz w:val="24"/>
              </w:rPr>
            </w:pPr>
          </w:p>
        </w:tc>
        <w:tc>
          <w:tcPr>
            <w:tcW w:w="1960" w:type="dxa"/>
            <w:tcBorders>
              <w:tl2br w:val="nil"/>
              <w:tr2bl w:val="nil"/>
            </w:tcBorders>
            <w:vAlign w:val="center"/>
          </w:tcPr>
          <w:p w14:paraId="56723321">
            <w:pPr>
              <w:spacing w:line="400" w:lineRule="exact"/>
              <w:jc w:val="center"/>
              <w:rPr>
                <w:rFonts w:ascii="宋体" w:hAnsi="宋体"/>
                <w:sz w:val="24"/>
              </w:rPr>
            </w:pPr>
          </w:p>
        </w:tc>
      </w:tr>
    </w:tbl>
    <w:p w14:paraId="6B0C70F7">
      <w:pPr>
        <w:spacing w:line="400" w:lineRule="exact"/>
        <w:rPr>
          <w:rFonts w:ascii="宋体" w:hAnsi="宋体" w:cs="宋体"/>
          <w:sz w:val="24"/>
        </w:rPr>
      </w:pPr>
    </w:p>
    <w:p w14:paraId="15F21FE9">
      <w:pPr>
        <w:pStyle w:val="5"/>
        <w:numPr>
          <w:ilvl w:val="0"/>
          <w:numId w:val="6"/>
        </w:numPr>
        <w:ind w:firstLine="480"/>
      </w:pPr>
      <w:r>
        <w:rPr>
          <w:rFonts w:hint="eastAsia"/>
        </w:rPr>
        <w:t>高压柜随机工具清单及供货（包含但不限于以下设备，投标方填写）。</w:t>
      </w:r>
    </w:p>
    <w:tbl>
      <w:tblPr>
        <w:tblStyle w:val="18"/>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2331"/>
        <w:gridCol w:w="2008"/>
        <w:gridCol w:w="784"/>
        <w:gridCol w:w="839"/>
        <w:gridCol w:w="1315"/>
        <w:gridCol w:w="1112"/>
      </w:tblGrid>
      <w:tr w14:paraId="6DAA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7" w:type="dxa"/>
            <w:tcBorders>
              <w:tl2br w:val="nil"/>
              <w:tr2bl w:val="nil"/>
            </w:tcBorders>
            <w:vAlign w:val="center"/>
          </w:tcPr>
          <w:p w14:paraId="413AA734">
            <w:pPr>
              <w:spacing w:line="400" w:lineRule="exact"/>
              <w:jc w:val="center"/>
              <w:rPr>
                <w:rFonts w:ascii="宋体" w:hAnsi="宋体"/>
                <w:sz w:val="24"/>
              </w:rPr>
            </w:pPr>
            <w:r>
              <w:rPr>
                <w:rFonts w:hint="eastAsia" w:ascii="宋体" w:hAnsi="宋体"/>
                <w:sz w:val="24"/>
              </w:rPr>
              <w:t>序号</w:t>
            </w:r>
          </w:p>
        </w:tc>
        <w:tc>
          <w:tcPr>
            <w:tcW w:w="2331" w:type="dxa"/>
            <w:tcBorders>
              <w:tl2br w:val="nil"/>
              <w:tr2bl w:val="nil"/>
            </w:tcBorders>
            <w:vAlign w:val="center"/>
          </w:tcPr>
          <w:p w14:paraId="48E659F4">
            <w:pPr>
              <w:spacing w:line="400" w:lineRule="exact"/>
              <w:jc w:val="center"/>
              <w:rPr>
                <w:rFonts w:ascii="宋体" w:hAnsi="宋体"/>
                <w:sz w:val="24"/>
              </w:rPr>
            </w:pPr>
            <w:r>
              <w:rPr>
                <w:rFonts w:hint="eastAsia" w:ascii="宋体" w:hAnsi="宋体"/>
                <w:sz w:val="24"/>
              </w:rPr>
              <w:t>名称</w:t>
            </w:r>
          </w:p>
        </w:tc>
        <w:tc>
          <w:tcPr>
            <w:tcW w:w="2008" w:type="dxa"/>
            <w:tcBorders>
              <w:tl2br w:val="nil"/>
              <w:tr2bl w:val="nil"/>
            </w:tcBorders>
            <w:vAlign w:val="center"/>
          </w:tcPr>
          <w:p w14:paraId="5D63AD4B">
            <w:pPr>
              <w:spacing w:line="400" w:lineRule="exact"/>
              <w:jc w:val="center"/>
              <w:rPr>
                <w:rFonts w:ascii="宋体" w:hAnsi="宋体"/>
                <w:sz w:val="24"/>
              </w:rPr>
            </w:pPr>
            <w:r>
              <w:rPr>
                <w:rFonts w:hint="eastAsia" w:ascii="宋体" w:hAnsi="宋体"/>
                <w:sz w:val="24"/>
              </w:rPr>
              <w:t>型号及规范</w:t>
            </w:r>
          </w:p>
        </w:tc>
        <w:tc>
          <w:tcPr>
            <w:tcW w:w="784" w:type="dxa"/>
            <w:tcBorders>
              <w:tl2br w:val="nil"/>
              <w:tr2bl w:val="nil"/>
            </w:tcBorders>
            <w:vAlign w:val="center"/>
          </w:tcPr>
          <w:p w14:paraId="1AF43919">
            <w:pPr>
              <w:spacing w:line="400" w:lineRule="exact"/>
              <w:jc w:val="center"/>
              <w:rPr>
                <w:rFonts w:ascii="宋体" w:hAnsi="宋体"/>
                <w:sz w:val="24"/>
              </w:rPr>
            </w:pPr>
            <w:r>
              <w:rPr>
                <w:rFonts w:hint="eastAsia" w:ascii="宋体" w:hAnsi="宋体"/>
                <w:sz w:val="24"/>
              </w:rPr>
              <w:t>单位</w:t>
            </w:r>
          </w:p>
        </w:tc>
        <w:tc>
          <w:tcPr>
            <w:tcW w:w="839" w:type="dxa"/>
            <w:tcBorders>
              <w:tl2br w:val="nil"/>
              <w:tr2bl w:val="nil"/>
            </w:tcBorders>
            <w:vAlign w:val="center"/>
          </w:tcPr>
          <w:p w14:paraId="107DAD9D">
            <w:pPr>
              <w:spacing w:line="400" w:lineRule="exact"/>
              <w:jc w:val="center"/>
              <w:rPr>
                <w:rFonts w:ascii="宋体" w:hAnsi="宋体"/>
                <w:sz w:val="24"/>
              </w:rPr>
            </w:pPr>
            <w:r>
              <w:rPr>
                <w:rFonts w:hint="eastAsia" w:ascii="宋体" w:hAnsi="宋体"/>
                <w:sz w:val="24"/>
              </w:rPr>
              <w:t>数量</w:t>
            </w:r>
          </w:p>
        </w:tc>
        <w:tc>
          <w:tcPr>
            <w:tcW w:w="1315" w:type="dxa"/>
            <w:tcBorders>
              <w:tl2br w:val="nil"/>
              <w:tr2bl w:val="nil"/>
            </w:tcBorders>
            <w:vAlign w:val="center"/>
          </w:tcPr>
          <w:p w14:paraId="5701F59B">
            <w:pPr>
              <w:spacing w:line="400" w:lineRule="exact"/>
              <w:jc w:val="center"/>
              <w:rPr>
                <w:rFonts w:ascii="宋体" w:hAnsi="宋体"/>
                <w:sz w:val="24"/>
              </w:rPr>
            </w:pPr>
            <w:r>
              <w:rPr>
                <w:rFonts w:hint="eastAsia" w:ascii="宋体" w:hAnsi="宋体"/>
                <w:sz w:val="24"/>
              </w:rPr>
              <w:t>用途</w:t>
            </w:r>
          </w:p>
        </w:tc>
        <w:tc>
          <w:tcPr>
            <w:tcW w:w="1112" w:type="dxa"/>
            <w:tcBorders>
              <w:tl2br w:val="nil"/>
              <w:tr2bl w:val="nil"/>
            </w:tcBorders>
            <w:vAlign w:val="center"/>
          </w:tcPr>
          <w:p w14:paraId="50CF47FC">
            <w:pPr>
              <w:spacing w:line="400" w:lineRule="exact"/>
              <w:jc w:val="center"/>
              <w:rPr>
                <w:rFonts w:ascii="宋体" w:hAnsi="宋体"/>
                <w:sz w:val="24"/>
              </w:rPr>
            </w:pPr>
            <w:r>
              <w:rPr>
                <w:rFonts w:hint="eastAsia" w:ascii="宋体" w:hAnsi="宋体"/>
                <w:sz w:val="24"/>
              </w:rPr>
              <w:t>备注</w:t>
            </w:r>
          </w:p>
        </w:tc>
      </w:tr>
      <w:tr w14:paraId="2B40A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667" w:type="dxa"/>
            <w:tcBorders>
              <w:tl2br w:val="nil"/>
              <w:tr2bl w:val="nil"/>
            </w:tcBorders>
            <w:vAlign w:val="center"/>
          </w:tcPr>
          <w:p w14:paraId="4F3D72C9">
            <w:pPr>
              <w:spacing w:line="400" w:lineRule="exact"/>
              <w:jc w:val="center"/>
              <w:rPr>
                <w:rFonts w:ascii="宋体" w:hAnsi="宋体"/>
                <w:sz w:val="24"/>
              </w:rPr>
            </w:pPr>
            <w:r>
              <w:rPr>
                <w:rFonts w:hint="eastAsia" w:ascii="宋体" w:hAnsi="宋体"/>
                <w:sz w:val="24"/>
              </w:rPr>
              <w:t>1</w:t>
            </w:r>
          </w:p>
        </w:tc>
        <w:tc>
          <w:tcPr>
            <w:tcW w:w="2331" w:type="dxa"/>
            <w:tcBorders>
              <w:tl2br w:val="nil"/>
              <w:tr2bl w:val="nil"/>
            </w:tcBorders>
            <w:vAlign w:val="center"/>
          </w:tcPr>
          <w:p w14:paraId="014B89F3">
            <w:pPr>
              <w:spacing w:line="400" w:lineRule="exact"/>
              <w:jc w:val="center"/>
              <w:rPr>
                <w:rFonts w:ascii="宋体" w:hAnsi="宋体"/>
                <w:sz w:val="24"/>
              </w:rPr>
            </w:pPr>
            <w:r>
              <w:rPr>
                <w:rFonts w:hint="eastAsia" w:ascii="宋体" w:hAnsi="宋体"/>
                <w:sz w:val="24"/>
              </w:rPr>
              <w:t>储能手把</w:t>
            </w:r>
          </w:p>
        </w:tc>
        <w:tc>
          <w:tcPr>
            <w:tcW w:w="2008" w:type="dxa"/>
            <w:tcBorders>
              <w:tl2br w:val="nil"/>
              <w:tr2bl w:val="nil"/>
            </w:tcBorders>
            <w:vAlign w:val="center"/>
          </w:tcPr>
          <w:p w14:paraId="0BEF87BC">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center"/>
          </w:tcPr>
          <w:p w14:paraId="4750A070">
            <w:pPr>
              <w:spacing w:line="400" w:lineRule="exact"/>
              <w:jc w:val="center"/>
              <w:rPr>
                <w:rFonts w:ascii="宋体" w:hAnsi="宋体"/>
                <w:sz w:val="24"/>
              </w:rPr>
            </w:pPr>
            <w:r>
              <w:rPr>
                <w:rFonts w:hint="eastAsia" w:ascii="宋体" w:hAnsi="宋体"/>
                <w:sz w:val="24"/>
              </w:rPr>
              <w:t>把</w:t>
            </w:r>
          </w:p>
        </w:tc>
        <w:tc>
          <w:tcPr>
            <w:tcW w:w="839" w:type="dxa"/>
            <w:tcBorders>
              <w:tl2br w:val="nil"/>
              <w:tr2bl w:val="nil"/>
            </w:tcBorders>
            <w:vAlign w:val="center"/>
          </w:tcPr>
          <w:p w14:paraId="6C82DF4F">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center"/>
          </w:tcPr>
          <w:p w14:paraId="09FD796A">
            <w:pPr>
              <w:spacing w:line="400" w:lineRule="exact"/>
              <w:jc w:val="center"/>
              <w:rPr>
                <w:rFonts w:ascii="宋体" w:hAnsi="宋体"/>
                <w:sz w:val="24"/>
              </w:rPr>
            </w:pPr>
            <w:r>
              <w:rPr>
                <w:rFonts w:hint="eastAsia" w:ascii="宋体" w:hAnsi="宋体"/>
                <w:sz w:val="24"/>
              </w:rPr>
              <w:t>储能用</w:t>
            </w:r>
          </w:p>
        </w:tc>
        <w:tc>
          <w:tcPr>
            <w:tcW w:w="1112" w:type="dxa"/>
            <w:tcBorders>
              <w:tl2br w:val="nil"/>
              <w:tr2bl w:val="nil"/>
            </w:tcBorders>
            <w:vAlign w:val="center"/>
          </w:tcPr>
          <w:p w14:paraId="147BA3EF">
            <w:pPr>
              <w:spacing w:line="400" w:lineRule="exact"/>
              <w:jc w:val="center"/>
              <w:rPr>
                <w:rFonts w:ascii="宋体" w:hAnsi="宋体"/>
                <w:sz w:val="24"/>
              </w:rPr>
            </w:pPr>
          </w:p>
        </w:tc>
      </w:tr>
      <w:tr w14:paraId="2B815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67" w:type="dxa"/>
            <w:tcBorders>
              <w:tl2br w:val="nil"/>
              <w:tr2bl w:val="nil"/>
            </w:tcBorders>
            <w:vAlign w:val="center"/>
          </w:tcPr>
          <w:p w14:paraId="270E80C6">
            <w:pPr>
              <w:spacing w:line="400" w:lineRule="exact"/>
              <w:jc w:val="center"/>
              <w:rPr>
                <w:rFonts w:ascii="宋体" w:hAnsi="宋体"/>
                <w:sz w:val="24"/>
              </w:rPr>
            </w:pPr>
            <w:r>
              <w:rPr>
                <w:rFonts w:hint="eastAsia" w:ascii="宋体" w:hAnsi="宋体"/>
                <w:sz w:val="24"/>
              </w:rPr>
              <w:t>2</w:t>
            </w:r>
          </w:p>
        </w:tc>
        <w:tc>
          <w:tcPr>
            <w:tcW w:w="2331" w:type="dxa"/>
            <w:tcBorders>
              <w:tl2br w:val="nil"/>
              <w:tr2bl w:val="nil"/>
            </w:tcBorders>
            <w:vAlign w:val="center"/>
          </w:tcPr>
          <w:p w14:paraId="22B5E1C8">
            <w:pPr>
              <w:spacing w:line="400" w:lineRule="exact"/>
              <w:jc w:val="center"/>
              <w:rPr>
                <w:rFonts w:ascii="宋体" w:hAnsi="宋体"/>
                <w:sz w:val="24"/>
              </w:rPr>
            </w:pPr>
            <w:r>
              <w:rPr>
                <w:rFonts w:hint="eastAsia" w:ascii="宋体" w:hAnsi="宋体"/>
                <w:sz w:val="24"/>
              </w:rPr>
              <w:t>进车摇把</w:t>
            </w:r>
          </w:p>
        </w:tc>
        <w:tc>
          <w:tcPr>
            <w:tcW w:w="2008" w:type="dxa"/>
            <w:tcBorders>
              <w:tl2br w:val="nil"/>
              <w:tr2bl w:val="nil"/>
            </w:tcBorders>
            <w:vAlign w:val="center"/>
          </w:tcPr>
          <w:p w14:paraId="7FFFA65A">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center"/>
          </w:tcPr>
          <w:p w14:paraId="5B7767DF">
            <w:pPr>
              <w:spacing w:line="400" w:lineRule="exact"/>
              <w:jc w:val="center"/>
              <w:rPr>
                <w:rFonts w:ascii="宋体" w:hAnsi="宋体"/>
                <w:sz w:val="24"/>
              </w:rPr>
            </w:pPr>
            <w:r>
              <w:rPr>
                <w:rFonts w:hint="eastAsia" w:ascii="宋体" w:hAnsi="宋体"/>
                <w:sz w:val="24"/>
              </w:rPr>
              <w:t>把</w:t>
            </w:r>
          </w:p>
        </w:tc>
        <w:tc>
          <w:tcPr>
            <w:tcW w:w="839" w:type="dxa"/>
            <w:tcBorders>
              <w:tl2br w:val="nil"/>
              <w:tr2bl w:val="nil"/>
            </w:tcBorders>
            <w:vAlign w:val="center"/>
          </w:tcPr>
          <w:p w14:paraId="7633EED8">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center"/>
          </w:tcPr>
          <w:p w14:paraId="67514779">
            <w:pPr>
              <w:spacing w:line="400" w:lineRule="exact"/>
              <w:jc w:val="center"/>
              <w:rPr>
                <w:rFonts w:ascii="宋体" w:hAnsi="宋体"/>
                <w:sz w:val="24"/>
              </w:rPr>
            </w:pPr>
            <w:r>
              <w:rPr>
                <w:rFonts w:hint="eastAsia" w:ascii="宋体" w:hAnsi="宋体"/>
                <w:sz w:val="24"/>
              </w:rPr>
              <w:t>进车</w:t>
            </w:r>
          </w:p>
        </w:tc>
        <w:tc>
          <w:tcPr>
            <w:tcW w:w="1112" w:type="dxa"/>
            <w:tcBorders>
              <w:tl2br w:val="nil"/>
              <w:tr2bl w:val="nil"/>
            </w:tcBorders>
            <w:vAlign w:val="center"/>
          </w:tcPr>
          <w:p w14:paraId="16BB0B17">
            <w:pPr>
              <w:spacing w:line="400" w:lineRule="exact"/>
              <w:jc w:val="center"/>
              <w:rPr>
                <w:rFonts w:ascii="宋体" w:hAnsi="宋体"/>
                <w:sz w:val="24"/>
              </w:rPr>
            </w:pPr>
          </w:p>
        </w:tc>
      </w:tr>
      <w:tr w14:paraId="2077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7" w:type="dxa"/>
            <w:tcBorders>
              <w:tl2br w:val="nil"/>
              <w:tr2bl w:val="nil"/>
            </w:tcBorders>
            <w:vAlign w:val="center"/>
          </w:tcPr>
          <w:p w14:paraId="47B08C32">
            <w:pPr>
              <w:spacing w:line="400" w:lineRule="exact"/>
              <w:jc w:val="center"/>
              <w:rPr>
                <w:rFonts w:ascii="宋体" w:hAnsi="宋体"/>
                <w:sz w:val="24"/>
              </w:rPr>
            </w:pPr>
            <w:r>
              <w:rPr>
                <w:rFonts w:hint="eastAsia" w:ascii="宋体" w:hAnsi="宋体"/>
                <w:sz w:val="24"/>
              </w:rPr>
              <w:t>3</w:t>
            </w:r>
          </w:p>
        </w:tc>
        <w:tc>
          <w:tcPr>
            <w:tcW w:w="2331" w:type="dxa"/>
            <w:tcBorders>
              <w:tl2br w:val="nil"/>
              <w:tr2bl w:val="nil"/>
            </w:tcBorders>
            <w:vAlign w:val="center"/>
          </w:tcPr>
          <w:p w14:paraId="5552BC6A">
            <w:pPr>
              <w:spacing w:line="400" w:lineRule="exact"/>
              <w:jc w:val="center"/>
              <w:rPr>
                <w:rFonts w:ascii="宋体" w:hAnsi="宋体"/>
                <w:sz w:val="24"/>
              </w:rPr>
            </w:pPr>
            <w:r>
              <w:rPr>
                <w:rFonts w:hint="eastAsia" w:ascii="宋体" w:hAnsi="宋体"/>
                <w:sz w:val="24"/>
              </w:rPr>
              <w:t>下门解锁操作手柄</w:t>
            </w:r>
          </w:p>
        </w:tc>
        <w:tc>
          <w:tcPr>
            <w:tcW w:w="2008" w:type="dxa"/>
            <w:tcBorders>
              <w:tl2br w:val="nil"/>
              <w:tr2bl w:val="nil"/>
            </w:tcBorders>
            <w:vAlign w:val="center"/>
          </w:tcPr>
          <w:p w14:paraId="154A89D2">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center"/>
          </w:tcPr>
          <w:p w14:paraId="31FA73B9">
            <w:pPr>
              <w:spacing w:line="400" w:lineRule="exact"/>
              <w:jc w:val="center"/>
              <w:rPr>
                <w:rFonts w:ascii="宋体" w:hAnsi="宋体"/>
                <w:sz w:val="24"/>
              </w:rPr>
            </w:pPr>
            <w:r>
              <w:rPr>
                <w:rFonts w:hint="eastAsia" w:ascii="宋体" w:hAnsi="宋体"/>
                <w:sz w:val="24"/>
              </w:rPr>
              <w:t>个</w:t>
            </w:r>
          </w:p>
        </w:tc>
        <w:tc>
          <w:tcPr>
            <w:tcW w:w="839" w:type="dxa"/>
            <w:tcBorders>
              <w:tl2br w:val="nil"/>
              <w:tr2bl w:val="nil"/>
            </w:tcBorders>
            <w:vAlign w:val="center"/>
          </w:tcPr>
          <w:p w14:paraId="60464554">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center"/>
          </w:tcPr>
          <w:p w14:paraId="6580DC17">
            <w:pPr>
              <w:spacing w:line="400" w:lineRule="exact"/>
              <w:jc w:val="center"/>
              <w:rPr>
                <w:rFonts w:ascii="宋体" w:hAnsi="宋体"/>
                <w:sz w:val="24"/>
              </w:rPr>
            </w:pPr>
            <w:r>
              <w:rPr>
                <w:rFonts w:hint="eastAsia" w:ascii="宋体" w:hAnsi="宋体"/>
                <w:sz w:val="24"/>
              </w:rPr>
              <w:t>下门解锁</w:t>
            </w:r>
          </w:p>
        </w:tc>
        <w:tc>
          <w:tcPr>
            <w:tcW w:w="1112" w:type="dxa"/>
            <w:tcBorders>
              <w:tl2br w:val="nil"/>
              <w:tr2bl w:val="nil"/>
            </w:tcBorders>
            <w:vAlign w:val="center"/>
          </w:tcPr>
          <w:p w14:paraId="05BEA8DA">
            <w:pPr>
              <w:spacing w:line="400" w:lineRule="exact"/>
              <w:jc w:val="center"/>
              <w:rPr>
                <w:rFonts w:ascii="宋体" w:hAnsi="宋体"/>
                <w:sz w:val="24"/>
              </w:rPr>
            </w:pPr>
          </w:p>
        </w:tc>
      </w:tr>
      <w:tr w14:paraId="61B4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7" w:type="dxa"/>
            <w:tcBorders>
              <w:tl2br w:val="nil"/>
              <w:tr2bl w:val="nil"/>
            </w:tcBorders>
            <w:vAlign w:val="center"/>
          </w:tcPr>
          <w:p w14:paraId="4C9C269F">
            <w:pPr>
              <w:spacing w:line="400" w:lineRule="exact"/>
              <w:jc w:val="center"/>
              <w:rPr>
                <w:rFonts w:ascii="宋体" w:hAnsi="宋体"/>
                <w:sz w:val="24"/>
              </w:rPr>
            </w:pPr>
            <w:r>
              <w:rPr>
                <w:rFonts w:hint="eastAsia" w:ascii="宋体" w:hAnsi="宋体"/>
                <w:sz w:val="24"/>
              </w:rPr>
              <w:t>4</w:t>
            </w:r>
          </w:p>
        </w:tc>
        <w:tc>
          <w:tcPr>
            <w:tcW w:w="2331" w:type="dxa"/>
            <w:tcBorders>
              <w:tl2br w:val="nil"/>
              <w:tr2bl w:val="nil"/>
            </w:tcBorders>
            <w:vAlign w:val="center"/>
          </w:tcPr>
          <w:p w14:paraId="49B54DBF">
            <w:pPr>
              <w:spacing w:line="400" w:lineRule="exact"/>
              <w:jc w:val="center"/>
              <w:rPr>
                <w:rFonts w:ascii="宋体" w:hAnsi="宋体"/>
                <w:sz w:val="24"/>
              </w:rPr>
            </w:pPr>
            <w:r>
              <w:rPr>
                <w:rFonts w:hint="eastAsia" w:ascii="宋体" w:hAnsi="宋体"/>
                <w:sz w:val="24"/>
              </w:rPr>
              <w:t>手车解锁操作手柄</w:t>
            </w:r>
          </w:p>
        </w:tc>
        <w:tc>
          <w:tcPr>
            <w:tcW w:w="2008" w:type="dxa"/>
            <w:tcBorders>
              <w:tl2br w:val="nil"/>
              <w:tr2bl w:val="nil"/>
            </w:tcBorders>
            <w:vAlign w:val="center"/>
          </w:tcPr>
          <w:p w14:paraId="509B7318">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center"/>
          </w:tcPr>
          <w:p w14:paraId="04FB9FDE">
            <w:pPr>
              <w:spacing w:line="400" w:lineRule="exact"/>
              <w:jc w:val="center"/>
              <w:rPr>
                <w:rFonts w:ascii="宋体" w:hAnsi="宋体"/>
                <w:sz w:val="24"/>
              </w:rPr>
            </w:pPr>
            <w:r>
              <w:rPr>
                <w:rFonts w:hint="eastAsia" w:ascii="宋体" w:hAnsi="宋体"/>
                <w:sz w:val="24"/>
              </w:rPr>
              <w:t>个</w:t>
            </w:r>
          </w:p>
        </w:tc>
        <w:tc>
          <w:tcPr>
            <w:tcW w:w="839" w:type="dxa"/>
            <w:tcBorders>
              <w:tl2br w:val="nil"/>
              <w:tr2bl w:val="nil"/>
            </w:tcBorders>
            <w:vAlign w:val="center"/>
          </w:tcPr>
          <w:p w14:paraId="64294F7B">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center"/>
          </w:tcPr>
          <w:p w14:paraId="26F4141F">
            <w:pPr>
              <w:spacing w:line="400" w:lineRule="exact"/>
              <w:jc w:val="center"/>
              <w:rPr>
                <w:rFonts w:ascii="宋体" w:hAnsi="宋体"/>
                <w:sz w:val="24"/>
              </w:rPr>
            </w:pPr>
            <w:r>
              <w:rPr>
                <w:rFonts w:hint="eastAsia" w:ascii="宋体" w:hAnsi="宋体"/>
                <w:sz w:val="24"/>
              </w:rPr>
              <w:t>手车解锁</w:t>
            </w:r>
          </w:p>
        </w:tc>
        <w:tc>
          <w:tcPr>
            <w:tcW w:w="1112" w:type="dxa"/>
            <w:tcBorders>
              <w:tl2br w:val="nil"/>
              <w:tr2bl w:val="nil"/>
            </w:tcBorders>
            <w:vAlign w:val="center"/>
          </w:tcPr>
          <w:p w14:paraId="397616FC">
            <w:pPr>
              <w:spacing w:line="400" w:lineRule="exact"/>
              <w:jc w:val="center"/>
              <w:rPr>
                <w:rFonts w:ascii="宋体" w:hAnsi="宋体"/>
                <w:sz w:val="24"/>
              </w:rPr>
            </w:pPr>
          </w:p>
        </w:tc>
      </w:tr>
      <w:tr w14:paraId="63413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67" w:type="dxa"/>
            <w:tcBorders>
              <w:tl2br w:val="nil"/>
              <w:tr2bl w:val="nil"/>
            </w:tcBorders>
            <w:vAlign w:val="center"/>
          </w:tcPr>
          <w:p w14:paraId="10D8E364">
            <w:pPr>
              <w:spacing w:line="400" w:lineRule="exact"/>
              <w:jc w:val="center"/>
              <w:rPr>
                <w:rFonts w:ascii="宋体" w:hAnsi="宋体"/>
                <w:sz w:val="24"/>
              </w:rPr>
            </w:pPr>
            <w:r>
              <w:rPr>
                <w:rFonts w:hint="eastAsia" w:ascii="宋体" w:hAnsi="宋体"/>
                <w:sz w:val="24"/>
              </w:rPr>
              <w:t>5</w:t>
            </w:r>
          </w:p>
        </w:tc>
        <w:tc>
          <w:tcPr>
            <w:tcW w:w="2331" w:type="dxa"/>
            <w:tcBorders>
              <w:tl2br w:val="nil"/>
              <w:tr2bl w:val="nil"/>
            </w:tcBorders>
            <w:vAlign w:val="center"/>
          </w:tcPr>
          <w:p w14:paraId="7E8DB7B5">
            <w:pPr>
              <w:spacing w:line="400" w:lineRule="exact"/>
              <w:jc w:val="center"/>
              <w:rPr>
                <w:rFonts w:ascii="宋体" w:hAnsi="宋体"/>
                <w:sz w:val="24"/>
              </w:rPr>
            </w:pPr>
            <w:r>
              <w:rPr>
                <w:rFonts w:hint="eastAsia" w:ascii="宋体" w:hAnsi="宋体"/>
                <w:sz w:val="24"/>
              </w:rPr>
              <w:t>接地开关合闸手柄</w:t>
            </w:r>
          </w:p>
        </w:tc>
        <w:tc>
          <w:tcPr>
            <w:tcW w:w="2008" w:type="dxa"/>
            <w:tcBorders>
              <w:tl2br w:val="nil"/>
              <w:tr2bl w:val="nil"/>
            </w:tcBorders>
            <w:vAlign w:val="center"/>
          </w:tcPr>
          <w:p w14:paraId="35D6DB21">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center"/>
          </w:tcPr>
          <w:p w14:paraId="02B9AE7B">
            <w:pPr>
              <w:spacing w:line="400" w:lineRule="exact"/>
              <w:jc w:val="center"/>
              <w:rPr>
                <w:rFonts w:ascii="宋体" w:hAnsi="宋体"/>
                <w:sz w:val="24"/>
              </w:rPr>
            </w:pPr>
            <w:r>
              <w:rPr>
                <w:rFonts w:hint="eastAsia" w:ascii="宋体" w:hAnsi="宋体"/>
                <w:sz w:val="24"/>
              </w:rPr>
              <w:t>个</w:t>
            </w:r>
          </w:p>
        </w:tc>
        <w:tc>
          <w:tcPr>
            <w:tcW w:w="839" w:type="dxa"/>
            <w:tcBorders>
              <w:tl2br w:val="nil"/>
              <w:tr2bl w:val="nil"/>
            </w:tcBorders>
            <w:vAlign w:val="center"/>
          </w:tcPr>
          <w:p w14:paraId="0D3D4228">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center"/>
          </w:tcPr>
          <w:p w14:paraId="31A48468">
            <w:pPr>
              <w:spacing w:line="400" w:lineRule="exact"/>
              <w:jc w:val="center"/>
              <w:rPr>
                <w:rFonts w:ascii="宋体" w:hAnsi="宋体"/>
                <w:sz w:val="24"/>
              </w:rPr>
            </w:pPr>
            <w:r>
              <w:rPr>
                <w:rFonts w:hint="eastAsia" w:ascii="宋体" w:hAnsi="宋体"/>
                <w:sz w:val="24"/>
              </w:rPr>
              <w:t>合分接地开关</w:t>
            </w:r>
          </w:p>
        </w:tc>
        <w:tc>
          <w:tcPr>
            <w:tcW w:w="1112" w:type="dxa"/>
            <w:tcBorders>
              <w:tl2br w:val="nil"/>
              <w:tr2bl w:val="nil"/>
            </w:tcBorders>
            <w:vAlign w:val="center"/>
          </w:tcPr>
          <w:p w14:paraId="3B4B6E12">
            <w:pPr>
              <w:spacing w:line="400" w:lineRule="exact"/>
              <w:jc w:val="center"/>
              <w:rPr>
                <w:rFonts w:ascii="宋体" w:hAnsi="宋体"/>
                <w:sz w:val="24"/>
              </w:rPr>
            </w:pPr>
          </w:p>
        </w:tc>
      </w:tr>
      <w:tr w14:paraId="5C0A1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67" w:type="dxa"/>
            <w:tcBorders>
              <w:tl2br w:val="nil"/>
              <w:tr2bl w:val="nil"/>
            </w:tcBorders>
            <w:vAlign w:val="center"/>
          </w:tcPr>
          <w:p w14:paraId="4D71AAB0">
            <w:pPr>
              <w:spacing w:line="400" w:lineRule="exact"/>
              <w:jc w:val="center"/>
              <w:rPr>
                <w:rFonts w:ascii="宋体" w:hAnsi="宋体"/>
                <w:sz w:val="24"/>
              </w:rPr>
            </w:pPr>
            <w:r>
              <w:rPr>
                <w:rFonts w:hint="eastAsia" w:ascii="宋体" w:hAnsi="宋体"/>
                <w:sz w:val="24"/>
              </w:rPr>
              <w:t>6</w:t>
            </w:r>
          </w:p>
        </w:tc>
        <w:tc>
          <w:tcPr>
            <w:tcW w:w="2331" w:type="dxa"/>
            <w:tcBorders>
              <w:tl2br w:val="nil"/>
              <w:tr2bl w:val="nil"/>
            </w:tcBorders>
            <w:vAlign w:val="center"/>
          </w:tcPr>
          <w:p w14:paraId="0046712A">
            <w:pPr>
              <w:spacing w:line="400" w:lineRule="exact"/>
              <w:jc w:val="center"/>
              <w:rPr>
                <w:rFonts w:ascii="宋体" w:hAnsi="宋体"/>
                <w:sz w:val="24"/>
              </w:rPr>
            </w:pPr>
            <w:r>
              <w:rPr>
                <w:rFonts w:hint="eastAsia" w:ascii="宋体" w:hAnsi="宋体"/>
                <w:sz w:val="24"/>
              </w:rPr>
              <w:t>门锁钥匙</w:t>
            </w:r>
          </w:p>
        </w:tc>
        <w:tc>
          <w:tcPr>
            <w:tcW w:w="2008" w:type="dxa"/>
            <w:tcBorders>
              <w:tl2br w:val="nil"/>
              <w:tr2bl w:val="nil"/>
            </w:tcBorders>
            <w:vAlign w:val="center"/>
          </w:tcPr>
          <w:p w14:paraId="6DF4FAAE">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center"/>
          </w:tcPr>
          <w:p w14:paraId="0BB1B872">
            <w:pPr>
              <w:spacing w:line="400" w:lineRule="exact"/>
              <w:jc w:val="center"/>
              <w:rPr>
                <w:rFonts w:ascii="宋体" w:hAnsi="宋体"/>
                <w:sz w:val="24"/>
              </w:rPr>
            </w:pPr>
            <w:r>
              <w:rPr>
                <w:rFonts w:hint="eastAsia" w:ascii="宋体" w:hAnsi="宋体"/>
                <w:sz w:val="24"/>
              </w:rPr>
              <w:t>把</w:t>
            </w:r>
          </w:p>
        </w:tc>
        <w:tc>
          <w:tcPr>
            <w:tcW w:w="839" w:type="dxa"/>
            <w:tcBorders>
              <w:tl2br w:val="nil"/>
              <w:tr2bl w:val="nil"/>
            </w:tcBorders>
            <w:vAlign w:val="center"/>
          </w:tcPr>
          <w:p w14:paraId="356192E1">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center"/>
          </w:tcPr>
          <w:p w14:paraId="74B48DD4">
            <w:pPr>
              <w:spacing w:line="400" w:lineRule="exact"/>
              <w:jc w:val="center"/>
              <w:rPr>
                <w:rFonts w:ascii="宋体" w:hAnsi="宋体"/>
                <w:sz w:val="24"/>
              </w:rPr>
            </w:pPr>
            <w:r>
              <w:rPr>
                <w:rFonts w:hint="eastAsia" w:ascii="宋体" w:hAnsi="宋体"/>
                <w:sz w:val="24"/>
              </w:rPr>
              <w:t>开门</w:t>
            </w:r>
          </w:p>
        </w:tc>
        <w:tc>
          <w:tcPr>
            <w:tcW w:w="1112" w:type="dxa"/>
            <w:tcBorders>
              <w:tl2br w:val="nil"/>
              <w:tr2bl w:val="nil"/>
            </w:tcBorders>
            <w:vAlign w:val="center"/>
          </w:tcPr>
          <w:p w14:paraId="2EEC9B72">
            <w:pPr>
              <w:spacing w:line="400" w:lineRule="exact"/>
              <w:jc w:val="center"/>
              <w:rPr>
                <w:rFonts w:ascii="宋体" w:hAnsi="宋体"/>
                <w:sz w:val="24"/>
              </w:rPr>
            </w:pPr>
          </w:p>
        </w:tc>
      </w:tr>
      <w:tr w14:paraId="49159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7" w:type="dxa"/>
            <w:tcBorders>
              <w:tl2br w:val="nil"/>
              <w:tr2bl w:val="nil"/>
            </w:tcBorders>
            <w:vAlign w:val="bottom"/>
          </w:tcPr>
          <w:p w14:paraId="39F51394">
            <w:pPr>
              <w:spacing w:line="400" w:lineRule="exact"/>
              <w:jc w:val="center"/>
              <w:rPr>
                <w:rFonts w:ascii="宋体" w:hAnsi="宋体"/>
                <w:sz w:val="24"/>
              </w:rPr>
            </w:pPr>
            <w:r>
              <w:rPr>
                <w:rFonts w:hint="eastAsia" w:ascii="宋体" w:hAnsi="宋体"/>
                <w:sz w:val="24"/>
              </w:rPr>
              <w:t>7</w:t>
            </w:r>
          </w:p>
        </w:tc>
        <w:tc>
          <w:tcPr>
            <w:tcW w:w="2331" w:type="dxa"/>
            <w:tcBorders>
              <w:tl2br w:val="nil"/>
              <w:tr2bl w:val="nil"/>
            </w:tcBorders>
            <w:vAlign w:val="bottom"/>
          </w:tcPr>
          <w:p w14:paraId="1F2E2955">
            <w:pPr>
              <w:spacing w:line="400" w:lineRule="exact"/>
              <w:jc w:val="center"/>
              <w:rPr>
                <w:rFonts w:ascii="宋体" w:hAnsi="宋体"/>
                <w:sz w:val="24"/>
              </w:rPr>
            </w:pPr>
            <w:r>
              <w:rPr>
                <w:rFonts w:hint="eastAsia" w:ascii="宋体" w:hAnsi="宋体"/>
                <w:sz w:val="24"/>
              </w:rPr>
              <w:t>进车轨道（真空）</w:t>
            </w:r>
          </w:p>
        </w:tc>
        <w:tc>
          <w:tcPr>
            <w:tcW w:w="2008" w:type="dxa"/>
            <w:tcBorders>
              <w:tl2br w:val="nil"/>
              <w:tr2bl w:val="nil"/>
            </w:tcBorders>
            <w:vAlign w:val="bottom"/>
          </w:tcPr>
          <w:p w14:paraId="04F5DE07">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bottom"/>
          </w:tcPr>
          <w:p w14:paraId="6F258F58">
            <w:pPr>
              <w:spacing w:line="400" w:lineRule="exact"/>
              <w:jc w:val="center"/>
              <w:rPr>
                <w:rFonts w:ascii="宋体" w:hAnsi="宋体"/>
                <w:sz w:val="24"/>
              </w:rPr>
            </w:pPr>
            <w:r>
              <w:rPr>
                <w:rFonts w:hint="eastAsia" w:ascii="宋体" w:hAnsi="宋体"/>
                <w:sz w:val="24"/>
              </w:rPr>
              <w:t>把</w:t>
            </w:r>
          </w:p>
        </w:tc>
        <w:tc>
          <w:tcPr>
            <w:tcW w:w="839" w:type="dxa"/>
            <w:tcBorders>
              <w:tl2br w:val="nil"/>
              <w:tr2bl w:val="nil"/>
            </w:tcBorders>
            <w:vAlign w:val="center"/>
          </w:tcPr>
          <w:p w14:paraId="695230AC">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bottom"/>
          </w:tcPr>
          <w:p w14:paraId="32A070CC">
            <w:pPr>
              <w:spacing w:line="400" w:lineRule="exact"/>
              <w:jc w:val="center"/>
              <w:rPr>
                <w:rFonts w:ascii="宋体" w:hAnsi="宋体"/>
                <w:sz w:val="24"/>
              </w:rPr>
            </w:pPr>
            <w:r>
              <w:rPr>
                <w:rFonts w:hint="eastAsia" w:ascii="宋体" w:hAnsi="宋体"/>
                <w:sz w:val="24"/>
              </w:rPr>
              <w:t>进车</w:t>
            </w:r>
          </w:p>
        </w:tc>
        <w:tc>
          <w:tcPr>
            <w:tcW w:w="1112" w:type="dxa"/>
            <w:tcBorders>
              <w:tl2br w:val="nil"/>
              <w:tr2bl w:val="nil"/>
            </w:tcBorders>
            <w:vAlign w:val="bottom"/>
          </w:tcPr>
          <w:p w14:paraId="31CCF1F0">
            <w:pPr>
              <w:spacing w:line="400" w:lineRule="exact"/>
              <w:jc w:val="center"/>
              <w:rPr>
                <w:rFonts w:ascii="宋体" w:hAnsi="宋体"/>
                <w:sz w:val="24"/>
              </w:rPr>
            </w:pPr>
          </w:p>
        </w:tc>
      </w:tr>
      <w:tr w14:paraId="1C75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7" w:type="dxa"/>
            <w:tcBorders>
              <w:tl2br w:val="nil"/>
              <w:tr2bl w:val="nil"/>
            </w:tcBorders>
            <w:vAlign w:val="bottom"/>
          </w:tcPr>
          <w:p w14:paraId="7D623781">
            <w:pPr>
              <w:spacing w:line="400" w:lineRule="exact"/>
              <w:jc w:val="center"/>
              <w:rPr>
                <w:rFonts w:ascii="宋体" w:hAnsi="宋体"/>
                <w:sz w:val="24"/>
              </w:rPr>
            </w:pPr>
            <w:r>
              <w:rPr>
                <w:rFonts w:ascii="宋体" w:hAnsi="宋体"/>
                <w:sz w:val="24"/>
              </w:rPr>
              <w:t>8</w:t>
            </w:r>
          </w:p>
        </w:tc>
        <w:tc>
          <w:tcPr>
            <w:tcW w:w="2331" w:type="dxa"/>
            <w:tcBorders>
              <w:tl2br w:val="nil"/>
              <w:tr2bl w:val="nil"/>
            </w:tcBorders>
            <w:vAlign w:val="bottom"/>
          </w:tcPr>
          <w:p w14:paraId="55148FF1">
            <w:pPr>
              <w:spacing w:line="400" w:lineRule="exact"/>
              <w:jc w:val="center"/>
              <w:rPr>
                <w:rFonts w:ascii="宋体" w:hAnsi="宋体"/>
                <w:sz w:val="24"/>
              </w:rPr>
            </w:pPr>
            <w:r>
              <w:rPr>
                <w:rFonts w:hint="eastAsia" w:ascii="宋体" w:hAnsi="宋体"/>
                <w:sz w:val="24"/>
              </w:rPr>
              <w:t>接地小车</w:t>
            </w:r>
          </w:p>
        </w:tc>
        <w:tc>
          <w:tcPr>
            <w:tcW w:w="2008" w:type="dxa"/>
            <w:tcBorders>
              <w:tl2br w:val="nil"/>
              <w:tr2bl w:val="nil"/>
            </w:tcBorders>
            <w:vAlign w:val="bottom"/>
          </w:tcPr>
          <w:p w14:paraId="1DECD6B0">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bottom"/>
          </w:tcPr>
          <w:p w14:paraId="7A4E3438">
            <w:pPr>
              <w:spacing w:line="400" w:lineRule="exact"/>
              <w:jc w:val="center"/>
              <w:rPr>
                <w:rFonts w:ascii="宋体" w:hAnsi="宋体"/>
                <w:sz w:val="24"/>
              </w:rPr>
            </w:pPr>
            <w:r>
              <w:rPr>
                <w:rFonts w:hint="eastAsia" w:ascii="宋体" w:hAnsi="宋体"/>
                <w:sz w:val="24"/>
              </w:rPr>
              <w:t>台</w:t>
            </w:r>
          </w:p>
        </w:tc>
        <w:tc>
          <w:tcPr>
            <w:tcW w:w="839" w:type="dxa"/>
            <w:tcBorders>
              <w:tl2br w:val="nil"/>
              <w:tr2bl w:val="nil"/>
            </w:tcBorders>
            <w:vAlign w:val="center"/>
          </w:tcPr>
          <w:p w14:paraId="1C5EF3AB">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bottom"/>
          </w:tcPr>
          <w:p w14:paraId="40362F68">
            <w:pPr>
              <w:spacing w:line="400" w:lineRule="exact"/>
              <w:jc w:val="center"/>
              <w:rPr>
                <w:rFonts w:ascii="宋体" w:hAnsi="宋体"/>
                <w:sz w:val="24"/>
              </w:rPr>
            </w:pPr>
            <w:r>
              <w:rPr>
                <w:rFonts w:hint="eastAsia" w:ascii="宋体" w:hAnsi="宋体"/>
                <w:sz w:val="24"/>
              </w:rPr>
              <w:t>进车</w:t>
            </w:r>
          </w:p>
        </w:tc>
        <w:tc>
          <w:tcPr>
            <w:tcW w:w="1112" w:type="dxa"/>
            <w:tcBorders>
              <w:tl2br w:val="nil"/>
              <w:tr2bl w:val="nil"/>
            </w:tcBorders>
            <w:vAlign w:val="bottom"/>
          </w:tcPr>
          <w:p w14:paraId="6CC27759">
            <w:pPr>
              <w:spacing w:line="400" w:lineRule="exact"/>
              <w:jc w:val="center"/>
              <w:rPr>
                <w:rFonts w:ascii="宋体" w:hAnsi="宋体"/>
                <w:sz w:val="24"/>
              </w:rPr>
            </w:pPr>
          </w:p>
        </w:tc>
      </w:tr>
      <w:tr w14:paraId="3998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67" w:type="dxa"/>
            <w:tcBorders>
              <w:tl2br w:val="nil"/>
              <w:tr2bl w:val="nil"/>
            </w:tcBorders>
            <w:vAlign w:val="bottom"/>
          </w:tcPr>
          <w:p w14:paraId="4D46A1DA">
            <w:pPr>
              <w:spacing w:line="400" w:lineRule="exact"/>
              <w:jc w:val="center"/>
              <w:rPr>
                <w:rFonts w:ascii="宋体" w:hAnsi="宋体"/>
                <w:sz w:val="24"/>
              </w:rPr>
            </w:pPr>
            <w:r>
              <w:rPr>
                <w:rFonts w:ascii="宋体" w:hAnsi="宋体"/>
                <w:sz w:val="24"/>
              </w:rPr>
              <w:t>9</w:t>
            </w:r>
          </w:p>
        </w:tc>
        <w:tc>
          <w:tcPr>
            <w:tcW w:w="2331" w:type="dxa"/>
            <w:tcBorders>
              <w:tl2br w:val="nil"/>
              <w:tr2bl w:val="nil"/>
            </w:tcBorders>
            <w:vAlign w:val="bottom"/>
          </w:tcPr>
          <w:p w14:paraId="490309D4">
            <w:pPr>
              <w:spacing w:line="400" w:lineRule="exact"/>
              <w:jc w:val="center"/>
              <w:rPr>
                <w:rFonts w:ascii="宋体" w:hAnsi="宋体"/>
                <w:sz w:val="24"/>
              </w:rPr>
            </w:pPr>
            <w:r>
              <w:rPr>
                <w:rFonts w:hint="eastAsia" w:ascii="宋体" w:hAnsi="宋体"/>
                <w:sz w:val="24"/>
              </w:rPr>
              <w:t>验电小车</w:t>
            </w:r>
          </w:p>
        </w:tc>
        <w:tc>
          <w:tcPr>
            <w:tcW w:w="2008" w:type="dxa"/>
            <w:tcBorders>
              <w:tl2br w:val="nil"/>
              <w:tr2bl w:val="nil"/>
            </w:tcBorders>
            <w:vAlign w:val="bottom"/>
          </w:tcPr>
          <w:p w14:paraId="676F6330">
            <w:pPr>
              <w:spacing w:line="400" w:lineRule="exact"/>
              <w:jc w:val="center"/>
              <w:rPr>
                <w:rFonts w:ascii="宋体" w:hAnsi="宋体"/>
                <w:sz w:val="24"/>
              </w:rPr>
            </w:pPr>
            <w:r>
              <w:rPr>
                <w:rFonts w:hint="eastAsia" w:ascii="宋体" w:hAnsi="宋体"/>
                <w:sz w:val="24"/>
              </w:rPr>
              <w:t>投标厂产品专用</w:t>
            </w:r>
          </w:p>
        </w:tc>
        <w:tc>
          <w:tcPr>
            <w:tcW w:w="784" w:type="dxa"/>
            <w:tcBorders>
              <w:tl2br w:val="nil"/>
              <w:tr2bl w:val="nil"/>
            </w:tcBorders>
            <w:vAlign w:val="bottom"/>
          </w:tcPr>
          <w:p w14:paraId="6541B766">
            <w:pPr>
              <w:spacing w:line="400" w:lineRule="exact"/>
              <w:jc w:val="center"/>
              <w:rPr>
                <w:rFonts w:ascii="宋体" w:hAnsi="宋体"/>
                <w:sz w:val="24"/>
              </w:rPr>
            </w:pPr>
            <w:r>
              <w:rPr>
                <w:rFonts w:hint="eastAsia" w:ascii="宋体" w:hAnsi="宋体"/>
                <w:sz w:val="24"/>
              </w:rPr>
              <w:t>台</w:t>
            </w:r>
          </w:p>
        </w:tc>
        <w:tc>
          <w:tcPr>
            <w:tcW w:w="839" w:type="dxa"/>
            <w:tcBorders>
              <w:tl2br w:val="nil"/>
              <w:tr2bl w:val="nil"/>
            </w:tcBorders>
            <w:vAlign w:val="center"/>
          </w:tcPr>
          <w:p w14:paraId="6576D4C7">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bottom"/>
          </w:tcPr>
          <w:p w14:paraId="5D2A713D">
            <w:pPr>
              <w:spacing w:line="400" w:lineRule="exact"/>
              <w:jc w:val="center"/>
              <w:rPr>
                <w:rFonts w:ascii="宋体" w:hAnsi="宋体"/>
                <w:sz w:val="24"/>
              </w:rPr>
            </w:pPr>
            <w:r>
              <w:rPr>
                <w:rFonts w:hint="eastAsia" w:ascii="宋体" w:hAnsi="宋体"/>
                <w:sz w:val="24"/>
              </w:rPr>
              <w:t>进车</w:t>
            </w:r>
          </w:p>
        </w:tc>
        <w:tc>
          <w:tcPr>
            <w:tcW w:w="1112" w:type="dxa"/>
            <w:tcBorders>
              <w:tl2br w:val="nil"/>
              <w:tr2bl w:val="nil"/>
            </w:tcBorders>
            <w:vAlign w:val="bottom"/>
          </w:tcPr>
          <w:p w14:paraId="492121A4">
            <w:pPr>
              <w:spacing w:line="400" w:lineRule="exact"/>
              <w:jc w:val="center"/>
              <w:rPr>
                <w:rFonts w:ascii="宋体" w:hAnsi="宋体"/>
                <w:sz w:val="24"/>
              </w:rPr>
            </w:pPr>
          </w:p>
        </w:tc>
      </w:tr>
      <w:tr w14:paraId="21FE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667" w:type="dxa"/>
            <w:tcBorders>
              <w:tl2br w:val="nil"/>
              <w:tr2bl w:val="nil"/>
            </w:tcBorders>
            <w:vAlign w:val="bottom"/>
          </w:tcPr>
          <w:p w14:paraId="4EE4839B">
            <w:pPr>
              <w:spacing w:line="400" w:lineRule="exact"/>
              <w:jc w:val="center"/>
              <w:rPr>
                <w:rFonts w:ascii="宋体" w:hAnsi="宋体"/>
                <w:sz w:val="24"/>
              </w:rPr>
            </w:pPr>
            <w:r>
              <w:rPr>
                <w:rFonts w:hint="eastAsia" w:ascii="宋体" w:hAnsi="宋体"/>
                <w:sz w:val="24"/>
              </w:rPr>
              <w:t>10</w:t>
            </w:r>
          </w:p>
        </w:tc>
        <w:tc>
          <w:tcPr>
            <w:tcW w:w="2331" w:type="dxa"/>
            <w:tcBorders>
              <w:tl2br w:val="nil"/>
              <w:tr2bl w:val="nil"/>
            </w:tcBorders>
            <w:vAlign w:val="bottom"/>
          </w:tcPr>
          <w:p w14:paraId="25AF652C">
            <w:pPr>
              <w:spacing w:line="400" w:lineRule="exact"/>
              <w:jc w:val="center"/>
              <w:rPr>
                <w:rFonts w:ascii="宋体" w:hAnsi="宋体"/>
                <w:sz w:val="24"/>
              </w:rPr>
            </w:pPr>
            <w:r>
              <w:rPr>
                <w:rFonts w:hint="eastAsia" w:ascii="宋体" w:hAnsi="宋体"/>
                <w:sz w:val="24"/>
              </w:rPr>
              <w:t>托盘手车</w:t>
            </w:r>
          </w:p>
        </w:tc>
        <w:tc>
          <w:tcPr>
            <w:tcW w:w="2008" w:type="dxa"/>
            <w:tcBorders>
              <w:tl2br w:val="nil"/>
              <w:tr2bl w:val="nil"/>
            </w:tcBorders>
            <w:vAlign w:val="bottom"/>
          </w:tcPr>
          <w:p w14:paraId="15A127CD">
            <w:pPr>
              <w:spacing w:line="400" w:lineRule="exact"/>
              <w:jc w:val="center"/>
              <w:rPr>
                <w:rFonts w:ascii="宋体" w:hAnsi="宋体"/>
                <w:sz w:val="24"/>
              </w:rPr>
            </w:pPr>
          </w:p>
        </w:tc>
        <w:tc>
          <w:tcPr>
            <w:tcW w:w="784" w:type="dxa"/>
            <w:tcBorders>
              <w:tl2br w:val="nil"/>
              <w:tr2bl w:val="nil"/>
            </w:tcBorders>
            <w:vAlign w:val="bottom"/>
          </w:tcPr>
          <w:p w14:paraId="65C9F0FB">
            <w:pPr>
              <w:spacing w:line="400" w:lineRule="exact"/>
              <w:jc w:val="center"/>
              <w:rPr>
                <w:rFonts w:ascii="宋体" w:hAnsi="宋体"/>
                <w:sz w:val="24"/>
              </w:rPr>
            </w:pPr>
            <w:r>
              <w:rPr>
                <w:rFonts w:hint="eastAsia" w:ascii="宋体" w:hAnsi="宋体"/>
                <w:sz w:val="24"/>
              </w:rPr>
              <w:t>台</w:t>
            </w:r>
          </w:p>
        </w:tc>
        <w:tc>
          <w:tcPr>
            <w:tcW w:w="839" w:type="dxa"/>
            <w:tcBorders>
              <w:tl2br w:val="nil"/>
              <w:tr2bl w:val="nil"/>
            </w:tcBorders>
            <w:vAlign w:val="center"/>
          </w:tcPr>
          <w:p w14:paraId="2206C9C7">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bottom"/>
          </w:tcPr>
          <w:p w14:paraId="77EE2C2C">
            <w:pPr>
              <w:spacing w:line="400" w:lineRule="exact"/>
              <w:jc w:val="center"/>
              <w:rPr>
                <w:rFonts w:ascii="宋体" w:hAnsi="宋体"/>
                <w:sz w:val="24"/>
              </w:rPr>
            </w:pPr>
          </w:p>
        </w:tc>
        <w:tc>
          <w:tcPr>
            <w:tcW w:w="1112" w:type="dxa"/>
            <w:tcBorders>
              <w:tl2br w:val="nil"/>
              <w:tr2bl w:val="nil"/>
            </w:tcBorders>
            <w:vAlign w:val="bottom"/>
          </w:tcPr>
          <w:p w14:paraId="5FAD38CE">
            <w:pPr>
              <w:spacing w:line="400" w:lineRule="exact"/>
              <w:jc w:val="center"/>
              <w:rPr>
                <w:rFonts w:ascii="宋体" w:hAnsi="宋体"/>
                <w:sz w:val="24"/>
              </w:rPr>
            </w:pPr>
            <w:r>
              <w:rPr>
                <w:rFonts w:hint="eastAsia" w:ascii="宋体" w:hAnsi="宋体"/>
                <w:sz w:val="24"/>
              </w:rPr>
              <w:t>各规格</w:t>
            </w:r>
          </w:p>
        </w:tc>
      </w:tr>
      <w:tr w14:paraId="0B8D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7" w:type="dxa"/>
            <w:tcBorders>
              <w:tl2br w:val="nil"/>
              <w:tr2bl w:val="nil"/>
            </w:tcBorders>
            <w:vAlign w:val="bottom"/>
          </w:tcPr>
          <w:p w14:paraId="194C077F">
            <w:pPr>
              <w:spacing w:line="400" w:lineRule="exact"/>
              <w:jc w:val="center"/>
              <w:rPr>
                <w:rFonts w:ascii="宋体" w:hAnsi="宋体"/>
                <w:sz w:val="24"/>
              </w:rPr>
            </w:pPr>
            <w:r>
              <w:rPr>
                <w:rFonts w:hint="eastAsia" w:ascii="宋体" w:hAnsi="宋体"/>
                <w:sz w:val="24"/>
              </w:rPr>
              <w:t>11</w:t>
            </w:r>
          </w:p>
        </w:tc>
        <w:tc>
          <w:tcPr>
            <w:tcW w:w="2331" w:type="dxa"/>
            <w:tcBorders>
              <w:tl2br w:val="nil"/>
              <w:tr2bl w:val="nil"/>
            </w:tcBorders>
            <w:vAlign w:val="bottom"/>
          </w:tcPr>
          <w:p w14:paraId="22B2EA7C">
            <w:pPr>
              <w:spacing w:line="400" w:lineRule="exact"/>
              <w:jc w:val="center"/>
              <w:rPr>
                <w:rFonts w:ascii="宋体" w:hAnsi="宋体"/>
                <w:sz w:val="24"/>
              </w:rPr>
            </w:pPr>
            <w:r>
              <w:rPr>
                <w:rFonts w:hint="eastAsia" w:ascii="宋体" w:hAnsi="宋体"/>
                <w:sz w:val="24"/>
              </w:rPr>
              <w:t>电动升降服务车</w:t>
            </w:r>
          </w:p>
        </w:tc>
        <w:tc>
          <w:tcPr>
            <w:tcW w:w="2008" w:type="dxa"/>
            <w:tcBorders>
              <w:tl2br w:val="nil"/>
              <w:tr2bl w:val="nil"/>
            </w:tcBorders>
            <w:vAlign w:val="bottom"/>
          </w:tcPr>
          <w:p w14:paraId="317C57FB">
            <w:pPr>
              <w:spacing w:line="400" w:lineRule="exact"/>
              <w:jc w:val="center"/>
              <w:rPr>
                <w:rFonts w:ascii="宋体" w:hAnsi="宋体"/>
                <w:sz w:val="24"/>
              </w:rPr>
            </w:pPr>
          </w:p>
        </w:tc>
        <w:tc>
          <w:tcPr>
            <w:tcW w:w="784" w:type="dxa"/>
            <w:tcBorders>
              <w:tl2br w:val="nil"/>
              <w:tr2bl w:val="nil"/>
            </w:tcBorders>
            <w:vAlign w:val="bottom"/>
          </w:tcPr>
          <w:p w14:paraId="0596F255">
            <w:pPr>
              <w:spacing w:line="400" w:lineRule="exact"/>
              <w:jc w:val="center"/>
              <w:rPr>
                <w:rFonts w:ascii="宋体" w:hAnsi="宋体"/>
                <w:sz w:val="24"/>
              </w:rPr>
            </w:pPr>
            <w:r>
              <w:rPr>
                <w:rFonts w:hint="eastAsia" w:ascii="宋体" w:hAnsi="宋体"/>
                <w:sz w:val="24"/>
              </w:rPr>
              <w:t>台</w:t>
            </w:r>
          </w:p>
        </w:tc>
        <w:tc>
          <w:tcPr>
            <w:tcW w:w="839" w:type="dxa"/>
            <w:tcBorders>
              <w:tl2br w:val="nil"/>
              <w:tr2bl w:val="nil"/>
            </w:tcBorders>
            <w:vAlign w:val="bottom"/>
          </w:tcPr>
          <w:p w14:paraId="0586EA62">
            <w:pPr>
              <w:spacing w:line="400" w:lineRule="exact"/>
              <w:jc w:val="center"/>
              <w:rPr>
                <w:rFonts w:ascii="宋体" w:hAnsi="宋体"/>
                <w:sz w:val="24"/>
              </w:rPr>
            </w:pPr>
            <w:r>
              <w:rPr>
                <w:rFonts w:hint="eastAsia" w:ascii="宋体" w:hAnsi="宋体"/>
                <w:sz w:val="24"/>
              </w:rPr>
              <w:t>按需</w:t>
            </w:r>
          </w:p>
        </w:tc>
        <w:tc>
          <w:tcPr>
            <w:tcW w:w="1315" w:type="dxa"/>
            <w:tcBorders>
              <w:tl2br w:val="nil"/>
              <w:tr2bl w:val="nil"/>
            </w:tcBorders>
            <w:vAlign w:val="bottom"/>
          </w:tcPr>
          <w:p w14:paraId="34188206">
            <w:pPr>
              <w:spacing w:line="400" w:lineRule="exact"/>
              <w:jc w:val="center"/>
              <w:rPr>
                <w:rFonts w:ascii="宋体" w:hAnsi="宋体"/>
                <w:sz w:val="24"/>
              </w:rPr>
            </w:pPr>
          </w:p>
        </w:tc>
        <w:tc>
          <w:tcPr>
            <w:tcW w:w="1112" w:type="dxa"/>
            <w:tcBorders>
              <w:tl2br w:val="nil"/>
              <w:tr2bl w:val="nil"/>
            </w:tcBorders>
            <w:vAlign w:val="bottom"/>
          </w:tcPr>
          <w:p w14:paraId="7ECCDED7">
            <w:pPr>
              <w:spacing w:line="400" w:lineRule="exact"/>
              <w:jc w:val="center"/>
              <w:rPr>
                <w:rFonts w:ascii="宋体" w:hAnsi="宋体"/>
                <w:sz w:val="24"/>
              </w:rPr>
            </w:pPr>
          </w:p>
        </w:tc>
      </w:tr>
      <w:tr w14:paraId="67448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7" w:type="dxa"/>
            <w:tcBorders>
              <w:tl2br w:val="nil"/>
              <w:tr2bl w:val="nil"/>
            </w:tcBorders>
            <w:vAlign w:val="bottom"/>
          </w:tcPr>
          <w:p w14:paraId="0EDA4A03">
            <w:pPr>
              <w:spacing w:line="400" w:lineRule="exact"/>
              <w:jc w:val="center"/>
              <w:rPr>
                <w:rFonts w:ascii="宋体" w:hAnsi="宋体"/>
                <w:sz w:val="24"/>
              </w:rPr>
            </w:pPr>
          </w:p>
        </w:tc>
        <w:tc>
          <w:tcPr>
            <w:tcW w:w="2331" w:type="dxa"/>
            <w:tcBorders>
              <w:tl2br w:val="nil"/>
              <w:tr2bl w:val="nil"/>
            </w:tcBorders>
            <w:vAlign w:val="bottom"/>
          </w:tcPr>
          <w:p w14:paraId="5802E2D7">
            <w:pPr>
              <w:spacing w:line="400" w:lineRule="exact"/>
              <w:jc w:val="center"/>
              <w:rPr>
                <w:rFonts w:ascii="宋体" w:hAnsi="宋体"/>
                <w:sz w:val="24"/>
              </w:rPr>
            </w:pPr>
          </w:p>
        </w:tc>
        <w:tc>
          <w:tcPr>
            <w:tcW w:w="2008" w:type="dxa"/>
            <w:tcBorders>
              <w:tl2br w:val="nil"/>
              <w:tr2bl w:val="nil"/>
            </w:tcBorders>
            <w:vAlign w:val="bottom"/>
          </w:tcPr>
          <w:p w14:paraId="6D9D7B72">
            <w:pPr>
              <w:spacing w:line="400" w:lineRule="exact"/>
              <w:jc w:val="center"/>
              <w:rPr>
                <w:rFonts w:ascii="宋体" w:hAnsi="宋体"/>
                <w:sz w:val="24"/>
              </w:rPr>
            </w:pPr>
          </w:p>
        </w:tc>
        <w:tc>
          <w:tcPr>
            <w:tcW w:w="784" w:type="dxa"/>
            <w:tcBorders>
              <w:tl2br w:val="nil"/>
              <w:tr2bl w:val="nil"/>
            </w:tcBorders>
            <w:vAlign w:val="bottom"/>
          </w:tcPr>
          <w:p w14:paraId="3A36820E">
            <w:pPr>
              <w:spacing w:line="400" w:lineRule="exact"/>
              <w:jc w:val="center"/>
              <w:rPr>
                <w:rFonts w:ascii="宋体" w:hAnsi="宋体"/>
                <w:sz w:val="24"/>
              </w:rPr>
            </w:pPr>
          </w:p>
        </w:tc>
        <w:tc>
          <w:tcPr>
            <w:tcW w:w="839" w:type="dxa"/>
            <w:tcBorders>
              <w:tl2br w:val="nil"/>
              <w:tr2bl w:val="nil"/>
            </w:tcBorders>
            <w:vAlign w:val="bottom"/>
          </w:tcPr>
          <w:p w14:paraId="1A220D74">
            <w:pPr>
              <w:spacing w:line="400" w:lineRule="exact"/>
              <w:jc w:val="center"/>
              <w:rPr>
                <w:rFonts w:ascii="宋体" w:hAnsi="宋体"/>
                <w:sz w:val="24"/>
              </w:rPr>
            </w:pPr>
          </w:p>
        </w:tc>
        <w:tc>
          <w:tcPr>
            <w:tcW w:w="1315" w:type="dxa"/>
            <w:tcBorders>
              <w:tl2br w:val="nil"/>
              <w:tr2bl w:val="nil"/>
            </w:tcBorders>
            <w:vAlign w:val="bottom"/>
          </w:tcPr>
          <w:p w14:paraId="048EE149">
            <w:pPr>
              <w:spacing w:line="400" w:lineRule="exact"/>
              <w:jc w:val="center"/>
              <w:rPr>
                <w:rFonts w:ascii="宋体" w:hAnsi="宋体"/>
                <w:sz w:val="24"/>
              </w:rPr>
            </w:pPr>
          </w:p>
        </w:tc>
        <w:tc>
          <w:tcPr>
            <w:tcW w:w="1112" w:type="dxa"/>
            <w:tcBorders>
              <w:tl2br w:val="nil"/>
              <w:tr2bl w:val="nil"/>
            </w:tcBorders>
            <w:vAlign w:val="bottom"/>
          </w:tcPr>
          <w:p w14:paraId="2F783F9C">
            <w:pPr>
              <w:spacing w:line="400" w:lineRule="exact"/>
              <w:jc w:val="center"/>
              <w:rPr>
                <w:rFonts w:ascii="宋体" w:hAnsi="宋体"/>
                <w:sz w:val="24"/>
              </w:rPr>
            </w:pPr>
          </w:p>
        </w:tc>
      </w:tr>
    </w:tbl>
    <w:p w14:paraId="526DBD92">
      <w:pPr>
        <w:spacing w:line="400" w:lineRule="exact"/>
        <w:jc w:val="left"/>
        <w:rPr>
          <w:rFonts w:ascii="宋体" w:hAnsi="宋体" w:cs="宋体"/>
          <w:sz w:val="24"/>
        </w:rPr>
      </w:pPr>
    </w:p>
    <w:p w14:paraId="28293254">
      <w:pPr>
        <w:pStyle w:val="5"/>
        <w:numPr>
          <w:ilvl w:val="0"/>
          <w:numId w:val="6"/>
        </w:numPr>
        <w:ind w:firstLine="480"/>
      </w:pPr>
      <w:r>
        <w:rPr>
          <w:rFonts w:hint="eastAsia"/>
        </w:rPr>
        <w:t>低压柜随机工具（包含但不限于以下设备，投标方填写）。</w:t>
      </w:r>
    </w:p>
    <w:tbl>
      <w:tblPr>
        <w:tblStyle w:val="18"/>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3"/>
        <w:gridCol w:w="3238"/>
        <w:gridCol w:w="2187"/>
        <w:gridCol w:w="2138"/>
      </w:tblGrid>
      <w:tr w14:paraId="46FA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1563" w:type="dxa"/>
            <w:tcBorders>
              <w:tl2br w:val="nil"/>
              <w:tr2bl w:val="nil"/>
            </w:tcBorders>
            <w:vAlign w:val="center"/>
          </w:tcPr>
          <w:p w14:paraId="0938AA38">
            <w:pPr>
              <w:spacing w:line="400" w:lineRule="exact"/>
              <w:jc w:val="center"/>
              <w:rPr>
                <w:rFonts w:ascii="宋体" w:hAnsi="宋体" w:cs="宋体"/>
                <w:kern w:val="0"/>
                <w:sz w:val="24"/>
              </w:rPr>
            </w:pPr>
            <w:r>
              <w:rPr>
                <w:rFonts w:hint="eastAsia" w:ascii="宋体" w:hAnsi="宋体" w:cs="宋体"/>
                <w:kern w:val="0"/>
                <w:sz w:val="24"/>
              </w:rPr>
              <w:t>序号</w:t>
            </w:r>
          </w:p>
        </w:tc>
        <w:tc>
          <w:tcPr>
            <w:tcW w:w="3238" w:type="dxa"/>
            <w:tcBorders>
              <w:tl2br w:val="nil"/>
              <w:tr2bl w:val="nil"/>
            </w:tcBorders>
            <w:vAlign w:val="center"/>
          </w:tcPr>
          <w:p w14:paraId="211F34F2">
            <w:pPr>
              <w:spacing w:line="400" w:lineRule="exact"/>
              <w:jc w:val="center"/>
              <w:rPr>
                <w:rFonts w:ascii="宋体" w:hAnsi="宋体" w:cs="宋体"/>
                <w:kern w:val="0"/>
                <w:sz w:val="24"/>
              </w:rPr>
            </w:pPr>
            <w:r>
              <w:rPr>
                <w:rFonts w:hint="eastAsia" w:ascii="宋体" w:hAnsi="宋体" w:cs="宋体"/>
                <w:kern w:val="0"/>
                <w:sz w:val="24"/>
              </w:rPr>
              <w:t>备件名称</w:t>
            </w:r>
          </w:p>
        </w:tc>
        <w:tc>
          <w:tcPr>
            <w:tcW w:w="2187" w:type="dxa"/>
            <w:tcBorders>
              <w:tl2br w:val="nil"/>
              <w:tr2bl w:val="nil"/>
            </w:tcBorders>
            <w:vAlign w:val="center"/>
          </w:tcPr>
          <w:p w14:paraId="7B8B236B">
            <w:pPr>
              <w:spacing w:line="400" w:lineRule="exact"/>
              <w:jc w:val="center"/>
              <w:rPr>
                <w:rFonts w:ascii="宋体" w:hAnsi="宋体" w:cs="宋体"/>
                <w:kern w:val="0"/>
                <w:sz w:val="24"/>
              </w:rPr>
            </w:pPr>
            <w:r>
              <w:rPr>
                <w:rFonts w:hint="eastAsia" w:ascii="宋体" w:hAnsi="宋体" w:cs="宋体"/>
                <w:kern w:val="0"/>
                <w:sz w:val="24"/>
              </w:rPr>
              <w:t>规格与型号</w:t>
            </w:r>
          </w:p>
        </w:tc>
        <w:tc>
          <w:tcPr>
            <w:tcW w:w="2138" w:type="dxa"/>
            <w:tcBorders>
              <w:tl2br w:val="nil"/>
              <w:tr2bl w:val="nil"/>
            </w:tcBorders>
            <w:vAlign w:val="center"/>
          </w:tcPr>
          <w:p w14:paraId="5BC3EC28">
            <w:pPr>
              <w:spacing w:line="400" w:lineRule="exact"/>
              <w:jc w:val="center"/>
              <w:rPr>
                <w:rFonts w:ascii="宋体" w:hAnsi="宋体" w:cs="宋体"/>
                <w:kern w:val="0"/>
                <w:sz w:val="24"/>
              </w:rPr>
            </w:pPr>
            <w:r>
              <w:rPr>
                <w:rFonts w:hint="eastAsia" w:ascii="宋体" w:hAnsi="宋体" w:cs="宋体"/>
                <w:kern w:val="0"/>
                <w:sz w:val="24"/>
              </w:rPr>
              <w:t>数量（单位）</w:t>
            </w:r>
          </w:p>
        </w:tc>
      </w:tr>
      <w:tr w14:paraId="7D2D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563" w:type="dxa"/>
            <w:tcBorders>
              <w:tl2br w:val="nil"/>
              <w:tr2bl w:val="nil"/>
            </w:tcBorders>
            <w:vAlign w:val="center"/>
          </w:tcPr>
          <w:p w14:paraId="002FA502">
            <w:pPr>
              <w:spacing w:line="400" w:lineRule="exact"/>
              <w:jc w:val="center"/>
              <w:rPr>
                <w:rFonts w:ascii="宋体" w:hAnsi="宋体" w:cs="宋体"/>
                <w:kern w:val="0"/>
                <w:sz w:val="24"/>
              </w:rPr>
            </w:pPr>
            <w:r>
              <w:rPr>
                <w:rFonts w:hint="eastAsia" w:ascii="宋体" w:hAnsi="宋体" w:cs="宋体"/>
                <w:kern w:val="0"/>
                <w:sz w:val="24"/>
              </w:rPr>
              <w:t>1</w:t>
            </w:r>
          </w:p>
        </w:tc>
        <w:tc>
          <w:tcPr>
            <w:tcW w:w="3238" w:type="dxa"/>
            <w:tcBorders>
              <w:tl2br w:val="nil"/>
              <w:tr2bl w:val="nil"/>
            </w:tcBorders>
            <w:vAlign w:val="center"/>
          </w:tcPr>
          <w:p w14:paraId="3CC35D79">
            <w:pPr>
              <w:spacing w:line="400" w:lineRule="exact"/>
              <w:jc w:val="center"/>
              <w:rPr>
                <w:rFonts w:ascii="宋体" w:hAnsi="宋体" w:cs="宋体"/>
                <w:kern w:val="0"/>
                <w:sz w:val="24"/>
              </w:rPr>
            </w:pPr>
            <w:r>
              <w:rPr>
                <w:rFonts w:hint="eastAsia" w:ascii="宋体" w:hAnsi="宋体" w:cs="宋体"/>
                <w:kern w:val="0"/>
                <w:sz w:val="24"/>
              </w:rPr>
              <w:t>操作手柄及其机构</w:t>
            </w:r>
          </w:p>
        </w:tc>
        <w:tc>
          <w:tcPr>
            <w:tcW w:w="2187" w:type="dxa"/>
            <w:tcBorders>
              <w:tl2br w:val="nil"/>
              <w:tr2bl w:val="nil"/>
            </w:tcBorders>
            <w:vAlign w:val="center"/>
          </w:tcPr>
          <w:p w14:paraId="3DD9462B">
            <w:pPr>
              <w:spacing w:line="400" w:lineRule="exact"/>
              <w:jc w:val="center"/>
              <w:rPr>
                <w:rFonts w:ascii="宋体" w:hAnsi="宋体" w:cs="宋体"/>
                <w:kern w:val="0"/>
                <w:sz w:val="24"/>
              </w:rPr>
            </w:pPr>
            <w:r>
              <w:rPr>
                <w:rFonts w:hint="eastAsia" w:ascii="宋体" w:hAnsi="宋体" w:cs="宋体"/>
                <w:kern w:val="0"/>
                <w:sz w:val="24"/>
              </w:rPr>
              <w:t>各种规格</w:t>
            </w:r>
          </w:p>
        </w:tc>
        <w:tc>
          <w:tcPr>
            <w:tcW w:w="2138" w:type="dxa"/>
            <w:tcBorders>
              <w:tl2br w:val="nil"/>
              <w:tr2bl w:val="nil"/>
            </w:tcBorders>
            <w:vAlign w:val="center"/>
          </w:tcPr>
          <w:p w14:paraId="62AFACB2">
            <w:pPr>
              <w:spacing w:line="400" w:lineRule="exact"/>
              <w:jc w:val="center"/>
              <w:rPr>
                <w:rFonts w:ascii="宋体" w:hAnsi="宋体"/>
                <w:sz w:val="24"/>
              </w:rPr>
            </w:pPr>
            <w:r>
              <w:rPr>
                <w:rFonts w:hint="eastAsia" w:ascii="宋体" w:hAnsi="宋体"/>
                <w:sz w:val="24"/>
              </w:rPr>
              <w:t>按需</w:t>
            </w:r>
          </w:p>
        </w:tc>
      </w:tr>
      <w:tr w14:paraId="6C21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563" w:type="dxa"/>
            <w:tcBorders>
              <w:tl2br w:val="nil"/>
              <w:tr2bl w:val="nil"/>
            </w:tcBorders>
            <w:vAlign w:val="center"/>
          </w:tcPr>
          <w:p w14:paraId="10474BA3">
            <w:pPr>
              <w:spacing w:line="400" w:lineRule="exact"/>
              <w:jc w:val="center"/>
              <w:rPr>
                <w:rFonts w:ascii="宋体" w:hAnsi="宋体" w:cs="宋体"/>
                <w:kern w:val="0"/>
                <w:sz w:val="24"/>
              </w:rPr>
            </w:pPr>
            <w:r>
              <w:rPr>
                <w:rFonts w:hint="eastAsia" w:ascii="宋体" w:hAnsi="宋体" w:cs="宋体"/>
                <w:kern w:val="0"/>
                <w:sz w:val="24"/>
              </w:rPr>
              <w:t>2</w:t>
            </w:r>
          </w:p>
        </w:tc>
        <w:tc>
          <w:tcPr>
            <w:tcW w:w="3238" w:type="dxa"/>
            <w:tcBorders>
              <w:tl2br w:val="nil"/>
              <w:tr2bl w:val="nil"/>
            </w:tcBorders>
            <w:vAlign w:val="center"/>
          </w:tcPr>
          <w:p w14:paraId="7FF8B0B3">
            <w:pPr>
              <w:spacing w:line="400" w:lineRule="exact"/>
              <w:jc w:val="center"/>
              <w:rPr>
                <w:rFonts w:ascii="宋体" w:hAnsi="宋体" w:cs="宋体"/>
                <w:kern w:val="0"/>
                <w:sz w:val="24"/>
              </w:rPr>
            </w:pPr>
            <w:r>
              <w:rPr>
                <w:rFonts w:hint="eastAsia" w:ascii="宋体" w:hAnsi="宋体" w:cs="宋体"/>
                <w:kern w:val="0"/>
                <w:sz w:val="24"/>
              </w:rPr>
              <w:t>专用工具</w:t>
            </w:r>
          </w:p>
        </w:tc>
        <w:tc>
          <w:tcPr>
            <w:tcW w:w="2187" w:type="dxa"/>
            <w:tcBorders>
              <w:tl2br w:val="nil"/>
              <w:tr2bl w:val="nil"/>
            </w:tcBorders>
            <w:vAlign w:val="center"/>
          </w:tcPr>
          <w:p w14:paraId="29EC3156">
            <w:pPr>
              <w:spacing w:line="400" w:lineRule="exact"/>
              <w:jc w:val="center"/>
              <w:rPr>
                <w:rFonts w:ascii="宋体" w:hAnsi="宋体" w:cs="宋体"/>
                <w:kern w:val="0"/>
                <w:sz w:val="24"/>
              </w:rPr>
            </w:pPr>
          </w:p>
        </w:tc>
        <w:tc>
          <w:tcPr>
            <w:tcW w:w="2138" w:type="dxa"/>
            <w:tcBorders>
              <w:tl2br w:val="nil"/>
              <w:tr2bl w:val="nil"/>
            </w:tcBorders>
            <w:vAlign w:val="center"/>
          </w:tcPr>
          <w:p w14:paraId="0C0C3003">
            <w:pPr>
              <w:spacing w:line="400" w:lineRule="exact"/>
              <w:jc w:val="center"/>
              <w:rPr>
                <w:rFonts w:ascii="宋体" w:hAnsi="宋体"/>
                <w:sz w:val="24"/>
              </w:rPr>
            </w:pPr>
            <w:r>
              <w:rPr>
                <w:rFonts w:hint="eastAsia" w:ascii="宋体" w:hAnsi="宋体"/>
                <w:sz w:val="24"/>
              </w:rPr>
              <w:t>按需</w:t>
            </w:r>
          </w:p>
        </w:tc>
      </w:tr>
      <w:tr w14:paraId="5D480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exact"/>
          <w:jc w:val="center"/>
        </w:trPr>
        <w:tc>
          <w:tcPr>
            <w:tcW w:w="1563" w:type="dxa"/>
            <w:tcBorders>
              <w:tl2br w:val="nil"/>
              <w:tr2bl w:val="nil"/>
            </w:tcBorders>
          </w:tcPr>
          <w:p w14:paraId="5F413B9E">
            <w:pPr>
              <w:jc w:val="center"/>
              <w:rPr>
                <w:rFonts w:ascii="宋体" w:hAnsi="宋体"/>
              </w:rPr>
            </w:pPr>
          </w:p>
        </w:tc>
        <w:tc>
          <w:tcPr>
            <w:tcW w:w="3238" w:type="dxa"/>
            <w:tcBorders>
              <w:tl2br w:val="nil"/>
              <w:tr2bl w:val="nil"/>
            </w:tcBorders>
          </w:tcPr>
          <w:p w14:paraId="738E5FB3">
            <w:pPr>
              <w:jc w:val="center"/>
              <w:rPr>
                <w:rFonts w:ascii="宋体" w:hAnsi="宋体"/>
              </w:rPr>
            </w:pPr>
          </w:p>
        </w:tc>
        <w:tc>
          <w:tcPr>
            <w:tcW w:w="2187" w:type="dxa"/>
            <w:tcBorders>
              <w:tl2br w:val="nil"/>
              <w:tr2bl w:val="nil"/>
            </w:tcBorders>
          </w:tcPr>
          <w:p w14:paraId="25E981E1">
            <w:pPr>
              <w:jc w:val="center"/>
              <w:rPr>
                <w:rFonts w:ascii="宋体" w:hAnsi="宋体"/>
              </w:rPr>
            </w:pPr>
          </w:p>
        </w:tc>
        <w:tc>
          <w:tcPr>
            <w:tcW w:w="2138" w:type="dxa"/>
            <w:tcBorders>
              <w:tl2br w:val="nil"/>
              <w:tr2bl w:val="nil"/>
            </w:tcBorders>
          </w:tcPr>
          <w:p w14:paraId="2FC316F1">
            <w:pPr>
              <w:jc w:val="center"/>
              <w:rPr>
                <w:rFonts w:ascii="宋体" w:hAnsi="宋体"/>
              </w:rPr>
            </w:pPr>
          </w:p>
        </w:tc>
      </w:tr>
    </w:tbl>
    <w:p w14:paraId="37150D97">
      <w:pPr>
        <w:spacing w:line="400" w:lineRule="exact"/>
        <w:jc w:val="left"/>
        <w:rPr>
          <w:rFonts w:ascii="宋体" w:hAnsi="宋体"/>
          <w:sz w:val="24"/>
        </w:rPr>
      </w:pPr>
    </w:p>
    <w:p w14:paraId="6A604501">
      <w:pPr>
        <w:pStyle w:val="5"/>
        <w:numPr>
          <w:ilvl w:val="0"/>
          <w:numId w:val="6"/>
        </w:numPr>
        <w:ind w:firstLine="480"/>
      </w:pPr>
      <w:r>
        <w:rPr>
          <w:rFonts w:hint="eastAsia"/>
        </w:rPr>
        <w:t>综保及电力监控系统随机工具清单（包含但不限于以下设备，投标方填写）。</w:t>
      </w:r>
    </w:p>
    <w:tbl>
      <w:tblPr>
        <w:tblStyle w:val="18"/>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544"/>
        <w:gridCol w:w="1537"/>
        <w:gridCol w:w="1100"/>
        <w:gridCol w:w="1338"/>
        <w:gridCol w:w="1637"/>
      </w:tblGrid>
      <w:tr w14:paraId="2FB2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l2br w:val="nil"/>
              <w:tr2bl w:val="nil"/>
            </w:tcBorders>
            <w:vAlign w:val="center"/>
          </w:tcPr>
          <w:p w14:paraId="74F7A121">
            <w:pPr>
              <w:spacing w:line="400" w:lineRule="exact"/>
              <w:jc w:val="center"/>
              <w:rPr>
                <w:rFonts w:ascii="宋体" w:hAnsi="宋体" w:cs="宋体"/>
                <w:bCs/>
                <w:sz w:val="24"/>
              </w:rPr>
            </w:pPr>
            <w:r>
              <w:rPr>
                <w:rFonts w:hint="eastAsia" w:ascii="宋体" w:hAnsi="宋体" w:cs="宋体"/>
                <w:bCs/>
                <w:sz w:val="24"/>
              </w:rPr>
              <w:t>序号</w:t>
            </w:r>
          </w:p>
        </w:tc>
        <w:tc>
          <w:tcPr>
            <w:tcW w:w="2544" w:type="dxa"/>
            <w:tcBorders>
              <w:tl2br w:val="nil"/>
              <w:tr2bl w:val="nil"/>
            </w:tcBorders>
            <w:vAlign w:val="center"/>
          </w:tcPr>
          <w:p w14:paraId="64DEC654">
            <w:pPr>
              <w:spacing w:line="400" w:lineRule="exact"/>
              <w:jc w:val="center"/>
              <w:rPr>
                <w:rFonts w:ascii="宋体" w:hAnsi="宋体" w:cs="宋体"/>
                <w:bCs/>
                <w:sz w:val="24"/>
              </w:rPr>
            </w:pPr>
            <w:r>
              <w:rPr>
                <w:rFonts w:hint="eastAsia" w:ascii="宋体" w:hAnsi="宋体" w:cs="宋体"/>
                <w:bCs/>
                <w:sz w:val="24"/>
              </w:rPr>
              <w:t>名称</w:t>
            </w:r>
          </w:p>
        </w:tc>
        <w:tc>
          <w:tcPr>
            <w:tcW w:w="1537" w:type="dxa"/>
            <w:tcBorders>
              <w:tl2br w:val="nil"/>
              <w:tr2bl w:val="nil"/>
            </w:tcBorders>
            <w:vAlign w:val="center"/>
          </w:tcPr>
          <w:p w14:paraId="24307901">
            <w:pPr>
              <w:spacing w:line="400" w:lineRule="exact"/>
              <w:jc w:val="center"/>
              <w:rPr>
                <w:rFonts w:ascii="宋体" w:hAnsi="宋体" w:cs="宋体"/>
                <w:bCs/>
                <w:sz w:val="24"/>
              </w:rPr>
            </w:pPr>
            <w:r>
              <w:rPr>
                <w:rFonts w:hint="eastAsia" w:ascii="宋体" w:hAnsi="宋体" w:cs="宋体"/>
                <w:bCs/>
                <w:sz w:val="24"/>
              </w:rPr>
              <w:t>型号和规范</w:t>
            </w:r>
          </w:p>
        </w:tc>
        <w:tc>
          <w:tcPr>
            <w:tcW w:w="1100" w:type="dxa"/>
            <w:tcBorders>
              <w:tl2br w:val="nil"/>
              <w:tr2bl w:val="nil"/>
            </w:tcBorders>
            <w:vAlign w:val="center"/>
          </w:tcPr>
          <w:p w14:paraId="7C79B1BF">
            <w:pPr>
              <w:spacing w:line="400" w:lineRule="exact"/>
              <w:jc w:val="center"/>
              <w:rPr>
                <w:rFonts w:ascii="宋体" w:hAnsi="宋体" w:cs="宋体"/>
                <w:bCs/>
                <w:sz w:val="24"/>
              </w:rPr>
            </w:pPr>
            <w:r>
              <w:rPr>
                <w:rFonts w:hint="eastAsia" w:ascii="宋体" w:hAnsi="宋体" w:cs="宋体"/>
                <w:bCs/>
                <w:sz w:val="24"/>
              </w:rPr>
              <w:t>单位</w:t>
            </w:r>
          </w:p>
        </w:tc>
        <w:tc>
          <w:tcPr>
            <w:tcW w:w="1338" w:type="dxa"/>
            <w:tcBorders>
              <w:tl2br w:val="nil"/>
              <w:tr2bl w:val="nil"/>
            </w:tcBorders>
            <w:vAlign w:val="center"/>
          </w:tcPr>
          <w:p w14:paraId="12548F01">
            <w:pPr>
              <w:spacing w:line="400" w:lineRule="exact"/>
              <w:jc w:val="center"/>
              <w:rPr>
                <w:rFonts w:ascii="宋体" w:hAnsi="宋体" w:cs="宋体"/>
                <w:bCs/>
                <w:sz w:val="24"/>
              </w:rPr>
            </w:pPr>
            <w:r>
              <w:rPr>
                <w:rFonts w:hint="eastAsia" w:ascii="宋体" w:hAnsi="宋体" w:cs="宋体"/>
                <w:bCs/>
                <w:sz w:val="24"/>
              </w:rPr>
              <w:t>数量</w:t>
            </w:r>
          </w:p>
        </w:tc>
        <w:tc>
          <w:tcPr>
            <w:tcW w:w="1637" w:type="dxa"/>
            <w:tcBorders>
              <w:tl2br w:val="nil"/>
              <w:tr2bl w:val="nil"/>
            </w:tcBorders>
            <w:vAlign w:val="center"/>
          </w:tcPr>
          <w:p w14:paraId="6DC9EACB">
            <w:pPr>
              <w:spacing w:line="400" w:lineRule="exact"/>
              <w:jc w:val="center"/>
              <w:rPr>
                <w:rFonts w:ascii="宋体" w:hAnsi="宋体" w:cs="宋体"/>
                <w:bCs/>
                <w:sz w:val="24"/>
              </w:rPr>
            </w:pPr>
            <w:r>
              <w:rPr>
                <w:rFonts w:hint="eastAsia" w:ascii="宋体" w:hAnsi="宋体" w:cs="宋体"/>
                <w:bCs/>
                <w:sz w:val="24"/>
              </w:rPr>
              <w:t>用途</w:t>
            </w:r>
          </w:p>
        </w:tc>
      </w:tr>
      <w:tr w14:paraId="1F17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l2br w:val="nil"/>
              <w:tr2bl w:val="nil"/>
            </w:tcBorders>
            <w:vAlign w:val="center"/>
          </w:tcPr>
          <w:p w14:paraId="4FDDDBCB">
            <w:pPr>
              <w:spacing w:line="400" w:lineRule="exact"/>
              <w:jc w:val="center"/>
              <w:rPr>
                <w:rFonts w:ascii="宋体" w:hAnsi="宋体" w:cs="宋体"/>
                <w:bCs/>
                <w:sz w:val="24"/>
              </w:rPr>
            </w:pPr>
            <w:r>
              <w:rPr>
                <w:rFonts w:hint="eastAsia" w:ascii="宋体" w:hAnsi="宋体" w:cs="宋体"/>
                <w:bCs/>
                <w:sz w:val="24"/>
              </w:rPr>
              <w:t>1</w:t>
            </w:r>
          </w:p>
        </w:tc>
        <w:tc>
          <w:tcPr>
            <w:tcW w:w="2544" w:type="dxa"/>
            <w:tcBorders>
              <w:tl2br w:val="nil"/>
              <w:tr2bl w:val="nil"/>
            </w:tcBorders>
            <w:vAlign w:val="center"/>
          </w:tcPr>
          <w:p w14:paraId="000FBF34">
            <w:pPr>
              <w:spacing w:line="400" w:lineRule="exact"/>
              <w:jc w:val="center"/>
              <w:rPr>
                <w:rFonts w:ascii="宋体" w:hAnsi="宋体" w:cs="宋体"/>
                <w:bCs/>
                <w:sz w:val="24"/>
              </w:rPr>
            </w:pPr>
            <w:r>
              <w:rPr>
                <w:rFonts w:hint="eastAsia" w:ascii="宋体" w:hAnsi="宋体" w:cs="宋体"/>
                <w:bCs/>
                <w:sz w:val="24"/>
              </w:rPr>
              <w:t>维护工具</w:t>
            </w:r>
          </w:p>
        </w:tc>
        <w:tc>
          <w:tcPr>
            <w:tcW w:w="1537" w:type="dxa"/>
            <w:tcBorders>
              <w:tl2br w:val="nil"/>
              <w:tr2bl w:val="nil"/>
            </w:tcBorders>
            <w:vAlign w:val="center"/>
          </w:tcPr>
          <w:p w14:paraId="4101E871">
            <w:pPr>
              <w:spacing w:line="400" w:lineRule="exact"/>
              <w:jc w:val="center"/>
              <w:rPr>
                <w:rFonts w:ascii="宋体" w:hAnsi="宋体" w:cs="宋体"/>
                <w:bCs/>
                <w:sz w:val="24"/>
              </w:rPr>
            </w:pPr>
          </w:p>
        </w:tc>
        <w:tc>
          <w:tcPr>
            <w:tcW w:w="1100" w:type="dxa"/>
            <w:tcBorders>
              <w:tl2br w:val="nil"/>
              <w:tr2bl w:val="nil"/>
            </w:tcBorders>
            <w:vAlign w:val="center"/>
          </w:tcPr>
          <w:p w14:paraId="0AC0237A">
            <w:pPr>
              <w:spacing w:line="400" w:lineRule="exact"/>
              <w:jc w:val="center"/>
              <w:rPr>
                <w:rFonts w:ascii="宋体" w:hAnsi="宋体" w:cs="宋体"/>
                <w:bCs/>
                <w:sz w:val="24"/>
              </w:rPr>
            </w:pPr>
            <w:r>
              <w:rPr>
                <w:rFonts w:hint="eastAsia" w:ascii="宋体" w:hAnsi="宋体" w:cs="宋体"/>
                <w:bCs/>
                <w:sz w:val="24"/>
              </w:rPr>
              <w:t>套</w:t>
            </w:r>
          </w:p>
        </w:tc>
        <w:tc>
          <w:tcPr>
            <w:tcW w:w="1338" w:type="dxa"/>
            <w:tcBorders>
              <w:tl2br w:val="nil"/>
              <w:tr2bl w:val="nil"/>
            </w:tcBorders>
            <w:vAlign w:val="center"/>
          </w:tcPr>
          <w:p w14:paraId="039C1FFF">
            <w:pPr>
              <w:spacing w:line="400" w:lineRule="exact"/>
              <w:jc w:val="center"/>
              <w:rPr>
                <w:rFonts w:ascii="宋体" w:hAnsi="宋体"/>
                <w:sz w:val="24"/>
              </w:rPr>
            </w:pPr>
            <w:r>
              <w:rPr>
                <w:rFonts w:hint="eastAsia" w:ascii="宋体" w:hAnsi="宋体"/>
                <w:sz w:val="24"/>
              </w:rPr>
              <w:t>按需</w:t>
            </w:r>
          </w:p>
        </w:tc>
        <w:tc>
          <w:tcPr>
            <w:tcW w:w="1637" w:type="dxa"/>
            <w:tcBorders>
              <w:tl2br w:val="nil"/>
              <w:tr2bl w:val="nil"/>
            </w:tcBorders>
            <w:vAlign w:val="center"/>
          </w:tcPr>
          <w:p w14:paraId="5D5E8695">
            <w:pPr>
              <w:spacing w:line="400" w:lineRule="exact"/>
              <w:jc w:val="center"/>
              <w:rPr>
                <w:rFonts w:ascii="宋体" w:hAnsi="宋体" w:cs="宋体"/>
                <w:bCs/>
                <w:sz w:val="24"/>
              </w:rPr>
            </w:pPr>
            <w:r>
              <w:rPr>
                <w:rFonts w:hint="eastAsia" w:ascii="宋体" w:hAnsi="宋体" w:cs="宋体"/>
                <w:bCs/>
                <w:sz w:val="24"/>
              </w:rPr>
              <w:t>（含移动工程师站）</w:t>
            </w:r>
          </w:p>
        </w:tc>
      </w:tr>
      <w:tr w14:paraId="3638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l2br w:val="nil"/>
              <w:tr2bl w:val="nil"/>
            </w:tcBorders>
            <w:vAlign w:val="center"/>
          </w:tcPr>
          <w:p w14:paraId="51CCD6AC">
            <w:pPr>
              <w:spacing w:line="400" w:lineRule="exact"/>
              <w:jc w:val="center"/>
              <w:rPr>
                <w:rFonts w:ascii="宋体" w:hAnsi="宋体" w:cs="宋体"/>
                <w:bCs/>
                <w:sz w:val="24"/>
              </w:rPr>
            </w:pPr>
            <w:r>
              <w:rPr>
                <w:rFonts w:hint="eastAsia" w:ascii="宋体" w:hAnsi="宋体" w:cs="宋体"/>
                <w:bCs/>
                <w:sz w:val="24"/>
              </w:rPr>
              <w:t>3</w:t>
            </w:r>
          </w:p>
        </w:tc>
        <w:tc>
          <w:tcPr>
            <w:tcW w:w="2544" w:type="dxa"/>
            <w:tcBorders>
              <w:tl2br w:val="nil"/>
              <w:tr2bl w:val="nil"/>
            </w:tcBorders>
            <w:vAlign w:val="center"/>
          </w:tcPr>
          <w:p w14:paraId="15C96A62">
            <w:pPr>
              <w:spacing w:line="400" w:lineRule="exact"/>
              <w:jc w:val="center"/>
              <w:rPr>
                <w:rFonts w:ascii="宋体" w:hAnsi="宋体" w:cs="宋体"/>
                <w:bCs/>
                <w:sz w:val="24"/>
              </w:rPr>
            </w:pPr>
            <w:r>
              <w:rPr>
                <w:rFonts w:hint="eastAsia" w:ascii="宋体" w:hAnsi="宋体" w:cs="宋体"/>
                <w:bCs/>
                <w:sz w:val="24"/>
              </w:rPr>
              <w:t>光功率计红光一体机</w:t>
            </w:r>
          </w:p>
        </w:tc>
        <w:tc>
          <w:tcPr>
            <w:tcW w:w="1537" w:type="dxa"/>
            <w:tcBorders>
              <w:tl2br w:val="nil"/>
              <w:tr2bl w:val="nil"/>
            </w:tcBorders>
            <w:vAlign w:val="center"/>
          </w:tcPr>
          <w:p w14:paraId="06BDC76B">
            <w:pPr>
              <w:spacing w:line="400" w:lineRule="exact"/>
              <w:jc w:val="center"/>
              <w:rPr>
                <w:rFonts w:ascii="宋体" w:hAnsi="宋体" w:cs="宋体"/>
                <w:bCs/>
                <w:sz w:val="24"/>
              </w:rPr>
            </w:pPr>
          </w:p>
        </w:tc>
        <w:tc>
          <w:tcPr>
            <w:tcW w:w="1100" w:type="dxa"/>
            <w:tcBorders>
              <w:tl2br w:val="nil"/>
              <w:tr2bl w:val="nil"/>
            </w:tcBorders>
            <w:vAlign w:val="center"/>
          </w:tcPr>
          <w:p w14:paraId="3EF68A52">
            <w:pPr>
              <w:spacing w:line="400" w:lineRule="exact"/>
              <w:jc w:val="center"/>
              <w:rPr>
                <w:rFonts w:ascii="宋体" w:hAnsi="宋体" w:cs="宋体"/>
                <w:bCs/>
                <w:sz w:val="24"/>
              </w:rPr>
            </w:pPr>
            <w:r>
              <w:rPr>
                <w:rFonts w:hint="eastAsia" w:ascii="宋体" w:hAnsi="宋体" w:cs="宋体"/>
                <w:bCs/>
                <w:sz w:val="24"/>
              </w:rPr>
              <w:t>台</w:t>
            </w:r>
          </w:p>
        </w:tc>
        <w:tc>
          <w:tcPr>
            <w:tcW w:w="1338" w:type="dxa"/>
            <w:tcBorders>
              <w:tl2br w:val="nil"/>
              <w:tr2bl w:val="nil"/>
            </w:tcBorders>
            <w:vAlign w:val="center"/>
          </w:tcPr>
          <w:p w14:paraId="52AC40E8">
            <w:pPr>
              <w:spacing w:line="400" w:lineRule="exact"/>
              <w:jc w:val="center"/>
              <w:rPr>
                <w:rFonts w:ascii="宋体" w:hAnsi="宋体"/>
                <w:sz w:val="24"/>
              </w:rPr>
            </w:pPr>
            <w:r>
              <w:rPr>
                <w:rFonts w:hint="eastAsia" w:ascii="宋体" w:hAnsi="宋体"/>
                <w:sz w:val="24"/>
              </w:rPr>
              <w:t>2</w:t>
            </w:r>
          </w:p>
        </w:tc>
        <w:tc>
          <w:tcPr>
            <w:tcW w:w="1637" w:type="dxa"/>
            <w:tcBorders>
              <w:tl2br w:val="nil"/>
              <w:tr2bl w:val="nil"/>
            </w:tcBorders>
            <w:vAlign w:val="center"/>
          </w:tcPr>
          <w:p w14:paraId="5616CA79">
            <w:pPr>
              <w:spacing w:line="400" w:lineRule="exact"/>
              <w:jc w:val="center"/>
              <w:rPr>
                <w:rFonts w:ascii="宋体" w:hAnsi="宋体" w:cs="宋体"/>
                <w:bCs/>
                <w:sz w:val="24"/>
              </w:rPr>
            </w:pPr>
          </w:p>
        </w:tc>
      </w:tr>
      <w:tr w14:paraId="2DAB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l2br w:val="nil"/>
              <w:tr2bl w:val="nil"/>
            </w:tcBorders>
            <w:vAlign w:val="center"/>
          </w:tcPr>
          <w:p w14:paraId="21F16C0F">
            <w:pPr>
              <w:spacing w:line="400" w:lineRule="exact"/>
              <w:jc w:val="center"/>
              <w:rPr>
                <w:rFonts w:ascii="宋体" w:hAnsi="宋体" w:cs="宋体"/>
                <w:bCs/>
                <w:sz w:val="24"/>
              </w:rPr>
            </w:pPr>
            <w:r>
              <w:rPr>
                <w:rFonts w:hint="eastAsia" w:ascii="宋体" w:hAnsi="宋体" w:cs="宋体"/>
                <w:bCs/>
                <w:sz w:val="24"/>
              </w:rPr>
              <w:t>4</w:t>
            </w:r>
          </w:p>
        </w:tc>
        <w:tc>
          <w:tcPr>
            <w:tcW w:w="2544" w:type="dxa"/>
            <w:tcBorders>
              <w:tl2br w:val="nil"/>
              <w:tr2bl w:val="nil"/>
            </w:tcBorders>
            <w:vAlign w:val="center"/>
          </w:tcPr>
          <w:p w14:paraId="3F19187D">
            <w:pPr>
              <w:spacing w:line="400" w:lineRule="exact"/>
              <w:jc w:val="center"/>
              <w:rPr>
                <w:rFonts w:ascii="宋体" w:hAnsi="宋体" w:cs="宋体"/>
                <w:bCs/>
                <w:sz w:val="24"/>
              </w:rPr>
            </w:pPr>
            <w:r>
              <w:rPr>
                <w:rFonts w:hint="eastAsia" w:ascii="宋体" w:hAnsi="宋体" w:cs="宋体"/>
                <w:bCs/>
                <w:sz w:val="24"/>
              </w:rPr>
              <w:t>网线检测仪</w:t>
            </w:r>
          </w:p>
        </w:tc>
        <w:tc>
          <w:tcPr>
            <w:tcW w:w="1537" w:type="dxa"/>
            <w:tcBorders>
              <w:tl2br w:val="nil"/>
              <w:tr2bl w:val="nil"/>
            </w:tcBorders>
            <w:vAlign w:val="center"/>
          </w:tcPr>
          <w:p w14:paraId="7FC278CC">
            <w:pPr>
              <w:spacing w:line="400" w:lineRule="exact"/>
              <w:jc w:val="center"/>
              <w:rPr>
                <w:rFonts w:ascii="宋体" w:hAnsi="宋体" w:cs="宋体"/>
                <w:bCs/>
                <w:sz w:val="24"/>
              </w:rPr>
            </w:pPr>
          </w:p>
        </w:tc>
        <w:tc>
          <w:tcPr>
            <w:tcW w:w="1100" w:type="dxa"/>
            <w:tcBorders>
              <w:tl2br w:val="nil"/>
              <w:tr2bl w:val="nil"/>
            </w:tcBorders>
            <w:vAlign w:val="center"/>
          </w:tcPr>
          <w:p w14:paraId="0154849E">
            <w:pPr>
              <w:spacing w:line="400" w:lineRule="exact"/>
              <w:jc w:val="center"/>
              <w:rPr>
                <w:rFonts w:ascii="宋体" w:hAnsi="宋体" w:cs="宋体"/>
                <w:bCs/>
                <w:sz w:val="24"/>
              </w:rPr>
            </w:pPr>
            <w:r>
              <w:rPr>
                <w:rFonts w:hint="eastAsia" w:ascii="宋体" w:hAnsi="宋体" w:cs="宋体"/>
                <w:bCs/>
                <w:sz w:val="24"/>
              </w:rPr>
              <w:t>台</w:t>
            </w:r>
          </w:p>
        </w:tc>
        <w:tc>
          <w:tcPr>
            <w:tcW w:w="1338" w:type="dxa"/>
            <w:tcBorders>
              <w:tl2br w:val="nil"/>
              <w:tr2bl w:val="nil"/>
            </w:tcBorders>
            <w:vAlign w:val="center"/>
          </w:tcPr>
          <w:p w14:paraId="515E6450">
            <w:pPr>
              <w:spacing w:line="400" w:lineRule="exact"/>
              <w:jc w:val="center"/>
              <w:rPr>
                <w:rFonts w:ascii="宋体" w:hAnsi="宋体" w:cs="宋体"/>
                <w:bCs/>
                <w:sz w:val="24"/>
              </w:rPr>
            </w:pPr>
            <w:r>
              <w:rPr>
                <w:rFonts w:hint="eastAsia" w:ascii="宋体" w:hAnsi="宋体" w:cs="宋体"/>
                <w:bCs/>
                <w:sz w:val="24"/>
              </w:rPr>
              <w:t>2</w:t>
            </w:r>
          </w:p>
        </w:tc>
        <w:tc>
          <w:tcPr>
            <w:tcW w:w="1637" w:type="dxa"/>
            <w:tcBorders>
              <w:tl2br w:val="nil"/>
              <w:tr2bl w:val="nil"/>
            </w:tcBorders>
            <w:vAlign w:val="center"/>
          </w:tcPr>
          <w:p w14:paraId="60306D91">
            <w:pPr>
              <w:spacing w:line="400" w:lineRule="exact"/>
              <w:jc w:val="center"/>
              <w:rPr>
                <w:rFonts w:ascii="宋体" w:hAnsi="宋体" w:cs="宋体"/>
                <w:bCs/>
                <w:sz w:val="24"/>
              </w:rPr>
            </w:pPr>
          </w:p>
        </w:tc>
      </w:tr>
      <w:tr w14:paraId="61F7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l2br w:val="nil"/>
              <w:tr2bl w:val="nil"/>
            </w:tcBorders>
            <w:vAlign w:val="center"/>
          </w:tcPr>
          <w:p w14:paraId="74488FB2">
            <w:pPr>
              <w:spacing w:line="400" w:lineRule="exact"/>
              <w:jc w:val="center"/>
              <w:rPr>
                <w:rFonts w:ascii="宋体" w:hAnsi="宋体" w:cs="宋体"/>
                <w:bCs/>
                <w:sz w:val="24"/>
              </w:rPr>
            </w:pPr>
            <w:r>
              <w:rPr>
                <w:rFonts w:hint="eastAsia" w:ascii="宋体" w:hAnsi="宋体" w:cs="宋体"/>
                <w:bCs/>
                <w:sz w:val="24"/>
              </w:rPr>
              <w:t>5</w:t>
            </w:r>
          </w:p>
        </w:tc>
        <w:tc>
          <w:tcPr>
            <w:tcW w:w="2544" w:type="dxa"/>
            <w:tcBorders>
              <w:tl2br w:val="nil"/>
              <w:tr2bl w:val="nil"/>
            </w:tcBorders>
            <w:vAlign w:val="center"/>
          </w:tcPr>
          <w:p w14:paraId="60600F75">
            <w:pPr>
              <w:spacing w:line="400" w:lineRule="exact"/>
              <w:jc w:val="center"/>
              <w:rPr>
                <w:rFonts w:ascii="宋体" w:hAnsi="宋体" w:cs="宋体"/>
                <w:bCs/>
                <w:sz w:val="24"/>
              </w:rPr>
            </w:pPr>
          </w:p>
        </w:tc>
        <w:tc>
          <w:tcPr>
            <w:tcW w:w="1537" w:type="dxa"/>
            <w:tcBorders>
              <w:tl2br w:val="nil"/>
              <w:tr2bl w:val="nil"/>
            </w:tcBorders>
            <w:vAlign w:val="center"/>
          </w:tcPr>
          <w:p w14:paraId="23FC6133">
            <w:pPr>
              <w:spacing w:line="400" w:lineRule="exact"/>
              <w:jc w:val="center"/>
              <w:rPr>
                <w:rFonts w:ascii="宋体" w:hAnsi="宋体" w:cs="宋体"/>
                <w:bCs/>
                <w:sz w:val="24"/>
              </w:rPr>
            </w:pPr>
          </w:p>
        </w:tc>
        <w:tc>
          <w:tcPr>
            <w:tcW w:w="1100" w:type="dxa"/>
            <w:tcBorders>
              <w:tl2br w:val="nil"/>
              <w:tr2bl w:val="nil"/>
            </w:tcBorders>
            <w:vAlign w:val="center"/>
          </w:tcPr>
          <w:p w14:paraId="3D863718">
            <w:pPr>
              <w:spacing w:line="400" w:lineRule="exact"/>
              <w:jc w:val="center"/>
              <w:rPr>
                <w:rFonts w:ascii="宋体" w:hAnsi="宋体" w:cs="宋体"/>
                <w:bCs/>
                <w:sz w:val="24"/>
              </w:rPr>
            </w:pPr>
          </w:p>
        </w:tc>
        <w:tc>
          <w:tcPr>
            <w:tcW w:w="1338" w:type="dxa"/>
            <w:tcBorders>
              <w:tl2br w:val="nil"/>
              <w:tr2bl w:val="nil"/>
            </w:tcBorders>
            <w:vAlign w:val="center"/>
          </w:tcPr>
          <w:p w14:paraId="3A7E25D2">
            <w:pPr>
              <w:spacing w:line="400" w:lineRule="exact"/>
              <w:jc w:val="center"/>
              <w:rPr>
                <w:rFonts w:ascii="宋体" w:hAnsi="宋体" w:cs="宋体"/>
                <w:bCs/>
                <w:sz w:val="24"/>
              </w:rPr>
            </w:pPr>
          </w:p>
        </w:tc>
        <w:tc>
          <w:tcPr>
            <w:tcW w:w="1637" w:type="dxa"/>
            <w:tcBorders>
              <w:tl2br w:val="nil"/>
              <w:tr2bl w:val="nil"/>
            </w:tcBorders>
            <w:vAlign w:val="center"/>
          </w:tcPr>
          <w:p w14:paraId="6B77DE69">
            <w:pPr>
              <w:spacing w:line="400" w:lineRule="exact"/>
              <w:jc w:val="center"/>
              <w:rPr>
                <w:rFonts w:ascii="宋体" w:hAnsi="宋体" w:cs="宋体"/>
                <w:bCs/>
                <w:sz w:val="24"/>
              </w:rPr>
            </w:pPr>
          </w:p>
        </w:tc>
      </w:tr>
      <w:tr w14:paraId="7D15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l2br w:val="nil"/>
              <w:tr2bl w:val="nil"/>
            </w:tcBorders>
            <w:vAlign w:val="center"/>
          </w:tcPr>
          <w:p w14:paraId="1BBFCE11">
            <w:pPr>
              <w:spacing w:line="400" w:lineRule="exact"/>
              <w:jc w:val="center"/>
              <w:rPr>
                <w:rFonts w:ascii="宋体" w:hAnsi="宋体" w:cs="宋体"/>
                <w:bCs/>
                <w:sz w:val="24"/>
              </w:rPr>
            </w:pPr>
            <w:r>
              <w:rPr>
                <w:rFonts w:hint="eastAsia" w:ascii="宋体" w:hAnsi="宋体" w:cs="宋体"/>
                <w:bCs/>
                <w:sz w:val="24"/>
              </w:rPr>
              <w:t>6</w:t>
            </w:r>
          </w:p>
        </w:tc>
        <w:tc>
          <w:tcPr>
            <w:tcW w:w="2544" w:type="dxa"/>
            <w:tcBorders>
              <w:tl2br w:val="nil"/>
              <w:tr2bl w:val="nil"/>
            </w:tcBorders>
            <w:vAlign w:val="center"/>
          </w:tcPr>
          <w:p w14:paraId="2FF708E5">
            <w:pPr>
              <w:spacing w:line="400" w:lineRule="exact"/>
              <w:jc w:val="center"/>
              <w:rPr>
                <w:rFonts w:ascii="宋体" w:hAnsi="宋体" w:cs="宋体"/>
                <w:bCs/>
                <w:sz w:val="24"/>
              </w:rPr>
            </w:pPr>
          </w:p>
        </w:tc>
        <w:tc>
          <w:tcPr>
            <w:tcW w:w="1537" w:type="dxa"/>
            <w:tcBorders>
              <w:tl2br w:val="nil"/>
              <w:tr2bl w:val="nil"/>
            </w:tcBorders>
            <w:vAlign w:val="center"/>
          </w:tcPr>
          <w:p w14:paraId="48A59A68">
            <w:pPr>
              <w:spacing w:line="400" w:lineRule="exact"/>
              <w:jc w:val="center"/>
              <w:rPr>
                <w:rFonts w:ascii="宋体" w:hAnsi="宋体" w:cs="宋体"/>
                <w:bCs/>
                <w:sz w:val="24"/>
              </w:rPr>
            </w:pPr>
          </w:p>
        </w:tc>
        <w:tc>
          <w:tcPr>
            <w:tcW w:w="1100" w:type="dxa"/>
            <w:tcBorders>
              <w:tl2br w:val="nil"/>
              <w:tr2bl w:val="nil"/>
            </w:tcBorders>
            <w:vAlign w:val="center"/>
          </w:tcPr>
          <w:p w14:paraId="0440A8F0">
            <w:pPr>
              <w:spacing w:line="400" w:lineRule="exact"/>
              <w:jc w:val="center"/>
              <w:rPr>
                <w:rFonts w:ascii="宋体" w:hAnsi="宋体" w:cs="宋体"/>
                <w:bCs/>
                <w:sz w:val="24"/>
              </w:rPr>
            </w:pPr>
          </w:p>
        </w:tc>
        <w:tc>
          <w:tcPr>
            <w:tcW w:w="1338" w:type="dxa"/>
            <w:tcBorders>
              <w:tl2br w:val="nil"/>
              <w:tr2bl w:val="nil"/>
            </w:tcBorders>
            <w:vAlign w:val="center"/>
          </w:tcPr>
          <w:p w14:paraId="1755503A">
            <w:pPr>
              <w:spacing w:line="400" w:lineRule="exact"/>
              <w:jc w:val="center"/>
              <w:rPr>
                <w:rFonts w:ascii="宋体" w:hAnsi="宋体" w:cs="宋体"/>
                <w:bCs/>
                <w:sz w:val="24"/>
              </w:rPr>
            </w:pPr>
          </w:p>
        </w:tc>
        <w:tc>
          <w:tcPr>
            <w:tcW w:w="1637" w:type="dxa"/>
            <w:tcBorders>
              <w:tl2br w:val="nil"/>
              <w:tr2bl w:val="nil"/>
            </w:tcBorders>
            <w:vAlign w:val="center"/>
          </w:tcPr>
          <w:p w14:paraId="76A8C581">
            <w:pPr>
              <w:spacing w:line="400" w:lineRule="exact"/>
              <w:jc w:val="center"/>
              <w:rPr>
                <w:rFonts w:ascii="宋体" w:hAnsi="宋体" w:cs="宋体"/>
                <w:bCs/>
                <w:sz w:val="24"/>
              </w:rPr>
            </w:pPr>
          </w:p>
        </w:tc>
      </w:tr>
    </w:tbl>
    <w:p w14:paraId="5A39F716">
      <w:pPr>
        <w:numPr>
          <w:ilvl w:val="0"/>
          <w:numId w:val="6"/>
        </w:numPr>
        <w:adjustRightInd w:val="0"/>
        <w:snapToGrid w:val="0"/>
        <w:spacing w:line="400" w:lineRule="exact"/>
        <w:rPr>
          <w:szCs w:val="24"/>
        </w:rPr>
      </w:pPr>
      <w:bookmarkStart w:id="190" w:name="_Toc28371"/>
      <w:r>
        <w:rPr>
          <w:rStyle w:val="44"/>
          <w:rFonts w:hint="eastAsia"/>
        </w:rPr>
        <w:t>其他随机工具清单（包含但不限于以下设备，投标方填写）</w:t>
      </w:r>
      <w:r>
        <w:rPr>
          <w:rFonts w:hint="eastAsia" w:cs="Arial"/>
          <w:szCs w:val="24"/>
        </w:rPr>
        <w:t>。</w:t>
      </w:r>
      <w:bookmarkEnd w:id="190"/>
    </w:p>
    <w:tbl>
      <w:tblPr>
        <w:tblStyle w:val="18"/>
        <w:tblW w:w="9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2612"/>
        <w:gridCol w:w="1962"/>
        <w:gridCol w:w="719"/>
        <w:gridCol w:w="1219"/>
        <w:gridCol w:w="1437"/>
      </w:tblGrid>
      <w:tr w14:paraId="7FAF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Borders>
              <w:tl2br w:val="nil"/>
              <w:tr2bl w:val="nil"/>
            </w:tcBorders>
          </w:tcPr>
          <w:p w14:paraId="74FFCD33">
            <w:pPr>
              <w:spacing w:line="400" w:lineRule="exact"/>
              <w:jc w:val="center"/>
              <w:rPr>
                <w:rFonts w:ascii="宋体" w:hAnsi="宋体" w:cs="宋体"/>
                <w:bCs/>
                <w:sz w:val="24"/>
              </w:rPr>
            </w:pPr>
            <w:r>
              <w:rPr>
                <w:rFonts w:hint="eastAsia" w:ascii="宋体" w:hAnsi="宋体" w:cs="宋体"/>
                <w:bCs/>
                <w:sz w:val="24"/>
              </w:rPr>
              <w:t>序号</w:t>
            </w:r>
          </w:p>
        </w:tc>
        <w:tc>
          <w:tcPr>
            <w:tcW w:w="2612" w:type="dxa"/>
            <w:tcBorders>
              <w:tl2br w:val="nil"/>
              <w:tr2bl w:val="nil"/>
            </w:tcBorders>
          </w:tcPr>
          <w:p w14:paraId="68AF1A0C">
            <w:pPr>
              <w:spacing w:line="400" w:lineRule="exact"/>
              <w:jc w:val="center"/>
              <w:rPr>
                <w:rFonts w:ascii="宋体" w:hAnsi="宋体" w:cs="宋体"/>
                <w:bCs/>
                <w:sz w:val="24"/>
              </w:rPr>
            </w:pPr>
            <w:r>
              <w:rPr>
                <w:rFonts w:hint="eastAsia" w:ascii="宋体" w:hAnsi="宋体" w:cs="宋体"/>
                <w:bCs/>
                <w:sz w:val="24"/>
              </w:rPr>
              <w:t>名称</w:t>
            </w:r>
          </w:p>
        </w:tc>
        <w:tc>
          <w:tcPr>
            <w:tcW w:w="1962" w:type="dxa"/>
            <w:tcBorders>
              <w:tl2br w:val="nil"/>
              <w:tr2bl w:val="nil"/>
            </w:tcBorders>
          </w:tcPr>
          <w:p w14:paraId="47D6AA13">
            <w:pPr>
              <w:spacing w:line="400" w:lineRule="exact"/>
              <w:jc w:val="center"/>
              <w:rPr>
                <w:rFonts w:ascii="宋体" w:hAnsi="宋体" w:cs="宋体"/>
                <w:bCs/>
                <w:sz w:val="24"/>
              </w:rPr>
            </w:pPr>
            <w:r>
              <w:rPr>
                <w:rFonts w:hint="eastAsia" w:ascii="宋体" w:hAnsi="宋体" w:cs="宋体"/>
                <w:bCs/>
                <w:sz w:val="24"/>
              </w:rPr>
              <w:t>型号和规范</w:t>
            </w:r>
          </w:p>
        </w:tc>
        <w:tc>
          <w:tcPr>
            <w:tcW w:w="719" w:type="dxa"/>
            <w:tcBorders>
              <w:tl2br w:val="nil"/>
              <w:tr2bl w:val="nil"/>
            </w:tcBorders>
          </w:tcPr>
          <w:p w14:paraId="7EE50039">
            <w:pPr>
              <w:spacing w:line="400" w:lineRule="exact"/>
              <w:jc w:val="center"/>
              <w:rPr>
                <w:rFonts w:ascii="宋体" w:hAnsi="宋体" w:cs="宋体"/>
                <w:bCs/>
                <w:sz w:val="24"/>
              </w:rPr>
            </w:pPr>
            <w:r>
              <w:rPr>
                <w:rFonts w:hint="eastAsia" w:ascii="宋体" w:hAnsi="宋体" w:cs="宋体"/>
                <w:bCs/>
                <w:sz w:val="24"/>
              </w:rPr>
              <w:t>单位</w:t>
            </w:r>
          </w:p>
        </w:tc>
        <w:tc>
          <w:tcPr>
            <w:tcW w:w="1219" w:type="dxa"/>
            <w:tcBorders>
              <w:tl2br w:val="nil"/>
              <w:tr2bl w:val="nil"/>
            </w:tcBorders>
          </w:tcPr>
          <w:p w14:paraId="4069D6FF">
            <w:pPr>
              <w:spacing w:line="400" w:lineRule="exact"/>
              <w:jc w:val="center"/>
              <w:rPr>
                <w:rFonts w:ascii="宋体" w:hAnsi="宋体" w:cs="宋体"/>
                <w:bCs/>
                <w:sz w:val="24"/>
              </w:rPr>
            </w:pPr>
            <w:r>
              <w:rPr>
                <w:rFonts w:hint="eastAsia" w:ascii="宋体" w:hAnsi="宋体" w:cs="宋体"/>
                <w:bCs/>
                <w:sz w:val="24"/>
              </w:rPr>
              <w:t>数量</w:t>
            </w:r>
          </w:p>
        </w:tc>
        <w:tc>
          <w:tcPr>
            <w:tcW w:w="1437" w:type="dxa"/>
            <w:tcBorders>
              <w:tl2br w:val="nil"/>
              <w:tr2bl w:val="nil"/>
            </w:tcBorders>
          </w:tcPr>
          <w:p w14:paraId="67633B2C">
            <w:pPr>
              <w:spacing w:line="400" w:lineRule="exact"/>
              <w:jc w:val="center"/>
              <w:rPr>
                <w:rFonts w:ascii="宋体" w:hAnsi="宋体" w:cs="宋体"/>
                <w:bCs/>
                <w:sz w:val="24"/>
              </w:rPr>
            </w:pPr>
            <w:r>
              <w:rPr>
                <w:rFonts w:hint="eastAsia" w:ascii="宋体" w:hAnsi="宋体" w:cs="宋体"/>
                <w:bCs/>
                <w:sz w:val="24"/>
              </w:rPr>
              <w:t>用途</w:t>
            </w:r>
          </w:p>
        </w:tc>
      </w:tr>
      <w:tr w14:paraId="7257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Borders>
              <w:tl2br w:val="nil"/>
              <w:tr2bl w:val="nil"/>
            </w:tcBorders>
          </w:tcPr>
          <w:p w14:paraId="244C78CC">
            <w:pPr>
              <w:spacing w:line="400" w:lineRule="exact"/>
              <w:jc w:val="center"/>
              <w:rPr>
                <w:rFonts w:ascii="宋体" w:hAnsi="宋体" w:cs="宋体"/>
                <w:bCs/>
                <w:sz w:val="24"/>
              </w:rPr>
            </w:pPr>
          </w:p>
        </w:tc>
        <w:tc>
          <w:tcPr>
            <w:tcW w:w="2612" w:type="dxa"/>
            <w:tcBorders>
              <w:tl2br w:val="nil"/>
              <w:tr2bl w:val="nil"/>
            </w:tcBorders>
          </w:tcPr>
          <w:p w14:paraId="33368A2C">
            <w:pPr>
              <w:spacing w:line="400" w:lineRule="exact"/>
              <w:jc w:val="center"/>
              <w:rPr>
                <w:rFonts w:ascii="宋体" w:hAnsi="宋体" w:cs="宋体"/>
                <w:bCs/>
                <w:sz w:val="24"/>
              </w:rPr>
            </w:pPr>
          </w:p>
        </w:tc>
        <w:tc>
          <w:tcPr>
            <w:tcW w:w="1962" w:type="dxa"/>
            <w:tcBorders>
              <w:tl2br w:val="nil"/>
              <w:tr2bl w:val="nil"/>
            </w:tcBorders>
          </w:tcPr>
          <w:p w14:paraId="201B0E3C">
            <w:pPr>
              <w:spacing w:line="400" w:lineRule="exact"/>
              <w:jc w:val="center"/>
              <w:rPr>
                <w:rFonts w:ascii="宋体" w:hAnsi="宋体" w:cs="宋体"/>
                <w:bCs/>
                <w:sz w:val="24"/>
              </w:rPr>
            </w:pPr>
          </w:p>
        </w:tc>
        <w:tc>
          <w:tcPr>
            <w:tcW w:w="719" w:type="dxa"/>
            <w:tcBorders>
              <w:tl2br w:val="nil"/>
              <w:tr2bl w:val="nil"/>
            </w:tcBorders>
          </w:tcPr>
          <w:p w14:paraId="2D82FDB7">
            <w:pPr>
              <w:spacing w:line="400" w:lineRule="exact"/>
              <w:jc w:val="center"/>
              <w:rPr>
                <w:rFonts w:ascii="宋体" w:hAnsi="宋体" w:cs="宋体"/>
                <w:bCs/>
                <w:sz w:val="24"/>
              </w:rPr>
            </w:pPr>
          </w:p>
        </w:tc>
        <w:tc>
          <w:tcPr>
            <w:tcW w:w="1219" w:type="dxa"/>
            <w:tcBorders>
              <w:tl2br w:val="nil"/>
              <w:tr2bl w:val="nil"/>
            </w:tcBorders>
          </w:tcPr>
          <w:p w14:paraId="0892B9ED">
            <w:pPr>
              <w:spacing w:line="400" w:lineRule="exact"/>
              <w:jc w:val="center"/>
              <w:rPr>
                <w:rFonts w:ascii="宋体" w:hAnsi="宋体" w:cs="宋体"/>
                <w:bCs/>
                <w:sz w:val="24"/>
              </w:rPr>
            </w:pPr>
          </w:p>
        </w:tc>
        <w:tc>
          <w:tcPr>
            <w:tcW w:w="1437" w:type="dxa"/>
            <w:tcBorders>
              <w:tl2br w:val="nil"/>
              <w:tr2bl w:val="nil"/>
            </w:tcBorders>
          </w:tcPr>
          <w:p w14:paraId="6BE56808">
            <w:pPr>
              <w:spacing w:line="400" w:lineRule="exact"/>
              <w:jc w:val="center"/>
              <w:rPr>
                <w:rFonts w:ascii="宋体" w:hAnsi="宋体" w:cs="宋体"/>
                <w:bCs/>
                <w:sz w:val="24"/>
              </w:rPr>
            </w:pPr>
          </w:p>
        </w:tc>
      </w:tr>
      <w:tr w14:paraId="103F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Borders>
              <w:tl2br w:val="nil"/>
              <w:tr2bl w:val="nil"/>
            </w:tcBorders>
          </w:tcPr>
          <w:p w14:paraId="2FDF6D10">
            <w:pPr>
              <w:spacing w:line="400" w:lineRule="exact"/>
              <w:jc w:val="center"/>
              <w:rPr>
                <w:rFonts w:ascii="宋体" w:hAnsi="宋体" w:cs="宋体"/>
                <w:bCs/>
                <w:sz w:val="24"/>
              </w:rPr>
            </w:pPr>
          </w:p>
        </w:tc>
        <w:tc>
          <w:tcPr>
            <w:tcW w:w="2612" w:type="dxa"/>
            <w:tcBorders>
              <w:tl2br w:val="nil"/>
              <w:tr2bl w:val="nil"/>
            </w:tcBorders>
          </w:tcPr>
          <w:p w14:paraId="39032B61">
            <w:pPr>
              <w:spacing w:line="400" w:lineRule="exact"/>
              <w:jc w:val="center"/>
              <w:rPr>
                <w:rFonts w:ascii="宋体" w:hAnsi="宋体" w:cs="宋体"/>
                <w:bCs/>
                <w:sz w:val="24"/>
              </w:rPr>
            </w:pPr>
          </w:p>
        </w:tc>
        <w:tc>
          <w:tcPr>
            <w:tcW w:w="1962" w:type="dxa"/>
            <w:tcBorders>
              <w:tl2br w:val="nil"/>
              <w:tr2bl w:val="nil"/>
            </w:tcBorders>
          </w:tcPr>
          <w:p w14:paraId="683B1717">
            <w:pPr>
              <w:spacing w:line="400" w:lineRule="exact"/>
              <w:jc w:val="center"/>
              <w:rPr>
                <w:rFonts w:ascii="宋体" w:hAnsi="宋体" w:cs="宋体"/>
                <w:bCs/>
                <w:sz w:val="24"/>
              </w:rPr>
            </w:pPr>
          </w:p>
        </w:tc>
        <w:tc>
          <w:tcPr>
            <w:tcW w:w="719" w:type="dxa"/>
            <w:tcBorders>
              <w:tl2br w:val="nil"/>
              <w:tr2bl w:val="nil"/>
            </w:tcBorders>
          </w:tcPr>
          <w:p w14:paraId="0AC63780">
            <w:pPr>
              <w:spacing w:line="400" w:lineRule="exact"/>
              <w:jc w:val="center"/>
              <w:rPr>
                <w:rFonts w:ascii="宋体" w:hAnsi="宋体" w:cs="宋体"/>
                <w:bCs/>
                <w:sz w:val="24"/>
              </w:rPr>
            </w:pPr>
          </w:p>
        </w:tc>
        <w:tc>
          <w:tcPr>
            <w:tcW w:w="1219" w:type="dxa"/>
            <w:tcBorders>
              <w:tl2br w:val="nil"/>
              <w:tr2bl w:val="nil"/>
            </w:tcBorders>
          </w:tcPr>
          <w:p w14:paraId="56763DCA">
            <w:pPr>
              <w:spacing w:line="400" w:lineRule="exact"/>
              <w:jc w:val="center"/>
              <w:rPr>
                <w:rFonts w:ascii="宋体" w:hAnsi="宋体" w:cs="宋体"/>
                <w:bCs/>
                <w:sz w:val="24"/>
              </w:rPr>
            </w:pPr>
          </w:p>
        </w:tc>
        <w:tc>
          <w:tcPr>
            <w:tcW w:w="1437" w:type="dxa"/>
            <w:tcBorders>
              <w:tl2br w:val="nil"/>
              <w:tr2bl w:val="nil"/>
            </w:tcBorders>
          </w:tcPr>
          <w:p w14:paraId="41DFAB7C">
            <w:pPr>
              <w:spacing w:line="400" w:lineRule="exact"/>
              <w:jc w:val="center"/>
              <w:rPr>
                <w:rFonts w:ascii="宋体" w:hAnsi="宋体" w:cs="宋体"/>
                <w:bCs/>
                <w:sz w:val="24"/>
              </w:rPr>
            </w:pPr>
          </w:p>
        </w:tc>
      </w:tr>
      <w:tr w14:paraId="7213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Borders>
              <w:tl2br w:val="nil"/>
              <w:tr2bl w:val="nil"/>
            </w:tcBorders>
          </w:tcPr>
          <w:p w14:paraId="42A78D0C">
            <w:pPr>
              <w:spacing w:line="400" w:lineRule="exact"/>
              <w:jc w:val="center"/>
              <w:rPr>
                <w:rFonts w:ascii="宋体" w:hAnsi="宋体" w:cs="宋体"/>
                <w:bCs/>
                <w:sz w:val="24"/>
              </w:rPr>
            </w:pPr>
          </w:p>
        </w:tc>
        <w:tc>
          <w:tcPr>
            <w:tcW w:w="2612" w:type="dxa"/>
            <w:tcBorders>
              <w:tl2br w:val="nil"/>
              <w:tr2bl w:val="nil"/>
            </w:tcBorders>
          </w:tcPr>
          <w:p w14:paraId="7EA371B0">
            <w:pPr>
              <w:spacing w:line="400" w:lineRule="exact"/>
              <w:jc w:val="center"/>
              <w:rPr>
                <w:rFonts w:ascii="宋体" w:hAnsi="宋体" w:cs="宋体"/>
                <w:bCs/>
                <w:sz w:val="24"/>
              </w:rPr>
            </w:pPr>
          </w:p>
        </w:tc>
        <w:tc>
          <w:tcPr>
            <w:tcW w:w="1962" w:type="dxa"/>
            <w:tcBorders>
              <w:tl2br w:val="nil"/>
              <w:tr2bl w:val="nil"/>
            </w:tcBorders>
          </w:tcPr>
          <w:p w14:paraId="28804371">
            <w:pPr>
              <w:spacing w:line="400" w:lineRule="exact"/>
              <w:jc w:val="center"/>
              <w:rPr>
                <w:rFonts w:ascii="宋体" w:hAnsi="宋体" w:cs="宋体"/>
                <w:bCs/>
                <w:sz w:val="24"/>
              </w:rPr>
            </w:pPr>
          </w:p>
        </w:tc>
        <w:tc>
          <w:tcPr>
            <w:tcW w:w="719" w:type="dxa"/>
            <w:tcBorders>
              <w:tl2br w:val="nil"/>
              <w:tr2bl w:val="nil"/>
            </w:tcBorders>
          </w:tcPr>
          <w:p w14:paraId="757AC366">
            <w:pPr>
              <w:spacing w:line="400" w:lineRule="exact"/>
              <w:jc w:val="center"/>
              <w:rPr>
                <w:rFonts w:ascii="宋体" w:hAnsi="宋体" w:cs="宋体"/>
                <w:bCs/>
                <w:sz w:val="24"/>
              </w:rPr>
            </w:pPr>
          </w:p>
        </w:tc>
        <w:tc>
          <w:tcPr>
            <w:tcW w:w="1219" w:type="dxa"/>
            <w:tcBorders>
              <w:tl2br w:val="nil"/>
              <w:tr2bl w:val="nil"/>
            </w:tcBorders>
          </w:tcPr>
          <w:p w14:paraId="232C9859">
            <w:pPr>
              <w:spacing w:line="400" w:lineRule="exact"/>
              <w:jc w:val="center"/>
              <w:rPr>
                <w:rFonts w:ascii="宋体" w:hAnsi="宋体" w:cs="宋体"/>
                <w:bCs/>
                <w:sz w:val="24"/>
              </w:rPr>
            </w:pPr>
          </w:p>
        </w:tc>
        <w:tc>
          <w:tcPr>
            <w:tcW w:w="1437" w:type="dxa"/>
            <w:tcBorders>
              <w:tl2br w:val="nil"/>
              <w:tr2bl w:val="nil"/>
            </w:tcBorders>
          </w:tcPr>
          <w:p w14:paraId="0D4F018C">
            <w:pPr>
              <w:spacing w:line="400" w:lineRule="exact"/>
              <w:jc w:val="center"/>
              <w:rPr>
                <w:rFonts w:ascii="宋体" w:hAnsi="宋体" w:cs="宋体"/>
                <w:bCs/>
                <w:sz w:val="24"/>
              </w:rPr>
            </w:pPr>
          </w:p>
        </w:tc>
      </w:tr>
      <w:tr w14:paraId="0FAEA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Borders>
              <w:tl2br w:val="nil"/>
              <w:tr2bl w:val="nil"/>
            </w:tcBorders>
          </w:tcPr>
          <w:p w14:paraId="2025C978">
            <w:pPr>
              <w:spacing w:line="400" w:lineRule="exact"/>
              <w:jc w:val="center"/>
              <w:rPr>
                <w:rFonts w:ascii="宋体" w:hAnsi="宋体" w:cs="宋体"/>
                <w:bCs/>
                <w:sz w:val="24"/>
              </w:rPr>
            </w:pPr>
          </w:p>
        </w:tc>
        <w:tc>
          <w:tcPr>
            <w:tcW w:w="2612" w:type="dxa"/>
            <w:tcBorders>
              <w:tl2br w:val="nil"/>
              <w:tr2bl w:val="nil"/>
            </w:tcBorders>
          </w:tcPr>
          <w:p w14:paraId="0EA958D5">
            <w:pPr>
              <w:spacing w:line="400" w:lineRule="exact"/>
              <w:jc w:val="center"/>
              <w:rPr>
                <w:rFonts w:ascii="宋体" w:hAnsi="宋体" w:cs="宋体"/>
                <w:bCs/>
                <w:sz w:val="24"/>
              </w:rPr>
            </w:pPr>
          </w:p>
        </w:tc>
        <w:tc>
          <w:tcPr>
            <w:tcW w:w="1962" w:type="dxa"/>
            <w:tcBorders>
              <w:tl2br w:val="nil"/>
              <w:tr2bl w:val="nil"/>
            </w:tcBorders>
          </w:tcPr>
          <w:p w14:paraId="7F7E4BCB">
            <w:pPr>
              <w:spacing w:line="400" w:lineRule="exact"/>
              <w:jc w:val="center"/>
              <w:rPr>
                <w:rFonts w:ascii="宋体" w:hAnsi="宋体" w:cs="宋体"/>
                <w:bCs/>
                <w:sz w:val="24"/>
              </w:rPr>
            </w:pPr>
          </w:p>
        </w:tc>
        <w:tc>
          <w:tcPr>
            <w:tcW w:w="719" w:type="dxa"/>
            <w:tcBorders>
              <w:tl2br w:val="nil"/>
              <w:tr2bl w:val="nil"/>
            </w:tcBorders>
          </w:tcPr>
          <w:p w14:paraId="4B5D50B5">
            <w:pPr>
              <w:spacing w:line="400" w:lineRule="exact"/>
              <w:jc w:val="center"/>
              <w:rPr>
                <w:rFonts w:ascii="宋体" w:hAnsi="宋体" w:cs="宋体"/>
                <w:bCs/>
                <w:sz w:val="24"/>
              </w:rPr>
            </w:pPr>
          </w:p>
        </w:tc>
        <w:tc>
          <w:tcPr>
            <w:tcW w:w="1219" w:type="dxa"/>
            <w:tcBorders>
              <w:tl2br w:val="nil"/>
              <w:tr2bl w:val="nil"/>
            </w:tcBorders>
          </w:tcPr>
          <w:p w14:paraId="08901880">
            <w:pPr>
              <w:spacing w:line="400" w:lineRule="exact"/>
              <w:jc w:val="center"/>
              <w:rPr>
                <w:rFonts w:ascii="宋体" w:hAnsi="宋体" w:cs="宋体"/>
                <w:bCs/>
                <w:sz w:val="24"/>
              </w:rPr>
            </w:pPr>
          </w:p>
        </w:tc>
        <w:tc>
          <w:tcPr>
            <w:tcW w:w="1437" w:type="dxa"/>
            <w:tcBorders>
              <w:tl2br w:val="nil"/>
              <w:tr2bl w:val="nil"/>
            </w:tcBorders>
          </w:tcPr>
          <w:p w14:paraId="4303E9CF">
            <w:pPr>
              <w:spacing w:line="400" w:lineRule="exact"/>
              <w:jc w:val="center"/>
              <w:rPr>
                <w:rFonts w:ascii="宋体" w:hAnsi="宋体" w:cs="宋体"/>
                <w:bCs/>
                <w:sz w:val="24"/>
              </w:rPr>
            </w:pPr>
          </w:p>
        </w:tc>
      </w:tr>
    </w:tbl>
    <w:p w14:paraId="21F42D72">
      <w:pPr>
        <w:pStyle w:val="3"/>
        <w:keepNext w:val="0"/>
        <w:keepLines w:val="0"/>
        <w:spacing w:before="156" w:after="156" w:line="400" w:lineRule="exact"/>
        <w:ind w:firstLine="0" w:firstLineChars="0"/>
        <w:rPr>
          <w:rFonts w:ascii="宋体" w:hAnsi="宋体"/>
          <w:sz w:val="24"/>
          <w:szCs w:val="24"/>
        </w:rPr>
      </w:pPr>
    </w:p>
    <w:p w14:paraId="74F777F6">
      <w:pPr>
        <w:pStyle w:val="2"/>
      </w:pPr>
      <w:bookmarkStart w:id="191" w:name="_Toc31551"/>
      <w:bookmarkStart w:id="192" w:name="_Toc31752"/>
      <w:bookmarkStart w:id="193" w:name="_Toc17943"/>
      <w:r>
        <w:rPr>
          <w:rFonts w:hint="eastAsia"/>
        </w:rPr>
        <w:t>八、技术服务</w:t>
      </w:r>
      <w:bookmarkEnd w:id="189"/>
      <w:bookmarkEnd w:id="191"/>
      <w:bookmarkEnd w:id="192"/>
      <w:bookmarkEnd w:id="193"/>
    </w:p>
    <w:p w14:paraId="03964FDC">
      <w:pPr>
        <w:pStyle w:val="5"/>
        <w:ind w:firstLine="480"/>
      </w:pPr>
      <w:r>
        <w:rPr>
          <w:rFonts w:hint="eastAsia"/>
        </w:rPr>
        <w:t>投标方现场技术服务人员的目的是使所供设备安全、正常投运。任务主要包括设备催交、货物的开箱检验、设备质量问题的处理、指导安装和调试、参加试运和性能验收试验。</w:t>
      </w:r>
    </w:p>
    <w:p w14:paraId="3586052D">
      <w:pPr>
        <w:pStyle w:val="5"/>
        <w:numPr>
          <w:ilvl w:val="0"/>
          <w:numId w:val="7"/>
        </w:numPr>
        <w:ind w:firstLine="480"/>
      </w:pPr>
      <w:r>
        <w:rPr>
          <w:rFonts w:hint="eastAsia"/>
        </w:rPr>
        <w:t>联络会议。</w:t>
      </w:r>
    </w:p>
    <w:p w14:paraId="55C51A18">
      <w:pPr>
        <w:pStyle w:val="5"/>
        <w:numPr>
          <w:ilvl w:val="0"/>
          <w:numId w:val="7"/>
        </w:numPr>
        <w:ind w:left="840" w:hanging="360" w:firstLineChars="0"/>
      </w:pPr>
      <w:r>
        <w:rPr>
          <w:rFonts w:hint="eastAsia"/>
        </w:rPr>
        <w:t>在合同执行阶段，有不少于三次设计联络会议，两次在发包人单位，一次在承包人单位。对于在承包人单位设计联络会议，承包人负担所有自己的费用，发包人只负责当地的交通工具以及现场会议及工作所需的场地。对于在承包人工厂设计联络会议，发包人负担所有自己的费用，承包人只负责当地的交通工具以及现场会议及工作所需的场地。准确的联络会议时间在合同签定后确认。</w:t>
      </w:r>
    </w:p>
    <w:p w14:paraId="5578B4DC">
      <w:pPr>
        <w:pStyle w:val="5"/>
        <w:numPr>
          <w:ilvl w:val="0"/>
          <w:numId w:val="7"/>
        </w:numPr>
        <w:ind w:firstLine="480"/>
      </w:pPr>
      <w:r>
        <w:rPr>
          <w:rFonts w:hint="eastAsia"/>
        </w:rPr>
        <w:t>安装：承包人提供详细的安装人员周数及名单。</w:t>
      </w:r>
    </w:p>
    <w:p w14:paraId="3CF14157">
      <w:pPr>
        <w:pStyle w:val="5"/>
        <w:numPr>
          <w:ilvl w:val="0"/>
          <w:numId w:val="7"/>
        </w:numPr>
        <w:ind w:firstLine="480"/>
      </w:pPr>
      <w:r>
        <w:rPr>
          <w:rFonts w:hint="eastAsia"/>
        </w:rPr>
        <w:t>调试和开机：承包人提供调试和开机人员的人员周数及名单。</w:t>
      </w:r>
      <w:bookmarkStart w:id="194" w:name="_Toc479928010"/>
    </w:p>
    <w:bookmarkEnd w:id="194"/>
    <w:p w14:paraId="49EEEBEC">
      <w:pPr>
        <w:spacing w:line="400" w:lineRule="exact"/>
        <w:rPr>
          <w:rFonts w:ascii="宋体" w:hAnsi="宋体"/>
          <w:sz w:val="24"/>
        </w:rPr>
      </w:pPr>
    </w:p>
    <w:bookmarkEnd w:id="178"/>
    <w:bookmarkEnd w:id="179"/>
    <w:bookmarkEnd w:id="180"/>
    <w:p w14:paraId="4BDD8B05">
      <w:pPr>
        <w:pStyle w:val="2"/>
        <w:rPr>
          <w:lang w:val="zh-CN"/>
        </w:rPr>
      </w:pPr>
      <w:bookmarkStart w:id="195" w:name="_Toc26053"/>
      <w:bookmarkStart w:id="196" w:name="_Toc16950"/>
      <w:bookmarkStart w:id="197" w:name="_Toc31069"/>
      <w:r>
        <w:rPr>
          <w:rFonts w:hint="eastAsia"/>
        </w:rPr>
        <w:t>九、电气设备</w:t>
      </w:r>
      <w:r>
        <w:rPr>
          <w:rFonts w:hint="eastAsia"/>
          <w:lang w:val="zh-CN"/>
        </w:rPr>
        <w:t>试验标准</w:t>
      </w:r>
      <w:bookmarkEnd w:id="195"/>
      <w:bookmarkEnd w:id="196"/>
      <w:bookmarkEnd w:id="197"/>
    </w:p>
    <w:p w14:paraId="5C4BF3C9">
      <w:pPr>
        <w:pStyle w:val="5"/>
        <w:ind w:firstLine="480"/>
      </w:pPr>
      <w:r>
        <w:rPr>
          <w:rFonts w:hint="eastAsia"/>
          <w:lang w:val="zh-CN"/>
        </w:rPr>
        <w:t>符合国家电气设备交接试验标准（GB</w:t>
      </w:r>
      <w:r>
        <w:rPr>
          <w:lang w:val="zh-CN"/>
        </w:rPr>
        <w:t>50150-2016</w:t>
      </w:r>
      <w:r>
        <w:rPr>
          <w:rFonts w:hint="eastAsia"/>
          <w:lang w:val="zh-CN"/>
        </w:rPr>
        <w:t>）、电力设备预防性试验规程（DL/T</w:t>
      </w:r>
      <w:r>
        <w:rPr>
          <w:lang w:val="zh-CN"/>
        </w:rPr>
        <w:t>596-2021</w:t>
      </w:r>
      <w:r>
        <w:rPr>
          <w:rFonts w:hint="eastAsia"/>
          <w:lang w:val="zh-CN"/>
        </w:rPr>
        <w:t>）</w:t>
      </w:r>
      <w:r>
        <w:t>。</w:t>
      </w:r>
    </w:p>
    <w:p w14:paraId="3C40B835">
      <w:pPr>
        <w:spacing w:line="400" w:lineRule="exact"/>
        <w:jc w:val="left"/>
        <w:rPr>
          <w:rFonts w:ascii="宋体" w:hAnsi="宋体"/>
          <w:b/>
          <w:bCs/>
          <w:kern w:val="0"/>
          <w:sz w:val="24"/>
          <w:lang w:val="zh-CN"/>
        </w:rPr>
      </w:pPr>
    </w:p>
    <w:p w14:paraId="0ACA2655">
      <w:pPr>
        <w:pStyle w:val="2"/>
        <w:rPr>
          <w:lang w:val="zh-CN"/>
        </w:rPr>
      </w:pPr>
      <w:bookmarkStart w:id="198" w:name="_Toc3757"/>
      <w:bookmarkStart w:id="199" w:name="_Toc11061"/>
      <w:bookmarkStart w:id="200" w:name="_Toc19782"/>
      <w:r>
        <w:rPr>
          <w:rFonts w:hint="eastAsia"/>
          <w:lang w:val="zh-CN"/>
        </w:rPr>
        <w:t>十、  质量保证期</w:t>
      </w:r>
      <w:bookmarkEnd w:id="198"/>
      <w:bookmarkEnd w:id="199"/>
      <w:bookmarkEnd w:id="200"/>
    </w:p>
    <w:p w14:paraId="1A5026C6">
      <w:pPr>
        <w:pStyle w:val="5"/>
        <w:numPr>
          <w:ilvl w:val="0"/>
          <w:numId w:val="8"/>
        </w:numPr>
        <w:ind w:left="840" w:hanging="360" w:firstLineChars="0"/>
      </w:pPr>
      <w:r>
        <w:rPr>
          <w:rFonts w:hint="eastAsia"/>
          <w:lang w:val="zh-CN"/>
        </w:rPr>
        <w:t>质量保证期为设备最终验收合格后</w:t>
      </w:r>
      <w:r>
        <w:rPr>
          <w:color w:val="000000" w:themeColor="text1"/>
          <w:lang w:val="zh-CN"/>
          <w14:textFill>
            <w14:solidFill>
              <w14:schemeClr w14:val="tx1"/>
            </w14:solidFill>
          </w14:textFill>
        </w:rPr>
        <w:t>24</w:t>
      </w:r>
      <w:r>
        <w:rPr>
          <w:rFonts w:hint="eastAsia"/>
          <w:color w:val="000000" w:themeColor="text1"/>
          <w:lang w:val="zh-CN"/>
          <w14:textFill>
            <w14:solidFill>
              <w14:schemeClr w14:val="tx1"/>
            </w14:solidFill>
          </w14:textFill>
        </w:rPr>
        <w:t>个月（允许更长质保期）</w:t>
      </w:r>
      <w:r>
        <w:rPr>
          <w:rFonts w:hint="eastAsia"/>
          <w:lang w:val="zh-CN"/>
        </w:rPr>
        <w:t>，在质量保证期及保修期内设备运行中发生问题，卖方应</w:t>
      </w:r>
      <w:r>
        <w:rPr>
          <w:lang w:val="zh-CN"/>
        </w:rPr>
        <w:t>24</w:t>
      </w:r>
      <w:r>
        <w:rPr>
          <w:rFonts w:hint="eastAsia"/>
          <w:lang w:val="zh-CN"/>
        </w:rPr>
        <w:t>小时提供免费咨询服务。故障后检修人员响应时间为</w:t>
      </w:r>
      <w:r>
        <w:rPr>
          <w:lang w:val="zh-CN"/>
        </w:rPr>
        <w:t>12</w:t>
      </w:r>
      <w:r>
        <w:rPr>
          <w:rFonts w:hint="eastAsia"/>
          <w:lang w:val="zh-CN"/>
        </w:rPr>
        <w:t>小时。</w:t>
      </w:r>
    </w:p>
    <w:p w14:paraId="3B63E90D">
      <w:pPr>
        <w:pStyle w:val="5"/>
        <w:numPr>
          <w:ilvl w:val="0"/>
          <w:numId w:val="8"/>
        </w:numPr>
        <w:ind w:left="840" w:hanging="360" w:firstLineChars="0"/>
        <w:rPr>
          <w:rFonts w:cs="宋体"/>
          <w:kern w:val="0"/>
          <w:lang w:val="zh-CN"/>
        </w:rPr>
      </w:pPr>
      <w:r>
        <w:rPr>
          <w:rFonts w:hint="eastAsia"/>
          <w:lang w:val="zh-CN"/>
        </w:rPr>
        <w:t>免费保修期结束后，卖方有责任在设备使用地区指定有能力的代理人对设备在必要时进行定期维护和维修。照明灯具质保期为验收合格后5年。</w:t>
      </w:r>
    </w:p>
    <w:p w14:paraId="5E8710F0">
      <w:pPr>
        <w:rPr>
          <w:rFonts w:cs="宋体"/>
          <w:kern w:val="0"/>
          <w:lang w:val="zh-CN"/>
        </w:rPr>
      </w:pPr>
      <w:r>
        <w:rPr>
          <w:rFonts w:hint="eastAsia"/>
          <w:lang w:val="zh-CN"/>
        </w:rPr>
        <w:br w:type="page"/>
      </w:r>
    </w:p>
    <w:p w14:paraId="29CC153A">
      <w:pPr>
        <w:jc w:val="center"/>
        <w:rPr>
          <w:rFonts w:ascii="宋体" w:hAnsi="宋体"/>
          <w:b/>
          <w:sz w:val="52"/>
          <w:szCs w:val="52"/>
        </w:rPr>
      </w:pPr>
    </w:p>
    <w:p w14:paraId="11076069">
      <w:pPr>
        <w:jc w:val="center"/>
        <w:rPr>
          <w:rFonts w:ascii="宋体" w:hAnsi="宋体"/>
          <w:b/>
          <w:sz w:val="44"/>
          <w:szCs w:val="44"/>
        </w:rPr>
      </w:pPr>
      <w:r>
        <w:rPr>
          <w:rFonts w:hint="eastAsia" w:ascii="宋体" w:hAnsi="宋体"/>
          <w:b/>
          <w:sz w:val="44"/>
          <w:szCs w:val="44"/>
        </w:rPr>
        <w:t>年产50万吨食品包装原纸技改工程变更项目</w:t>
      </w:r>
    </w:p>
    <w:p w14:paraId="57E6CA9C">
      <w:pPr>
        <w:jc w:val="center"/>
        <w:rPr>
          <w:rFonts w:ascii="宋体" w:hAnsi="宋体"/>
          <w:b/>
          <w:sz w:val="44"/>
          <w:szCs w:val="44"/>
        </w:rPr>
      </w:pPr>
      <w:r>
        <w:rPr>
          <w:rFonts w:hint="eastAsia" w:ascii="宋体" w:hAnsi="宋体"/>
          <w:b/>
          <w:sz w:val="44"/>
          <w:szCs w:val="44"/>
        </w:rPr>
        <w:t>（年产20万吨竹浆技改项目）</w:t>
      </w:r>
    </w:p>
    <w:p w14:paraId="389C1473">
      <w:pPr>
        <w:jc w:val="center"/>
        <w:rPr>
          <w:rFonts w:ascii="宋体" w:hAnsi="宋体"/>
          <w:b/>
          <w:sz w:val="44"/>
          <w:szCs w:val="44"/>
        </w:rPr>
      </w:pPr>
      <w:r>
        <w:rPr>
          <w:rFonts w:hint="eastAsia" w:ascii="宋体" w:hAnsi="宋体"/>
          <w:b/>
          <w:sz w:val="44"/>
          <w:szCs w:val="44"/>
        </w:rPr>
        <w:t>EPC工程总承包</w:t>
      </w:r>
    </w:p>
    <w:p w14:paraId="4B675AF0">
      <w:pPr>
        <w:jc w:val="center"/>
        <w:rPr>
          <w:rFonts w:ascii="宋体" w:hAnsi="宋体"/>
          <w:b/>
          <w:sz w:val="44"/>
          <w:szCs w:val="44"/>
          <w:lang w:bidi="he-IL"/>
        </w:rPr>
      </w:pPr>
      <w:r>
        <w:rPr>
          <w:rFonts w:hint="eastAsia" w:ascii="宋体" w:hAnsi="宋体"/>
          <w:b/>
          <w:sz w:val="44"/>
          <w:szCs w:val="44"/>
          <w:lang w:bidi="he-IL"/>
        </w:rPr>
        <w:t>技术协议书</w:t>
      </w:r>
    </w:p>
    <w:p w14:paraId="1D226344">
      <w:pPr>
        <w:jc w:val="center"/>
        <w:rPr>
          <w:rFonts w:ascii="宋体" w:hAnsi="宋体"/>
          <w:b/>
          <w:sz w:val="44"/>
          <w:szCs w:val="44"/>
          <w:lang w:bidi="he-IL"/>
        </w:rPr>
      </w:pPr>
      <w:r>
        <w:rPr>
          <w:rFonts w:hint="eastAsia" w:ascii="宋体" w:hAnsi="宋体"/>
          <w:b/>
          <w:sz w:val="44"/>
          <w:szCs w:val="44"/>
          <w:lang w:bidi="he-IL"/>
        </w:rPr>
        <w:t>第五篇</w:t>
      </w:r>
    </w:p>
    <w:p w14:paraId="3DA4DCCE">
      <w:pPr>
        <w:jc w:val="center"/>
        <w:outlineLvl w:val="0"/>
        <w:rPr>
          <w:rFonts w:ascii="宋体" w:hAnsi="宋体"/>
          <w:b/>
          <w:sz w:val="44"/>
          <w:szCs w:val="44"/>
          <w:lang w:bidi="he-IL"/>
        </w:rPr>
      </w:pPr>
      <w:bookmarkStart w:id="201" w:name="_Toc26340"/>
      <w:bookmarkStart w:id="202" w:name="_Toc51313859"/>
      <w:bookmarkStart w:id="203" w:name="_Toc31598"/>
      <w:bookmarkStart w:id="204" w:name="_Toc20703"/>
      <w:bookmarkStart w:id="205" w:name="_Toc32137"/>
      <w:bookmarkStart w:id="206" w:name="_Toc38369147"/>
      <w:r>
        <w:rPr>
          <w:rFonts w:hint="eastAsia" w:ascii="宋体" w:hAnsi="宋体"/>
          <w:b/>
          <w:sz w:val="44"/>
          <w:szCs w:val="44"/>
          <w:lang w:bidi="he-IL"/>
        </w:rPr>
        <w:t>自动化与信息化工程</w:t>
      </w:r>
      <w:bookmarkEnd w:id="201"/>
      <w:bookmarkEnd w:id="202"/>
      <w:bookmarkEnd w:id="203"/>
      <w:bookmarkEnd w:id="204"/>
      <w:bookmarkEnd w:id="205"/>
      <w:bookmarkEnd w:id="206"/>
    </w:p>
    <w:p w14:paraId="6877C3BE">
      <w:pPr>
        <w:spacing w:line="480" w:lineRule="auto"/>
        <w:jc w:val="center"/>
        <w:rPr>
          <w:rFonts w:ascii="Times New Roman" w:hAnsi="Times New Roman"/>
          <w:b/>
          <w:sz w:val="52"/>
          <w:szCs w:val="52"/>
        </w:rPr>
      </w:pPr>
    </w:p>
    <w:p w14:paraId="10A0025F">
      <w:pPr>
        <w:spacing w:line="480" w:lineRule="auto"/>
        <w:jc w:val="center"/>
        <w:rPr>
          <w:rFonts w:ascii="Times New Roman" w:hAnsi="Times New Roman"/>
          <w:b/>
          <w:sz w:val="52"/>
          <w:szCs w:val="52"/>
        </w:rPr>
      </w:pPr>
    </w:p>
    <w:p w14:paraId="0967B695">
      <w:pPr>
        <w:spacing w:line="480" w:lineRule="auto"/>
        <w:jc w:val="center"/>
        <w:rPr>
          <w:rFonts w:ascii="Times New Roman" w:hAnsi="Times New Roman"/>
          <w:b/>
          <w:sz w:val="52"/>
          <w:szCs w:val="52"/>
        </w:rPr>
      </w:pPr>
    </w:p>
    <w:p w14:paraId="1282F128">
      <w:pPr>
        <w:spacing w:line="480" w:lineRule="auto"/>
        <w:rPr>
          <w:rFonts w:ascii="Times New Roman" w:hAnsi="Times New Roman"/>
          <w:b/>
          <w:sz w:val="52"/>
          <w:szCs w:val="52"/>
        </w:rPr>
      </w:pPr>
    </w:p>
    <w:p w14:paraId="2F70EE5C">
      <w:pPr>
        <w:spacing w:line="480" w:lineRule="auto"/>
        <w:rPr>
          <w:rFonts w:ascii="Times New Roman" w:hAnsi="Times New Roman"/>
          <w:b/>
          <w:sz w:val="72"/>
          <w:szCs w:val="72"/>
        </w:rPr>
      </w:pPr>
    </w:p>
    <w:p w14:paraId="1A44F675">
      <w:pPr>
        <w:spacing w:line="500" w:lineRule="exact"/>
        <w:rPr>
          <w:rFonts w:ascii="Times New Roman" w:hAnsi="Times New Roman"/>
          <w:szCs w:val="28"/>
        </w:rPr>
      </w:pPr>
    </w:p>
    <w:p w14:paraId="7271742A">
      <w:pPr>
        <w:spacing w:line="500" w:lineRule="exact"/>
        <w:rPr>
          <w:rFonts w:ascii="Times New Roman" w:hAnsi="Times New Roman"/>
          <w:szCs w:val="28"/>
        </w:rPr>
      </w:pPr>
    </w:p>
    <w:p w14:paraId="09F66C4F">
      <w:pPr>
        <w:spacing w:line="500" w:lineRule="exact"/>
        <w:rPr>
          <w:rFonts w:ascii="Times New Roman" w:hAnsi="Times New Roman"/>
          <w:szCs w:val="28"/>
        </w:rPr>
      </w:pPr>
    </w:p>
    <w:p w14:paraId="582527D5">
      <w:pPr>
        <w:spacing w:line="500" w:lineRule="exact"/>
        <w:rPr>
          <w:rFonts w:ascii="Times New Roman" w:hAnsi="Times New Roman"/>
          <w:szCs w:val="28"/>
        </w:rPr>
      </w:pPr>
    </w:p>
    <w:p w14:paraId="4ABE7C67">
      <w:pPr>
        <w:spacing w:line="500" w:lineRule="exact"/>
        <w:rPr>
          <w:rFonts w:ascii="Times New Roman" w:hAnsi="Times New Roman"/>
          <w:szCs w:val="28"/>
        </w:rPr>
      </w:pPr>
    </w:p>
    <w:p w14:paraId="62CC5058">
      <w:pPr>
        <w:spacing w:line="500" w:lineRule="exact"/>
        <w:jc w:val="center"/>
        <w:rPr>
          <w:rFonts w:ascii="Times New Roman" w:hAnsi="Times New Roman"/>
          <w:sz w:val="32"/>
          <w:szCs w:val="32"/>
        </w:r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w:t>
      </w:r>
      <w:r>
        <w:rPr>
          <w:rFonts w:ascii="Times New Roman" w:hAnsi="Times New Roman"/>
          <w:sz w:val="32"/>
          <w:szCs w:val="32"/>
        </w:rPr>
        <w:t xml:space="preserve"> </w:t>
      </w:r>
      <w:r>
        <w:rPr>
          <w:rFonts w:hint="eastAsia" w:ascii="Times New Roman" w:hAnsi="Times New Roman"/>
          <w:sz w:val="32"/>
          <w:szCs w:val="32"/>
        </w:rPr>
        <w:t>月</w:t>
      </w:r>
    </w:p>
    <w:p w14:paraId="3E1C5261">
      <w:pPr>
        <w:pStyle w:val="17"/>
        <w:ind w:left="560"/>
        <w:sectPr>
          <w:pgSz w:w="11906" w:h="16838"/>
          <w:pgMar w:top="1440" w:right="1417" w:bottom="1440" w:left="1417" w:header="964" w:footer="992" w:gutter="0"/>
          <w:cols w:space="720" w:num="1"/>
          <w:docGrid w:type="lines" w:linePitch="312" w:charSpace="0"/>
        </w:sectPr>
      </w:pPr>
    </w:p>
    <w:p w14:paraId="068C1865">
      <w:pPr>
        <w:pStyle w:val="2"/>
        <w:numPr>
          <w:ilvl w:val="0"/>
          <w:numId w:val="9"/>
        </w:numPr>
        <w:spacing w:before="156" w:after="100" w:line="360" w:lineRule="exact"/>
        <w:rPr>
          <w:rFonts w:ascii="仿宋" w:hAnsi="仿宋" w:eastAsia="仿宋" w:cs="宋体"/>
        </w:rPr>
      </w:pPr>
      <w:bookmarkStart w:id="207" w:name="_Toc96"/>
      <w:bookmarkStart w:id="208" w:name="_Toc28532"/>
      <w:bookmarkStart w:id="209" w:name="_Toc17439"/>
      <w:r>
        <w:rPr>
          <w:rFonts w:hint="eastAsia" w:cs="宋体"/>
          <w:szCs w:val="28"/>
        </w:rPr>
        <w:t>总则</w:t>
      </w:r>
      <w:bookmarkEnd w:id="207"/>
      <w:bookmarkEnd w:id="208"/>
      <w:bookmarkEnd w:id="209"/>
    </w:p>
    <w:p w14:paraId="6884A9D5">
      <w:pPr>
        <w:numPr>
          <w:ilvl w:val="1"/>
          <w:numId w:val="9"/>
        </w:numPr>
        <w:autoSpaceDE w:val="0"/>
        <w:autoSpaceDN w:val="0"/>
        <w:snapToGrid w:val="0"/>
        <w:spacing w:before="100" w:after="100" w:line="360" w:lineRule="exact"/>
        <w:jc w:val="left"/>
        <w:rPr>
          <w:rFonts w:ascii="仿宋" w:hAnsi="仿宋" w:eastAsia="仿宋" w:cs="宋体"/>
          <w:color w:val="000000"/>
          <w:kern w:val="0"/>
          <w:sz w:val="24"/>
          <w:szCs w:val="24"/>
        </w:rPr>
      </w:pPr>
      <w:r>
        <w:rPr>
          <w:rFonts w:hint="eastAsia" w:ascii="宋体" w:hAnsi="宋体" w:cs="宋体"/>
          <w:color w:val="000000"/>
          <w:kern w:val="0"/>
          <w:sz w:val="24"/>
          <w:szCs w:val="24"/>
        </w:rPr>
        <w:t>本技术文本适用于本项目备料、蒸煮、洗选工段的自动化与信息化工程，包括功能设计、结构、性能、安装和调试等方面的技术要求；</w:t>
      </w:r>
    </w:p>
    <w:p w14:paraId="132B80DD">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color w:val="000000"/>
          <w:kern w:val="0"/>
          <w:sz w:val="24"/>
          <w:szCs w:val="24"/>
        </w:rPr>
        <w:t>技术文本中所提出的技术要求，是招标人对本项目自动化与信息工程最低限度的技术要求，并非设计标准和质量标准；自动化与信息化工程的设计、设备选型、安装和调试须符合现行的国家标准和行业标准（就高）；</w:t>
      </w:r>
    </w:p>
    <w:p w14:paraId="36BB6EC2">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color w:val="000000"/>
          <w:sz w:val="24"/>
          <w:szCs w:val="24"/>
        </w:rPr>
        <w:t>本项目</w:t>
      </w:r>
      <w:r>
        <w:rPr>
          <w:rFonts w:hint="eastAsia" w:ascii="宋体" w:hAnsi="宋体" w:cs="宋体"/>
          <w:color w:val="000000"/>
          <w:kern w:val="0"/>
          <w:sz w:val="24"/>
          <w:szCs w:val="24"/>
        </w:rPr>
        <w:t>自动化与信息化工程所涉及的各类仪表、控制阀及控制系统的设计、选型和供货须以最终的设计文件为依据，且符合实际工况和本技术文件提出的最低限度的技术要求，设备、系统的选型和质量品质最终须满足项目安全稳定可靠运行的需求；</w:t>
      </w:r>
    </w:p>
    <w:p w14:paraId="3C5039D8">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color w:val="000000"/>
          <w:kern w:val="0"/>
          <w:sz w:val="24"/>
          <w:szCs w:val="24"/>
        </w:rPr>
        <w:t>提供自动化与信息化工程的产品，须获得中国国家技术监督局计量产品认可，原装进口产品还须提供原产地证明书；</w:t>
      </w:r>
    </w:p>
    <w:p w14:paraId="51468D49">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color w:val="000000"/>
          <w:kern w:val="0"/>
          <w:sz w:val="24"/>
          <w:szCs w:val="24"/>
        </w:rPr>
        <w:t>提供产品质量保证承诺，所供产品出现问题应能及时处理或无条件更换。</w:t>
      </w:r>
    </w:p>
    <w:p w14:paraId="2EAE85A6">
      <w:pPr>
        <w:pStyle w:val="2"/>
        <w:numPr>
          <w:ilvl w:val="0"/>
          <w:numId w:val="9"/>
        </w:numPr>
        <w:spacing w:before="156" w:after="100" w:line="360" w:lineRule="exact"/>
        <w:rPr>
          <w:rFonts w:cs="宋体"/>
          <w:szCs w:val="28"/>
        </w:rPr>
      </w:pPr>
      <w:bookmarkStart w:id="210" w:name="_Toc17624"/>
      <w:bookmarkStart w:id="211" w:name="_Toc347337306"/>
      <w:bookmarkStart w:id="212" w:name="_Toc347928026"/>
      <w:bookmarkStart w:id="213" w:name="_Toc31924"/>
      <w:bookmarkStart w:id="214" w:name="_Toc11031"/>
      <w:bookmarkStart w:id="215" w:name="_Toc346778562"/>
      <w:r>
        <w:rPr>
          <w:rFonts w:hint="eastAsia" w:cs="宋体"/>
          <w:szCs w:val="28"/>
        </w:rPr>
        <w:t>自动化与信息化工程总体方案</w:t>
      </w:r>
      <w:bookmarkEnd w:id="210"/>
      <w:bookmarkEnd w:id="211"/>
      <w:bookmarkEnd w:id="212"/>
      <w:bookmarkEnd w:id="213"/>
      <w:bookmarkEnd w:id="214"/>
      <w:bookmarkEnd w:id="215"/>
    </w:p>
    <w:p w14:paraId="1E834FFF">
      <w:pPr>
        <w:numPr>
          <w:ilvl w:val="1"/>
          <w:numId w:val="9"/>
        </w:numPr>
        <w:autoSpaceDE w:val="0"/>
        <w:autoSpaceDN w:val="0"/>
        <w:snapToGrid w:val="0"/>
        <w:spacing w:before="100" w:after="100" w:line="360" w:lineRule="exact"/>
        <w:jc w:val="left"/>
      </w:pPr>
      <w:r>
        <w:rPr>
          <w:rFonts w:hint="eastAsia" w:ascii="宋体" w:hAnsi="宋体" w:cs="仿宋"/>
          <w:sz w:val="24"/>
        </w:rPr>
        <w:t>本项目</w:t>
      </w:r>
      <w:r>
        <w:rPr>
          <w:rFonts w:hint="eastAsia" w:cs="宋体"/>
          <w:sz w:val="24"/>
          <w:szCs w:val="24"/>
        </w:rPr>
        <w:t>自动化和信息化</w:t>
      </w:r>
      <w:r>
        <w:rPr>
          <w:rFonts w:hint="eastAsia" w:ascii="宋体" w:hAnsi="宋体" w:cs="仿宋"/>
          <w:sz w:val="24"/>
        </w:rPr>
        <w:t>工程范围包含备料工段、蒸煮工段、洗选工段，涉及</w:t>
      </w:r>
      <w:r>
        <w:rPr>
          <w:rFonts w:hint="eastAsia" w:ascii="宋体" w:hAnsi="宋体" w:cs="仿宋"/>
          <w:bCs/>
          <w:sz w:val="24"/>
        </w:rPr>
        <w:t>现有3#洗选工段</w:t>
      </w:r>
      <w:r>
        <w:rPr>
          <w:rFonts w:hint="eastAsia" w:ascii="宋体" w:hAnsi="宋体" w:cs="仿宋"/>
          <w:sz w:val="24"/>
        </w:rPr>
        <w:t>等；本工程系统包含集散控制系统DCS及安全保护系统、过程控制阀及仪表、设备自带PLC系统、设备状态（温度、振动）智能监测系统、现场工业监视系统、臭气检测报警系统GDS、生产信息采集系统、火灾自动报警系统，涉及现有3#洗选集散控制系统DCS等；</w:t>
      </w:r>
    </w:p>
    <w:p w14:paraId="04E4ABA6">
      <w:pPr>
        <w:numPr>
          <w:ilvl w:val="1"/>
          <w:numId w:val="9"/>
        </w:numPr>
        <w:autoSpaceDE w:val="0"/>
        <w:autoSpaceDN w:val="0"/>
        <w:snapToGrid w:val="0"/>
        <w:spacing w:before="100" w:after="100" w:line="360" w:lineRule="exact"/>
        <w:jc w:val="left"/>
        <w:rPr>
          <w:rFonts w:ascii="宋体" w:hAnsi="宋体" w:cs="宋体"/>
          <w:color w:val="000000"/>
          <w:kern w:val="0"/>
          <w:sz w:val="24"/>
          <w:szCs w:val="24"/>
          <w:lang w:val="zh-CN"/>
        </w:rPr>
      </w:pPr>
      <w:r>
        <w:rPr>
          <w:rFonts w:hint="eastAsia" w:ascii="宋体" w:hAnsi="宋体" w:cs="宋体"/>
          <w:color w:val="000000"/>
          <w:kern w:val="0"/>
          <w:sz w:val="24"/>
          <w:szCs w:val="24"/>
        </w:rPr>
        <w:t>DCS控制操作站集中在现有集控楼中央控制室；工业监视集中在现有集控楼中央控制室内中央大屏；蒸煮和洗选工段现场值班室，各配置一台辅助操作站、工业电视监视屏等；</w:t>
      </w:r>
    </w:p>
    <w:p w14:paraId="645B7AF8">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color w:val="000000"/>
          <w:kern w:val="0"/>
          <w:sz w:val="24"/>
          <w:szCs w:val="24"/>
        </w:rPr>
        <w:t>基于</w:t>
      </w:r>
      <w:r>
        <w:rPr>
          <w:rFonts w:hint="eastAsia" w:ascii="宋体" w:hAnsi="宋体" w:cs="宋体"/>
          <w:bCs/>
          <w:color w:val="000000"/>
          <w:kern w:val="0"/>
          <w:sz w:val="24"/>
          <w:szCs w:val="24"/>
        </w:rPr>
        <w:t>集散控制系统DCS，</w:t>
      </w:r>
      <w:r>
        <w:rPr>
          <w:rFonts w:hint="eastAsia" w:ascii="宋体" w:hAnsi="宋体" w:cs="宋体"/>
          <w:color w:val="000000"/>
          <w:kern w:val="0"/>
          <w:sz w:val="24"/>
          <w:szCs w:val="24"/>
        </w:rPr>
        <w:t>过程控制阀、仪表、电气设备控制、PLC系统、设备状态（振动、温度）智能监测系统、皮带木片智能称重系统、安全保护系统等，各系统和设备通过硬接线或通讯方式与DCS系统构成一体化、自动化控制系统，实现可靠的工艺参数自动检测、自动显示、自动调节、参数报警以及电机、阀门等执行机构或设备程序控制；</w:t>
      </w:r>
    </w:p>
    <w:p w14:paraId="799C8F6E">
      <w:pPr>
        <w:numPr>
          <w:ilvl w:val="1"/>
          <w:numId w:val="9"/>
        </w:numPr>
        <w:autoSpaceDE w:val="0"/>
        <w:autoSpaceDN w:val="0"/>
        <w:snapToGrid w:val="0"/>
        <w:spacing w:before="100" w:after="100" w:line="360" w:lineRule="exact"/>
        <w:jc w:val="left"/>
        <w:rPr>
          <w:lang w:val="zh-CN"/>
        </w:rPr>
      </w:pPr>
      <w:r>
        <w:rPr>
          <w:rFonts w:hint="eastAsia" w:ascii="宋体" w:hAnsi="宋体" w:cs="宋体"/>
          <w:bCs/>
          <w:color w:val="000000"/>
          <w:kern w:val="0"/>
          <w:sz w:val="24"/>
          <w:szCs w:val="24"/>
        </w:rPr>
        <w:t>安全保护系统</w:t>
      </w:r>
      <w:r>
        <w:rPr>
          <w:rFonts w:hint="eastAsia" w:ascii="宋体" w:hAnsi="宋体" w:cs="宋体"/>
          <w:color w:val="000000"/>
          <w:kern w:val="0"/>
          <w:sz w:val="24"/>
          <w:szCs w:val="24"/>
        </w:rPr>
        <w:t>，主要用于蒸煮工段工艺设备的安全连锁保护、紧急情况下的安全保护操作等功能，可采用软联锁保护和（或）硬联锁保护；</w:t>
      </w:r>
    </w:p>
    <w:p w14:paraId="1D33060E">
      <w:pPr>
        <w:numPr>
          <w:ilvl w:val="1"/>
          <w:numId w:val="9"/>
        </w:numPr>
        <w:autoSpaceDE w:val="0"/>
        <w:autoSpaceDN w:val="0"/>
        <w:snapToGrid w:val="0"/>
        <w:spacing w:before="100" w:after="100" w:line="360" w:lineRule="exact"/>
        <w:jc w:val="left"/>
        <w:rPr>
          <w:lang w:val="zh-CN"/>
        </w:rPr>
      </w:pPr>
      <w:r>
        <w:rPr>
          <w:rFonts w:hint="eastAsia" w:ascii="宋体" w:hAnsi="宋体" w:cs="宋体"/>
          <w:bCs/>
          <w:color w:val="000000"/>
          <w:kern w:val="0"/>
          <w:sz w:val="24"/>
          <w:szCs w:val="24"/>
        </w:rPr>
        <w:t>过程控制阀及仪表系统，</w:t>
      </w:r>
      <w:r>
        <w:rPr>
          <w:rFonts w:hint="eastAsia" w:ascii="宋体" w:hAnsi="宋体" w:cs="宋体"/>
          <w:color w:val="000000"/>
          <w:kern w:val="0"/>
          <w:sz w:val="24"/>
          <w:szCs w:val="24"/>
        </w:rPr>
        <w:t>设计应满足工艺设备正常和安全的操作以及非正常和紧急情况下的操作；仪表功能和控制逻辑应考虑到工艺过程的有效操作和经济效益，应提供安全措施以满足在发生非正常操作时工艺过程和设备的安全，以及操作员的安全；</w:t>
      </w:r>
    </w:p>
    <w:p w14:paraId="1C749EBC">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bCs/>
          <w:color w:val="000000"/>
          <w:kern w:val="0"/>
          <w:sz w:val="24"/>
          <w:szCs w:val="24"/>
        </w:rPr>
        <w:t>MES信息</w:t>
      </w:r>
      <w:r>
        <w:rPr>
          <w:rFonts w:hint="eastAsia" w:ascii="宋体" w:hAnsi="宋体" w:cs="仿宋"/>
          <w:bCs/>
          <w:sz w:val="24"/>
        </w:rPr>
        <w:t>采集：</w:t>
      </w:r>
      <w:r>
        <w:rPr>
          <w:rFonts w:hint="eastAsia" w:ascii="宋体" w:hAnsi="宋体" w:cs="宋体"/>
          <w:color w:val="000000"/>
          <w:kern w:val="0"/>
          <w:sz w:val="24"/>
          <w:szCs w:val="24"/>
        </w:rPr>
        <w:t>生产线的生产数据通过DCS系统OPC或其他方式上传至公司现有的MES系统；</w:t>
      </w:r>
    </w:p>
    <w:p w14:paraId="3560C68F">
      <w:pPr>
        <w:numPr>
          <w:ilvl w:val="1"/>
          <w:numId w:val="9"/>
        </w:numPr>
        <w:autoSpaceDE w:val="0"/>
        <w:autoSpaceDN w:val="0"/>
        <w:snapToGrid w:val="0"/>
        <w:spacing w:before="100" w:after="100" w:line="360" w:lineRule="exact"/>
        <w:jc w:val="left"/>
        <w:rPr>
          <w:rFonts w:ascii="宋体" w:hAnsi="宋体" w:cs="宋体"/>
          <w:color w:val="000000"/>
          <w:sz w:val="24"/>
          <w:szCs w:val="24"/>
        </w:rPr>
      </w:pPr>
      <w:r>
        <w:rPr>
          <w:rFonts w:hint="eastAsia" w:ascii="宋体" w:hAnsi="宋体" w:cs="宋体"/>
          <w:color w:val="000000"/>
          <w:kern w:val="0"/>
          <w:sz w:val="24"/>
          <w:szCs w:val="24"/>
        </w:rPr>
        <w:t>本项目</w:t>
      </w:r>
      <w:r>
        <w:rPr>
          <w:rFonts w:hint="eastAsia" w:ascii="宋体" w:hAnsi="宋体" w:cs="宋体"/>
          <w:bCs/>
          <w:color w:val="000000"/>
          <w:kern w:val="0"/>
          <w:sz w:val="24"/>
          <w:szCs w:val="24"/>
        </w:rPr>
        <w:t>火灾报警信号</w:t>
      </w:r>
      <w:r>
        <w:rPr>
          <w:rFonts w:hint="eastAsia" w:ascii="宋体" w:hAnsi="宋体" w:cs="宋体"/>
          <w:color w:val="000000"/>
          <w:kern w:val="0"/>
          <w:sz w:val="24"/>
          <w:szCs w:val="24"/>
        </w:rPr>
        <w:t>融合到现有的火灾自动报警系统报警；</w:t>
      </w:r>
    </w:p>
    <w:p w14:paraId="05B6D95E">
      <w:pPr>
        <w:numPr>
          <w:ilvl w:val="1"/>
          <w:numId w:val="9"/>
        </w:numPr>
        <w:autoSpaceDE w:val="0"/>
        <w:autoSpaceDN w:val="0"/>
        <w:snapToGrid w:val="0"/>
        <w:spacing w:before="100" w:after="100" w:line="360" w:lineRule="exact"/>
        <w:jc w:val="left"/>
        <w:rPr>
          <w:rFonts w:ascii="宋体" w:hAnsi="宋体" w:cs="宋体"/>
          <w:bCs/>
          <w:color w:val="000000"/>
          <w:kern w:val="0"/>
          <w:sz w:val="24"/>
          <w:szCs w:val="24"/>
        </w:rPr>
      </w:pPr>
      <w:r>
        <w:rPr>
          <w:rFonts w:hint="eastAsia" w:ascii="宋体" w:hAnsi="宋体" w:cs="宋体"/>
          <w:bCs/>
          <w:color w:val="000000"/>
          <w:kern w:val="0"/>
          <w:sz w:val="24"/>
          <w:szCs w:val="24"/>
        </w:rPr>
        <w:t>控制系统的网络结构是开放的，DCS系统、MES系统、PLC系统、GDS系统和火灾自动报警系统等，各系统实时数据通讯，传递必要的生产信息；</w:t>
      </w:r>
    </w:p>
    <w:p w14:paraId="7C0712A8">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color w:val="000000"/>
          <w:kern w:val="0"/>
          <w:sz w:val="24"/>
          <w:szCs w:val="24"/>
        </w:rPr>
        <w:t>DCS系统能够经由通讯总线与第三方等系统完成通讯。底层系统间通讯，宜选用Profibus、</w:t>
      </w:r>
      <w:r>
        <w:rPr>
          <w:rFonts w:ascii="宋体" w:hAnsi="宋体" w:cs="宋体"/>
          <w:color w:val="000000"/>
          <w:kern w:val="0"/>
          <w:sz w:val="24"/>
          <w:szCs w:val="24"/>
        </w:rPr>
        <w:t>M</w:t>
      </w:r>
      <w:r>
        <w:rPr>
          <w:rFonts w:hint="eastAsia" w:ascii="宋体" w:hAnsi="宋体" w:cs="宋体"/>
          <w:color w:val="000000"/>
          <w:kern w:val="0"/>
          <w:sz w:val="24"/>
          <w:szCs w:val="24"/>
        </w:rPr>
        <w:t>odbus。</w:t>
      </w:r>
      <w:bookmarkStart w:id="216" w:name="_Toc347928027"/>
      <w:bookmarkStart w:id="217" w:name="_Toc347337307"/>
      <w:bookmarkStart w:id="218" w:name="_Toc346778563"/>
      <w:r>
        <w:rPr>
          <w:rFonts w:hint="eastAsia" w:ascii="宋体" w:hAnsi="宋体" w:cs="宋体"/>
          <w:color w:val="000000"/>
          <w:kern w:val="0"/>
          <w:sz w:val="24"/>
          <w:szCs w:val="24"/>
        </w:rPr>
        <w:t>通讯使用的硬件、软件、组态等配置由DCS系统提供商负责。</w:t>
      </w:r>
    </w:p>
    <w:p w14:paraId="7459E89E">
      <w:pPr>
        <w:pStyle w:val="2"/>
        <w:numPr>
          <w:ilvl w:val="0"/>
          <w:numId w:val="9"/>
        </w:numPr>
        <w:spacing w:before="156" w:after="100" w:line="360" w:lineRule="exact"/>
        <w:rPr>
          <w:rFonts w:cs="宋体"/>
          <w:szCs w:val="28"/>
        </w:rPr>
      </w:pPr>
      <w:bookmarkStart w:id="219" w:name="_Toc24522"/>
      <w:bookmarkStart w:id="220" w:name="_Toc149"/>
      <w:bookmarkStart w:id="221" w:name="_Toc11185"/>
      <w:r>
        <w:rPr>
          <w:rFonts w:hint="eastAsia" w:cs="宋体"/>
          <w:szCs w:val="28"/>
        </w:rPr>
        <w:t>DCS控制系统的技术要求</w:t>
      </w:r>
      <w:bookmarkEnd w:id="216"/>
      <w:bookmarkEnd w:id="217"/>
      <w:bookmarkEnd w:id="219"/>
      <w:bookmarkEnd w:id="220"/>
      <w:bookmarkEnd w:id="221"/>
    </w:p>
    <w:p w14:paraId="1D82D220">
      <w:pPr>
        <w:numPr>
          <w:ilvl w:val="1"/>
          <w:numId w:val="9"/>
        </w:numPr>
        <w:snapToGrid w:val="0"/>
        <w:spacing w:before="100" w:after="100" w:line="360" w:lineRule="exact"/>
        <w:outlineLvl w:val="1"/>
        <w:rPr>
          <w:rFonts w:ascii="宋体" w:hAnsi="宋体" w:cs="宋体"/>
          <w:b/>
          <w:bCs/>
          <w:sz w:val="24"/>
          <w:szCs w:val="24"/>
        </w:rPr>
      </w:pPr>
      <w:bookmarkStart w:id="222" w:name="_Toc25169"/>
      <w:bookmarkStart w:id="223" w:name="_Toc7440"/>
      <w:bookmarkStart w:id="224" w:name="_Toc22273"/>
      <w:r>
        <w:rPr>
          <w:rFonts w:hint="eastAsia" w:ascii="宋体" w:hAnsi="宋体" w:cs="宋体"/>
          <w:b/>
          <w:bCs/>
          <w:sz w:val="24"/>
          <w:szCs w:val="24"/>
        </w:rPr>
        <w:t>总体方案技术要求</w:t>
      </w:r>
      <w:bookmarkEnd w:id="222"/>
      <w:bookmarkEnd w:id="223"/>
      <w:bookmarkEnd w:id="224"/>
    </w:p>
    <w:p w14:paraId="310D2DD5">
      <w:pPr>
        <w:numPr>
          <w:ilvl w:val="2"/>
          <w:numId w:val="9"/>
        </w:numPr>
        <w:overflowPunct w:val="0"/>
        <w:snapToGrid w:val="0"/>
        <w:spacing w:before="100" w:after="100" w:line="360" w:lineRule="exact"/>
      </w:pPr>
      <w:r>
        <w:rPr>
          <w:rFonts w:hint="eastAsia" w:ascii="宋体" w:hAnsi="宋体" w:cs="宋体"/>
          <w:sz w:val="24"/>
          <w:szCs w:val="24"/>
        </w:rPr>
        <w:t>本工程集散控制系统原则上只配置一套新的DCS系统，有两种方案可选：（1）蒸煮工段、洗选工段、备料工段全部采用一套新的DCS系统控制（2）蒸煮工段采用一套新的DCS系统控制，备料和洗选工段利用3#洗选现有的DCS系统（扩展）控制；</w:t>
      </w:r>
    </w:p>
    <w:p w14:paraId="08A58B86">
      <w:pPr>
        <w:numPr>
          <w:ilvl w:val="2"/>
          <w:numId w:val="9"/>
        </w:numPr>
        <w:overflowPunct w:val="0"/>
        <w:snapToGrid w:val="0"/>
        <w:spacing w:before="100" w:after="100" w:line="360" w:lineRule="exact"/>
        <w:rPr>
          <w:rFonts w:ascii="宋体" w:hAnsi="宋体" w:cs="宋体"/>
          <w:sz w:val="24"/>
          <w:szCs w:val="24"/>
        </w:rPr>
      </w:pPr>
      <w:r>
        <w:rPr>
          <w:rFonts w:hint="eastAsia" w:ascii="宋体" w:hAnsi="宋体" w:cs="宋体"/>
          <w:sz w:val="24"/>
          <w:szCs w:val="24"/>
        </w:rPr>
        <w:t xml:space="preserve">本项目 </w:t>
      </w:r>
      <w:r>
        <w:rPr>
          <w:rFonts w:hint="eastAsia" w:ascii="宋体" w:hAnsi="宋体" w:cs="宋体"/>
          <w:color w:val="000000"/>
          <w:kern w:val="0"/>
          <w:sz w:val="24"/>
          <w:szCs w:val="24"/>
        </w:rPr>
        <w:t>DCS工艺操作站集中在现有集控楼中央控制室，蒸煮工段配3台操作站，洗选工段2台，备料工段2台；同时蒸煮和洗选工段现场，各配置一台辅助操作站；同时工艺操作画面引入中央控制室大屏；</w:t>
      </w:r>
    </w:p>
    <w:p w14:paraId="3CF22403">
      <w:pPr>
        <w:numPr>
          <w:ilvl w:val="2"/>
          <w:numId w:val="9"/>
        </w:numPr>
        <w:overflowPunct w:val="0"/>
        <w:snapToGrid w:val="0"/>
        <w:spacing w:before="100" w:after="100" w:line="360" w:lineRule="exact"/>
        <w:rPr>
          <w:rFonts w:ascii="宋体" w:hAnsi="宋体" w:cs="宋体"/>
          <w:sz w:val="24"/>
          <w:szCs w:val="24"/>
        </w:rPr>
      </w:pPr>
      <w:r>
        <w:rPr>
          <w:rFonts w:hint="eastAsia" w:ascii="宋体" w:hAnsi="宋体" w:cs="宋体"/>
          <w:sz w:val="24"/>
          <w:szCs w:val="24"/>
        </w:rPr>
        <w:t>系统的电源、控制器、通讯网络、控制网络、实时数据服务器采用冗余配置。冗余系统的正常切换或故障切换均不影响系统的正常运行，实现平滑切换；</w:t>
      </w:r>
    </w:p>
    <w:p w14:paraId="03E84C9E">
      <w:pPr>
        <w:numPr>
          <w:ilvl w:val="2"/>
          <w:numId w:val="9"/>
        </w:numPr>
        <w:overflowPunct w:val="0"/>
        <w:snapToGrid w:val="0"/>
        <w:spacing w:before="100" w:after="100" w:line="360" w:lineRule="exact"/>
        <w:rPr>
          <w:rFonts w:ascii="宋体" w:hAnsi="宋体" w:cs="宋体"/>
          <w:sz w:val="24"/>
          <w:szCs w:val="24"/>
        </w:rPr>
      </w:pPr>
      <w:r>
        <w:rPr>
          <w:rFonts w:hint="eastAsia" w:ascii="宋体" w:hAnsi="宋体" w:cs="宋体"/>
          <w:sz w:val="24"/>
          <w:szCs w:val="24"/>
        </w:rPr>
        <w:t>系统测试合格后5年内软件或硬件有缺陷，影响安全稳定生产，应提供免费升级或更换；</w:t>
      </w:r>
    </w:p>
    <w:p w14:paraId="628615D5">
      <w:pPr>
        <w:numPr>
          <w:ilvl w:val="2"/>
          <w:numId w:val="9"/>
        </w:numPr>
        <w:overflowPunct w:val="0"/>
        <w:snapToGrid w:val="0"/>
        <w:spacing w:before="100" w:after="100" w:line="360" w:lineRule="exact"/>
        <w:rPr>
          <w:rFonts w:ascii="宋体" w:hAnsi="宋体" w:cs="宋体"/>
          <w:sz w:val="24"/>
          <w:szCs w:val="24"/>
        </w:rPr>
      </w:pPr>
      <w:r>
        <w:rPr>
          <w:rFonts w:hint="eastAsia" w:ascii="宋体" w:hAnsi="宋体" w:cs="宋体"/>
          <w:sz w:val="24"/>
          <w:szCs w:val="24"/>
        </w:rPr>
        <w:t>系统的设计和设备应满足国家有关电磁兼容性的强制性要求；</w:t>
      </w:r>
    </w:p>
    <w:p w14:paraId="7765F883">
      <w:pPr>
        <w:numPr>
          <w:ilvl w:val="2"/>
          <w:numId w:val="9"/>
        </w:numPr>
        <w:overflowPunct w:val="0"/>
        <w:snapToGrid w:val="0"/>
        <w:spacing w:before="100" w:after="100" w:line="360" w:lineRule="exact"/>
        <w:rPr>
          <w:rFonts w:ascii="宋体" w:hAnsi="宋体" w:cs="宋体"/>
          <w:sz w:val="24"/>
          <w:szCs w:val="24"/>
        </w:rPr>
      </w:pPr>
      <w:r>
        <w:rPr>
          <w:rFonts w:hint="eastAsia" w:ascii="宋体" w:hAnsi="宋体" w:cs="宋体"/>
          <w:sz w:val="24"/>
          <w:szCs w:val="24"/>
        </w:rPr>
        <w:t>系统的设计和提供的设备遵循现行最新版本的中国国家标准和行业标准。</w:t>
      </w:r>
    </w:p>
    <w:p w14:paraId="65182EB4">
      <w:pPr>
        <w:numPr>
          <w:ilvl w:val="1"/>
          <w:numId w:val="9"/>
        </w:numPr>
        <w:snapToGrid w:val="0"/>
        <w:spacing w:before="100" w:after="100" w:line="360" w:lineRule="exact"/>
        <w:outlineLvl w:val="1"/>
        <w:rPr>
          <w:rFonts w:ascii="宋体" w:hAnsi="宋体" w:cs="宋体"/>
          <w:b/>
          <w:bCs/>
          <w:sz w:val="24"/>
          <w:szCs w:val="24"/>
        </w:rPr>
      </w:pPr>
      <w:bookmarkStart w:id="225" w:name="_Toc3643"/>
      <w:bookmarkStart w:id="226" w:name="_Toc19038"/>
      <w:bookmarkStart w:id="227" w:name="_Toc21986"/>
      <w:r>
        <w:rPr>
          <w:rFonts w:hint="eastAsia" w:ascii="宋体" w:hAnsi="宋体" w:cs="宋体"/>
          <w:b/>
          <w:bCs/>
          <w:sz w:val="24"/>
          <w:szCs w:val="24"/>
        </w:rPr>
        <w:t>DCS人机接口设备的配置</w:t>
      </w:r>
      <w:bookmarkEnd w:id="225"/>
      <w:bookmarkEnd w:id="226"/>
      <w:bookmarkEnd w:id="227"/>
    </w:p>
    <w:p w14:paraId="044D228E">
      <w:pPr>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操作</w:t>
      </w:r>
      <w:r>
        <w:rPr>
          <w:rFonts w:hint="eastAsia" w:ascii="宋体" w:hAnsi="宋体" w:cs="宋体"/>
          <w:sz w:val="24"/>
          <w:szCs w:val="24"/>
          <w:highlight w:val="none"/>
          <w:lang w:val="zh-CN"/>
        </w:rPr>
        <w:t>员站：备料2套，蒸煮</w:t>
      </w:r>
      <w:r>
        <w:rPr>
          <w:rFonts w:ascii="宋体" w:hAnsi="宋体" w:cs="宋体"/>
          <w:sz w:val="24"/>
          <w:szCs w:val="24"/>
          <w:highlight w:val="none"/>
          <w:lang w:val="zh-CN"/>
        </w:rPr>
        <w:t>4</w:t>
      </w:r>
      <w:r>
        <w:rPr>
          <w:rFonts w:hint="eastAsia" w:ascii="宋体" w:hAnsi="宋体" w:cs="宋体"/>
          <w:sz w:val="24"/>
          <w:szCs w:val="24"/>
          <w:highlight w:val="none"/>
          <w:lang w:val="zh-CN"/>
        </w:rPr>
        <w:t>套，洗选3套，</w:t>
      </w:r>
      <w:r>
        <w:rPr>
          <w:rFonts w:hint="eastAsia" w:ascii="宋体" w:hAnsi="宋体" w:cs="宋体"/>
          <w:sz w:val="24"/>
          <w:szCs w:val="24"/>
          <w:highlight w:val="none"/>
        </w:rPr>
        <w:t>共9套；主机：主流配置，内存1</w:t>
      </w:r>
      <w:r>
        <w:rPr>
          <w:rFonts w:ascii="宋体" w:hAnsi="宋体" w:cs="宋体"/>
          <w:sz w:val="24"/>
          <w:szCs w:val="24"/>
          <w:highlight w:val="none"/>
        </w:rPr>
        <w:t>6G</w:t>
      </w:r>
      <w:r>
        <w:rPr>
          <w:rFonts w:hint="eastAsia" w:ascii="宋体" w:hAnsi="宋体" w:cs="宋体"/>
          <w:sz w:val="24"/>
          <w:szCs w:val="24"/>
          <w:highlight w:val="none"/>
        </w:rPr>
        <w:t>，硬盘1</w:t>
      </w:r>
      <w:r>
        <w:rPr>
          <w:rFonts w:ascii="宋体" w:hAnsi="宋体" w:cs="宋体"/>
          <w:sz w:val="24"/>
          <w:szCs w:val="24"/>
          <w:highlight w:val="none"/>
        </w:rPr>
        <w:t>T</w:t>
      </w:r>
      <w:r>
        <w:rPr>
          <w:rFonts w:hint="eastAsia" w:ascii="宋体" w:hAnsi="宋体" w:cs="宋体"/>
          <w:sz w:val="24"/>
          <w:szCs w:val="24"/>
          <w:highlight w:val="none"/>
        </w:rPr>
        <w:t>以上</w:t>
      </w:r>
      <w:r>
        <w:rPr>
          <w:rFonts w:hint="eastAsia" w:ascii="宋体" w:hAnsi="宋体" w:cs="宋体"/>
          <w:sz w:val="24"/>
          <w:szCs w:val="24"/>
        </w:rPr>
        <w:t>； 24寸LCD1920×1080双屏</w:t>
      </w:r>
      <w:r>
        <w:rPr>
          <w:rFonts w:hint="eastAsia" w:ascii="宋体" w:hAnsi="宋体" w:cs="宋体"/>
          <w:color w:val="000000"/>
          <w:sz w:val="24"/>
          <w:szCs w:val="24"/>
        </w:rPr>
        <w:t>显示器</w:t>
      </w:r>
      <w:r>
        <w:rPr>
          <w:rFonts w:hint="eastAsia" w:ascii="宋体" w:hAnsi="宋体" w:cs="宋体"/>
          <w:sz w:val="24"/>
          <w:szCs w:val="24"/>
        </w:rPr>
        <w:t>；</w:t>
      </w:r>
      <w:r>
        <w:rPr>
          <w:rFonts w:hint="eastAsia" w:ascii="宋体" w:hAnsi="宋体" w:cs="宋体"/>
          <w:sz w:val="24"/>
          <w:szCs w:val="24"/>
          <w:lang w:val="zh-CN"/>
        </w:rPr>
        <w:t xml:space="preserve"> </w:t>
      </w:r>
    </w:p>
    <w:p w14:paraId="63CBA72B">
      <w:pPr>
        <w:numPr>
          <w:ilvl w:val="2"/>
          <w:numId w:val="9"/>
        </w:numPr>
        <w:snapToGrid w:val="0"/>
        <w:spacing w:before="100" w:after="100" w:line="360" w:lineRule="exact"/>
        <w:rPr>
          <w:rFonts w:ascii="宋体" w:hAnsi="宋体" w:cs="宋体"/>
          <w:sz w:val="24"/>
          <w:szCs w:val="24"/>
        </w:rPr>
      </w:pPr>
      <w:r>
        <w:rPr>
          <w:rFonts w:hint="eastAsia" w:ascii="宋体" w:hAnsi="宋体" w:cs="宋体"/>
          <w:sz w:val="24"/>
          <w:szCs w:val="24"/>
          <w:lang w:val="zh-CN"/>
        </w:rPr>
        <w:t>工程师站</w:t>
      </w:r>
      <w:r>
        <w:rPr>
          <w:rFonts w:hint="eastAsia" w:ascii="宋体" w:hAnsi="宋体" w:cs="宋体"/>
          <w:sz w:val="24"/>
          <w:szCs w:val="24"/>
        </w:rPr>
        <w:t>，主机：主流配置; 24寸LCD1920×1080双屏</w:t>
      </w:r>
      <w:r>
        <w:rPr>
          <w:rFonts w:hint="eastAsia" w:ascii="宋体" w:hAnsi="宋体" w:cs="宋体"/>
          <w:color w:val="000000"/>
          <w:sz w:val="24"/>
          <w:szCs w:val="24"/>
        </w:rPr>
        <w:t>显示器</w:t>
      </w:r>
      <w:r>
        <w:rPr>
          <w:rFonts w:hint="eastAsia" w:ascii="宋体" w:hAnsi="宋体" w:cs="宋体"/>
          <w:sz w:val="24"/>
          <w:szCs w:val="24"/>
        </w:rPr>
        <w:t>；</w:t>
      </w:r>
    </w:p>
    <w:p w14:paraId="15A231E7">
      <w:pPr>
        <w:numPr>
          <w:ilvl w:val="2"/>
          <w:numId w:val="9"/>
        </w:numPr>
        <w:snapToGrid w:val="0"/>
        <w:spacing w:before="100" w:after="100" w:line="360" w:lineRule="exact"/>
        <w:rPr>
          <w:rFonts w:ascii="宋体" w:hAnsi="宋体" w:cs="宋体"/>
          <w:sz w:val="24"/>
          <w:szCs w:val="24"/>
        </w:rPr>
      </w:pPr>
      <w:r>
        <w:rPr>
          <w:rFonts w:hint="eastAsia" w:ascii="宋体" w:hAnsi="宋体" w:cs="宋体"/>
          <w:sz w:val="24"/>
          <w:szCs w:val="24"/>
        </w:rPr>
        <w:t>实时数据</w:t>
      </w:r>
      <w:r>
        <w:rPr>
          <w:rFonts w:hint="eastAsia" w:ascii="宋体" w:hAnsi="宋体" w:cs="宋体"/>
          <w:color w:val="000000"/>
          <w:sz w:val="24"/>
          <w:szCs w:val="24"/>
        </w:rPr>
        <w:t>服务器（如果有）冗余，主机：主流配置</w:t>
      </w:r>
      <w:r>
        <w:rPr>
          <w:rFonts w:hint="eastAsia" w:ascii="宋体" w:hAnsi="宋体" w:cs="宋体"/>
          <w:sz w:val="24"/>
          <w:szCs w:val="24"/>
        </w:rPr>
        <w:t>，</w:t>
      </w:r>
      <w:r>
        <w:rPr>
          <w:rFonts w:hint="eastAsia" w:ascii="宋体" w:hAnsi="宋体" w:cs="宋体"/>
          <w:sz w:val="24"/>
          <w:szCs w:val="24"/>
          <w:highlight w:val="none"/>
        </w:rPr>
        <w:t>内存1</w:t>
      </w:r>
      <w:r>
        <w:rPr>
          <w:rFonts w:ascii="宋体" w:hAnsi="宋体" w:cs="宋体"/>
          <w:sz w:val="24"/>
          <w:szCs w:val="24"/>
          <w:highlight w:val="none"/>
        </w:rPr>
        <w:t>6G</w:t>
      </w:r>
      <w:r>
        <w:rPr>
          <w:rFonts w:hint="eastAsia" w:ascii="宋体" w:hAnsi="宋体" w:cs="宋体"/>
          <w:sz w:val="24"/>
          <w:szCs w:val="24"/>
          <w:highlight w:val="none"/>
        </w:rPr>
        <w:t>，硬盘1</w:t>
      </w:r>
      <w:r>
        <w:rPr>
          <w:rFonts w:ascii="宋体" w:hAnsi="宋体" w:cs="宋体"/>
          <w:sz w:val="24"/>
          <w:szCs w:val="24"/>
          <w:highlight w:val="none"/>
        </w:rPr>
        <w:t>T</w:t>
      </w:r>
      <w:r>
        <w:rPr>
          <w:rFonts w:hint="eastAsia" w:ascii="宋体" w:hAnsi="宋体" w:cs="宋体"/>
          <w:sz w:val="24"/>
          <w:szCs w:val="24"/>
          <w:highlight w:val="none"/>
        </w:rPr>
        <w:t>以上</w:t>
      </w:r>
      <w:r>
        <w:rPr>
          <w:rFonts w:hint="eastAsia" w:ascii="宋体" w:hAnsi="宋体" w:cs="宋体"/>
          <w:color w:val="000000"/>
          <w:sz w:val="24"/>
          <w:szCs w:val="24"/>
        </w:rPr>
        <w:t>；</w:t>
      </w:r>
      <w:bookmarkStart w:id="431" w:name="_GoBack"/>
      <w:bookmarkEnd w:id="431"/>
      <w:r>
        <w:rPr>
          <w:rFonts w:hint="eastAsia" w:ascii="宋体" w:hAnsi="宋体" w:cs="宋体"/>
          <w:color w:val="000000"/>
          <w:sz w:val="24"/>
          <w:szCs w:val="24"/>
        </w:rPr>
        <w:t>24寸</w:t>
      </w:r>
      <w:r>
        <w:rPr>
          <w:rFonts w:hint="eastAsia" w:ascii="宋体" w:hAnsi="宋体" w:cs="宋体"/>
          <w:sz w:val="24"/>
          <w:szCs w:val="24"/>
        </w:rPr>
        <w:t>LCD1920×1080双屏显示器；</w:t>
      </w:r>
    </w:p>
    <w:p w14:paraId="339C7CAC">
      <w:pPr>
        <w:numPr>
          <w:ilvl w:val="2"/>
          <w:numId w:val="9"/>
        </w:numPr>
        <w:snapToGrid w:val="0"/>
        <w:spacing w:before="100" w:after="100" w:line="360" w:lineRule="exact"/>
        <w:rPr>
          <w:rFonts w:ascii="宋体" w:hAnsi="宋体" w:cs="宋体"/>
          <w:sz w:val="24"/>
          <w:szCs w:val="24"/>
        </w:rPr>
      </w:pPr>
      <w:r>
        <w:rPr>
          <w:rFonts w:hint="eastAsia" w:ascii="宋体" w:hAnsi="宋体" w:cs="宋体"/>
          <w:sz w:val="24"/>
          <w:szCs w:val="24"/>
        </w:rPr>
        <w:t>移动工程师站，主机：主流配置，笔记本电脑；</w:t>
      </w:r>
    </w:p>
    <w:p w14:paraId="4F031F1F">
      <w:pPr>
        <w:numPr>
          <w:ilvl w:val="2"/>
          <w:numId w:val="9"/>
        </w:numPr>
        <w:snapToGrid w:val="0"/>
        <w:spacing w:before="100" w:after="100" w:line="360" w:lineRule="exact"/>
        <w:rPr>
          <w:rFonts w:ascii="宋体" w:hAnsi="宋体" w:cs="宋体"/>
          <w:sz w:val="24"/>
          <w:szCs w:val="24"/>
        </w:rPr>
      </w:pPr>
      <w:r>
        <w:rPr>
          <w:rFonts w:hint="eastAsia" w:ascii="宋体" w:hAnsi="宋体" w:cs="宋体"/>
          <w:sz w:val="24"/>
          <w:szCs w:val="24"/>
        </w:rPr>
        <w:t>历史服务器，主机：主流配置</w:t>
      </w:r>
      <w:r>
        <w:rPr>
          <w:rFonts w:hint="eastAsia" w:ascii="宋体" w:hAnsi="宋体" w:cs="宋体"/>
          <w:sz w:val="24"/>
          <w:szCs w:val="24"/>
          <w:highlight w:val="none"/>
        </w:rPr>
        <w:t>，内存1</w:t>
      </w:r>
      <w:r>
        <w:rPr>
          <w:rFonts w:ascii="宋体" w:hAnsi="宋体" w:cs="宋体"/>
          <w:sz w:val="24"/>
          <w:szCs w:val="24"/>
          <w:highlight w:val="none"/>
        </w:rPr>
        <w:t>6G</w:t>
      </w:r>
      <w:r>
        <w:rPr>
          <w:rFonts w:hint="eastAsia" w:ascii="宋体" w:hAnsi="宋体" w:cs="宋体"/>
          <w:sz w:val="24"/>
          <w:szCs w:val="24"/>
          <w:highlight w:val="none"/>
        </w:rPr>
        <w:t>，硬盘1</w:t>
      </w:r>
      <w:r>
        <w:rPr>
          <w:rFonts w:ascii="宋体" w:hAnsi="宋体" w:cs="宋体"/>
          <w:sz w:val="24"/>
          <w:szCs w:val="24"/>
          <w:highlight w:val="none"/>
        </w:rPr>
        <w:t>T</w:t>
      </w:r>
      <w:r>
        <w:rPr>
          <w:rFonts w:hint="eastAsia" w:ascii="宋体" w:hAnsi="宋体" w:cs="宋体"/>
          <w:sz w:val="24"/>
          <w:szCs w:val="24"/>
          <w:highlight w:val="none"/>
        </w:rPr>
        <w:t>以上</w:t>
      </w:r>
      <w:r>
        <w:rPr>
          <w:rFonts w:hint="eastAsia" w:ascii="宋体" w:hAnsi="宋体" w:cs="宋体"/>
          <w:sz w:val="24"/>
          <w:szCs w:val="24"/>
        </w:rPr>
        <w:t>，</w:t>
      </w:r>
      <w:r>
        <w:rPr>
          <w:rFonts w:hint="eastAsia" w:ascii="宋体" w:hAnsi="宋体" w:cs="宋体"/>
          <w:color w:val="000000"/>
          <w:sz w:val="24"/>
          <w:szCs w:val="24"/>
        </w:rPr>
        <w:t>24寸</w:t>
      </w:r>
      <w:r>
        <w:rPr>
          <w:rFonts w:hint="eastAsia" w:ascii="宋体" w:hAnsi="宋体" w:cs="宋体"/>
          <w:sz w:val="24"/>
          <w:szCs w:val="24"/>
        </w:rPr>
        <w:t>LCD1920×1080双屏显示器；</w:t>
      </w:r>
      <w:r>
        <w:rPr>
          <w:rFonts w:hint="eastAsia" w:ascii="宋体" w:hAnsi="宋体" w:cs="宋体"/>
          <w:color w:val="000000"/>
          <w:sz w:val="24"/>
          <w:szCs w:val="24"/>
        </w:rPr>
        <w:t>至少可存储1年的历史数据，</w:t>
      </w:r>
      <w:r>
        <w:rPr>
          <w:rFonts w:hint="eastAsia" w:ascii="宋体" w:hAnsi="宋体" w:cs="宋体"/>
          <w:color w:val="000000"/>
          <w:kern w:val="0"/>
          <w:sz w:val="24"/>
          <w:szCs w:val="24"/>
        </w:rPr>
        <w:t>可并发访问5000点/s的数据，授权点数至少</w:t>
      </w:r>
      <w:r>
        <w:rPr>
          <w:rFonts w:ascii="宋体" w:hAnsi="宋体" w:cs="宋体"/>
          <w:color w:val="000000"/>
          <w:kern w:val="0"/>
          <w:sz w:val="24"/>
          <w:szCs w:val="24"/>
        </w:rPr>
        <w:t>3000</w:t>
      </w:r>
      <w:r>
        <w:rPr>
          <w:rFonts w:hint="eastAsia" w:ascii="宋体" w:hAnsi="宋体" w:cs="宋体"/>
          <w:color w:val="000000"/>
          <w:kern w:val="0"/>
          <w:sz w:val="24"/>
          <w:szCs w:val="24"/>
        </w:rPr>
        <w:t>个点；</w:t>
      </w:r>
    </w:p>
    <w:p w14:paraId="056B7A00">
      <w:pPr>
        <w:numPr>
          <w:ilvl w:val="2"/>
          <w:numId w:val="9"/>
        </w:numPr>
        <w:snapToGrid w:val="0"/>
        <w:spacing w:before="100" w:after="100" w:line="360" w:lineRule="exact"/>
        <w:rPr>
          <w:rFonts w:ascii="宋体" w:hAnsi="宋体" w:cs="宋体"/>
          <w:sz w:val="24"/>
          <w:szCs w:val="24"/>
        </w:rPr>
      </w:pPr>
      <w:r>
        <w:rPr>
          <w:rFonts w:hint="eastAsia" w:ascii="宋体" w:hAnsi="宋体" w:cs="宋体"/>
          <w:color w:val="000000"/>
          <w:kern w:val="0"/>
          <w:sz w:val="24"/>
          <w:szCs w:val="24"/>
        </w:rPr>
        <w:t>OPC服务器，主机：主流配置</w:t>
      </w:r>
      <w:r>
        <w:rPr>
          <w:rFonts w:hint="eastAsia" w:ascii="宋体" w:hAnsi="宋体" w:cs="宋体"/>
          <w:sz w:val="24"/>
          <w:szCs w:val="24"/>
        </w:rPr>
        <w:t>，</w:t>
      </w:r>
      <w:r>
        <w:rPr>
          <w:rFonts w:hint="eastAsia" w:ascii="宋体" w:hAnsi="宋体" w:cs="宋体"/>
          <w:sz w:val="24"/>
          <w:szCs w:val="24"/>
          <w:highlight w:val="none"/>
        </w:rPr>
        <w:t>内存1</w:t>
      </w:r>
      <w:r>
        <w:rPr>
          <w:rFonts w:ascii="宋体" w:hAnsi="宋体" w:cs="宋体"/>
          <w:sz w:val="24"/>
          <w:szCs w:val="24"/>
          <w:highlight w:val="none"/>
        </w:rPr>
        <w:t>6G</w:t>
      </w:r>
      <w:r>
        <w:rPr>
          <w:rFonts w:hint="eastAsia" w:ascii="宋体" w:hAnsi="宋体" w:cs="宋体"/>
          <w:sz w:val="24"/>
          <w:szCs w:val="24"/>
          <w:highlight w:val="none"/>
        </w:rPr>
        <w:t>，硬盘1</w:t>
      </w:r>
      <w:r>
        <w:rPr>
          <w:rFonts w:ascii="宋体" w:hAnsi="宋体" w:cs="宋体"/>
          <w:sz w:val="24"/>
          <w:szCs w:val="24"/>
          <w:highlight w:val="none"/>
        </w:rPr>
        <w:t>T</w:t>
      </w:r>
      <w:r>
        <w:rPr>
          <w:rFonts w:hint="eastAsia" w:ascii="宋体" w:hAnsi="宋体" w:cs="宋体"/>
          <w:sz w:val="24"/>
          <w:szCs w:val="24"/>
          <w:highlight w:val="none"/>
        </w:rPr>
        <w:t>以上</w:t>
      </w:r>
      <w:r>
        <w:rPr>
          <w:rFonts w:hint="eastAsia" w:ascii="宋体" w:hAnsi="宋体" w:cs="宋体"/>
          <w:color w:val="000000"/>
          <w:kern w:val="0"/>
          <w:sz w:val="24"/>
          <w:szCs w:val="24"/>
        </w:rPr>
        <w:t>，配置与MES通讯的独立网络接口，</w:t>
      </w:r>
      <w:r>
        <w:rPr>
          <w:rFonts w:hint="eastAsia" w:ascii="宋体" w:hAnsi="宋体" w:cs="宋体"/>
          <w:color w:val="000000"/>
          <w:sz w:val="24"/>
          <w:szCs w:val="24"/>
        </w:rPr>
        <w:t>24寸</w:t>
      </w:r>
      <w:r>
        <w:rPr>
          <w:rFonts w:hint="eastAsia" w:ascii="宋体" w:hAnsi="宋体" w:cs="宋体"/>
          <w:sz w:val="24"/>
          <w:szCs w:val="24"/>
        </w:rPr>
        <w:t>LCD1920×1080双屏显示器；</w:t>
      </w:r>
    </w:p>
    <w:p w14:paraId="00E5A432">
      <w:pPr>
        <w:numPr>
          <w:ilvl w:val="2"/>
          <w:numId w:val="9"/>
        </w:numPr>
        <w:snapToGrid w:val="0"/>
        <w:spacing w:before="100" w:after="100" w:line="360" w:lineRule="exact"/>
        <w:rPr>
          <w:rFonts w:ascii="宋体" w:hAnsi="宋体" w:cs="宋体"/>
          <w:sz w:val="24"/>
          <w:szCs w:val="24"/>
        </w:rPr>
      </w:pPr>
      <w:r>
        <w:rPr>
          <w:rFonts w:hint="eastAsia" w:ascii="宋体" w:hAnsi="宋体" w:cs="宋体"/>
          <w:sz w:val="24"/>
          <w:szCs w:val="24"/>
        </w:rPr>
        <w:t>打印机：A4（报表）黑白激光打印机，打印分辨率至少600×600DPI，打印内存128MB，打印速度&gt;30ppm。</w:t>
      </w:r>
    </w:p>
    <w:p w14:paraId="6834D000">
      <w:pPr>
        <w:numPr>
          <w:ilvl w:val="1"/>
          <w:numId w:val="9"/>
        </w:numPr>
        <w:snapToGrid w:val="0"/>
        <w:spacing w:before="100" w:after="100" w:line="360" w:lineRule="exact"/>
        <w:outlineLvl w:val="1"/>
        <w:rPr>
          <w:rFonts w:ascii="宋体" w:hAnsi="宋体" w:cs="宋体"/>
          <w:b/>
          <w:bCs/>
          <w:sz w:val="24"/>
          <w:szCs w:val="24"/>
        </w:rPr>
      </w:pPr>
      <w:bookmarkStart w:id="228" w:name="_Toc6622"/>
      <w:bookmarkStart w:id="229" w:name="_Toc3806"/>
      <w:bookmarkStart w:id="230" w:name="_Toc1496"/>
      <w:r>
        <w:rPr>
          <w:rFonts w:hint="eastAsia" w:ascii="宋体" w:hAnsi="宋体" w:cs="宋体"/>
          <w:b/>
          <w:bCs/>
          <w:sz w:val="24"/>
          <w:szCs w:val="24"/>
        </w:rPr>
        <w:t>控制信号接口</w:t>
      </w:r>
      <w:bookmarkEnd w:id="228"/>
      <w:bookmarkEnd w:id="229"/>
      <w:bookmarkEnd w:id="230"/>
    </w:p>
    <w:p w14:paraId="47A8E0F6">
      <w:pPr>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与检测控制仪表信号：</w:t>
      </w:r>
    </w:p>
    <w:p w14:paraId="7E3412E3">
      <w:pPr>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模拟输入： 2线制或4线制仪表变送器输出的4-20mA模拟信号；</w:t>
      </w:r>
    </w:p>
    <w:p w14:paraId="73967BFE">
      <w:pPr>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模拟输出： 4-20mADC,具有驱动回路阻抗&gt;750Ω的负载能力；</w:t>
      </w:r>
    </w:p>
    <w:p w14:paraId="03081BE1">
      <w:pPr>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数字输入：无源触点，24VDC ；</w:t>
      </w:r>
    </w:p>
    <w:p w14:paraId="7E232F9A">
      <w:pPr>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数字输出：无源触点，24VDC ；</w:t>
      </w:r>
    </w:p>
    <w:p w14:paraId="13911E0F">
      <w:pPr>
        <w:numPr>
          <w:ilvl w:val="2"/>
          <w:numId w:val="9"/>
        </w:numPr>
        <w:overflowPunct w:val="0"/>
        <w:snapToGrid w:val="0"/>
        <w:spacing w:before="100" w:after="100" w:line="360" w:lineRule="exact"/>
        <w:jc w:val="left"/>
      </w:pPr>
      <w:r>
        <w:rPr>
          <w:rFonts w:hint="eastAsia" w:ascii="宋体" w:hAnsi="宋体" w:cs="宋体"/>
          <w:sz w:val="24"/>
          <w:szCs w:val="24"/>
        </w:rPr>
        <w:t>同电气专业相关联信号：4-20mA、profibus或硬线连接。</w:t>
      </w:r>
    </w:p>
    <w:p w14:paraId="2C176EB0">
      <w:pPr>
        <w:numPr>
          <w:ilvl w:val="1"/>
          <w:numId w:val="9"/>
        </w:numPr>
        <w:snapToGrid w:val="0"/>
        <w:spacing w:before="100" w:after="100" w:line="360" w:lineRule="exact"/>
        <w:outlineLvl w:val="1"/>
        <w:rPr>
          <w:rFonts w:ascii="宋体" w:hAnsi="宋体" w:cs="宋体"/>
          <w:b/>
          <w:bCs/>
          <w:sz w:val="24"/>
          <w:szCs w:val="24"/>
        </w:rPr>
      </w:pPr>
      <w:bookmarkStart w:id="231" w:name="_Toc8403"/>
      <w:bookmarkStart w:id="232" w:name="_Toc383"/>
      <w:bookmarkStart w:id="233" w:name="_Toc10774"/>
      <w:r>
        <w:rPr>
          <w:rFonts w:hint="eastAsia" w:ascii="宋体" w:hAnsi="宋体" w:cs="宋体"/>
          <w:b/>
          <w:bCs/>
          <w:sz w:val="24"/>
          <w:szCs w:val="24"/>
        </w:rPr>
        <w:t>控制系统的硬件配置</w:t>
      </w:r>
      <w:bookmarkEnd w:id="231"/>
      <w:bookmarkEnd w:id="232"/>
      <w:bookmarkEnd w:id="233"/>
    </w:p>
    <w:p w14:paraId="72397068">
      <w:pPr>
        <w:pStyle w:val="35"/>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控制器模件</w:t>
      </w:r>
    </w:p>
    <w:p w14:paraId="26B7076B">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备料、蒸煮、洗选工段各配置独立的控制器，控制器冗余配置。单个控制器故障，系统应能自动地以无扰方式快速切换至冗余处理器并报警，系统不中断，仍能正常运行；更换故障控制器能带电拔插不会引起系统中断，也不会损坏模块；</w:t>
      </w:r>
    </w:p>
    <w:p w14:paraId="40B34A2F">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系统投入使用，控制器CPU负荷不大于</w:t>
      </w:r>
      <w:r>
        <w:rPr>
          <w:rFonts w:ascii="宋体" w:hAnsi="宋体" w:cs="宋体"/>
          <w:sz w:val="24"/>
          <w:szCs w:val="24"/>
        </w:rPr>
        <w:t>40%</w:t>
      </w:r>
      <w:r>
        <w:rPr>
          <w:rFonts w:hint="eastAsia" w:ascii="宋体" w:hAnsi="宋体" w:cs="宋体"/>
          <w:sz w:val="24"/>
          <w:szCs w:val="24"/>
        </w:rPr>
        <w:t>，电源负荷不大于50% ;冗余的CPU切换在一个CPU周期内完成，切换时间不超过10ms；CPU快速控制周期不超过20ms；</w:t>
      </w:r>
    </w:p>
    <w:p w14:paraId="3AF2F354">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在电源较长时间中断后，系统仍能回到预先规定的安全状态，并保持其最后的设定值，参数整定值以及组态等，电源恢复后，系统能及时自动启动，并使其处于操作人员预先规定的、合理的状态；</w:t>
      </w:r>
    </w:p>
    <w:p w14:paraId="47DC70AE">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使用RAM贮存器时，其中保存的程序和数据靠内部电池至少能维持6个月，</w:t>
      </w:r>
      <w:r>
        <w:rPr>
          <w:rFonts w:hint="eastAsia" w:ascii="宋体" w:hAnsi="宋体" w:cs="宋体"/>
          <w:color w:val="000000"/>
          <w:sz w:val="24"/>
          <w:szCs w:val="24"/>
        </w:rPr>
        <w:t>当电池低电量时要发出报警信息或者有LED指示</w:t>
      </w:r>
      <w:r>
        <w:rPr>
          <w:rFonts w:hint="eastAsia" w:ascii="宋体" w:hAnsi="宋体" w:cs="宋体"/>
          <w:sz w:val="24"/>
          <w:szCs w:val="24"/>
        </w:rPr>
        <w:t>，当更换电池时，不得导致程序和数据的丢失。</w:t>
      </w:r>
    </w:p>
    <w:p w14:paraId="7216388B">
      <w:pPr>
        <w:pStyle w:val="35"/>
        <w:numPr>
          <w:ilvl w:val="2"/>
          <w:numId w:val="9"/>
        </w:numPr>
        <w:overflowPunct w:val="0"/>
        <w:snapToGrid w:val="0"/>
        <w:spacing w:before="100" w:after="100" w:line="360" w:lineRule="exact"/>
        <w:jc w:val="left"/>
        <w:rPr>
          <w:rFonts w:ascii="宋体" w:hAnsi="宋体" w:cs="宋体"/>
          <w:b/>
          <w:bCs/>
          <w:sz w:val="24"/>
          <w:szCs w:val="24"/>
        </w:rPr>
      </w:pPr>
      <w:r>
        <w:rPr>
          <w:rFonts w:hint="eastAsia" w:ascii="宋体" w:hAnsi="宋体" w:cs="宋体"/>
          <w:b/>
          <w:bCs/>
          <w:sz w:val="24"/>
          <w:szCs w:val="24"/>
        </w:rPr>
        <w:t>输入输出模件（I/O）</w:t>
      </w:r>
    </w:p>
    <w:p w14:paraId="11F6043A">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I</w:t>
      </w:r>
      <w:r>
        <w:rPr>
          <w:rFonts w:ascii="宋体" w:hAnsi="宋体" w:cs="宋体"/>
          <w:sz w:val="24"/>
          <w:szCs w:val="24"/>
        </w:rPr>
        <w:t>/O</w:t>
      </w:r>
      <w:r>
        <w:rPr>
          <w:rFonts w:hint="eastAsia" w:ascii="宋体" w:hAnsi="宋体" w:cs="宋体"/>
          <w:sz w:val="24"/>
          <w:szCs w:val="24"/>
        </w:rPr>
        <w:t>模件通道间供电相互隔离，</w:t>
      </w:r>
      <w:r>
        <w:rPr>
          <w:rFonts w:ascii="宋体" w:hAnsi="宋体" w:cs="宋体"/>
          <w:sz w:val="24"/>
          <w:szCs w:val="24"/>
        </w:rPr>
        <w:t>DCS</w:t>
      </w:r>
      <w:r>
        <w:rPr>
          <w:rFonts w:hint="eastAsia" w:ascii="宋体" w:hAnsi="宋体" w:cs="宋体"/>
          <w:sz w:val="24"/>
          <w:szCs w:val="24"/>
        </w:rPr>
        <w:t>系统提供商若有以下规格I</w:t>
      </w:r>
      <w:r>
        <w:rPr>
          <w:rFonts w:ascii="宋体" w:hAnsi="宋体" w:cs="宋体"/>
          <w:sz w:val="24"/>
          <w:szCs w:val="24"/>
        </w:rPr>
        <w:t>/O</w:t>
      </w:r>
      <w:r>
        <w:rPr>
          <w:rFonts w:hint="eastAsia" w:ascii="宋体" w:hAnsi="宋体" w:cs="宋体"/>
          <w:sz w:val="24"/>
          <w:szCs w:val="24"/>
        </w:rPr>
        <w:t>模件，模拟量输入不超过8通道，模拟量输出不超过8通道，开关量输入不超过16通道，开关量输出不超过16通道；</w:t>
      </w:r>
    </w:p>
    <w:p w14:paraId="3CE7B838">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单个I</w:t>
      </w:r>
      <w:r>
        <w:rPr>
          <w:rFonts w:ascii="宋体" w:hAnsi="宋体" w:cs="宋体"/>
          <w:sz w:val="24"/>
          <w:szCs w:val="24"/>
        </w:rPr>
        <w:t>/O</w:t>
      </w:r>
      <w:r>
        <w:rPr>
          <w:rFonts w:hint="eastAsia" w:ascii="宋体" w:hAnsi="宋体" w:cs="宋体"/>
          <w:sz w:val="24"/>
          <w:szCs w:val="24"/>
        </w:rPr>
        <w:t>模件或通道故障，能带电插拔更换，不影响其他模件，不损坏模件，不引起系统中断；模件每个通道具有可设置保持与不保持功能；</w:t>
      </w:r>
    </w:p>
    <w:p w14:paraId="7DA6C4C1">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I</w:t>
      </w:r>
      <w:r>
        <w:rPr>
          <w:rFonts w:ascii="宋体" w:hAnsi="宋体" w:cs="宋体"/>
          <w:sz w:val="24"/>
          <w:szCs w:val="24"/>
        </w:rPr>
        <w:t>/O</w:t>
      </w:r>
      <w:r>
        <w:rPr>
          <w:rFonts w:hint="eastAsia" w:ascii="宋体" w:hAnsi="宋体" w:cs="宋体"/>
          <w:sz w:val="24"/>
          <w:szCs w:val="24"/>
        </w:rPr>
        <w:t>模件上必须带有LED指示灯，每个通道都有状态显示以及故障诊断显示；</w:t>
      </w:r>
    </w:p>
    <w:p w14:paraId="5EB22A21">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两台互为备用或冗余组合的现场设备，其各自控制回路的I/O信号必须分别配置在相互独立的I/O模件上；多台互为冗余的现场设备，其I/O信号（如测量和反馈/控制指令）和控制回路，应分组配置在几个I/O模件上；几个重要控制回路的I/O信号不应放置在同一个I/O模件上；</w:t>
      </w:r>
    </w:p>
    <w:p w14:paraId="38D07F6A">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配置与第三方系统通信的接口模件：支持modbus rtu/tcp、profibus等协议。</w:t>
      </w:r>
    </w:p>
    <w:p w14:paraId="11F4F44D">
      <w:pPr>
        <w:pStyle w:val="35"/>
        <w:numPr>
          <w:ilvl w:val="2"/>
          <w:numId w:val="9"/>
        </w:numPr>
        <w:overflowPunct w:val="0"/>
        <w:snapToGrid w:val="0"/>
        <w:spacing w:before="100" w:after="100" w:line="360" w:lineRule="exact"/>
        <w:jc w:val="left"/>
        <w:rPr>
          <w:rFonts w:ascii="宋体" w:hAnsi="宋体" w:cs="宋体"/>
          <w:b/>
          <w:bCs/>
          <w:sz w:val="24"/>
          <w:szCs w:val="24"/>
        </w:rPr>
      </w:pPr>
      <w:r>
        <w:rPr>
          <w:rFonts w:hint="eastAsia" w:ascii="宋体" w:hAnsi="宋体" w:cs="宋体"/>
          <w:b/>
          <w:bCs/>
          <w:sz w:val="24"/>
          <w:szCs w:val="24"/>
        </w:rPr>
        <w:t>网络设备</w:t>
      </w:r>
    </w:p>
    <w:p w14:paraId="0CA2905E">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工业级交换机；冗余配置；单个点的通讯故障不引起系统通讯中断。</w:t>
      </w:r>
    </w:p>
    <w:p w14:paraId="25882B28">
      <w:pPr>
        <w:pStyle w:val="35"/>
        <w:numPr>
          <w:ilvl w:val="2"/>
          <w:numId w:val="9"/>
        </w:numPr>
        <w:overflowPunct w:val="0"/>
        <w:snapToGrid w:val="0"/>
        <w:spacing w:before="100" w:after="100" w:line="360" w:lineRule="exact"/>
        <w:jc w:val="left"/>
        <w:rPr>
          <w:rFonts w:ascii="宋体" w:hAnsi="宋体" w:cs="宋体"/>
          <w:b/>
          <w:bCs/>
          <w:sz w:val="24"/>
          <w:szCs w:val="24"/>
        </w:rPr>
      </w:pPr>
      <w:r>
        <w:rPr>
          <w:rFonts w:hint="eastAsia" w:ascii="宋体" w:hAnsi="宋体" w:cs="宋体"/>
          <w:b/>
          <w:bCs/>
          <w:sz w:val="24"/>
          <w:szCs w:val="24"/>
        </w:rPr>
        <w:t>控制柜</w:t>
      </w:r>
    </w:p>
    <w:p w14:paraId="361BA8BD">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机柜防护等级，室内应为IP52，室外应为IP56；</w:t>
      </w:r>
    </w:p>
    <w:p w14:paraId="740BC3D9">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机柜内配置2组直流24VDC电源，其中一组电源给DCS系统组件供电，另一组电源给现场仪表（变送器、电磁阀、接近开关等），每组电源（2个）配置电源冗余模块实现冗余，每一路交直流供电故障，均在DCS操作画面显示报警；</w:t>
      </w:r>
    </w:p>
    <w:p w14:paraId="3230D3ED">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机柜内给</w:t>
      </w:r>
      <w:r>
        <w:rPr>
          <w:rFonts w:ascii="宋体" w:hAnsi="宋体" w:cs="宋体"/>
          <w:sz w:val="24"/>
          <w:szCs w:val="24"/>
        </w:rPr>
        <w:t>DCS</w:t>
      </w:r>
      <w:r>
        <w:rPr>
          <w:rFonts w:hint="eastAsia" w:ascii="宋体" w:hAnsi="宋体" w:cs="宋体"/>
          <w:sz w:val="24"/>
          <w:szCs w:val="24"/>
        </w:rPr>
        <w:t>系统以及现场仪表供电的电源，电源负荷符合设计要求；</w:t>
      </w:r>
    </w:p>
    <w:p w14:paraId="1C6B2FD1">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机柜内设有两个接地铜排，保护地和工作地分开；</w:t>
      </w:r>
    </w:p>
    <w:p w14:paraId="7F282583">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系统与现场设备连接的电缆不能直接连接I/O模件的底座，必须经过过渡端子或者转接板，如使用转接板，数字量模件转接板上必须带有LED指示灯，显示通道状态，并且同时支持NPN和PNP类型的接线；</w:t>
      </w:r>
    </w:p>
    <w:p w14:paraId="2214D283">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来自电气的模拟量信号（变频器的给定和反馈信号）及第三方PLC系统的模拟量信号，需加隔离器隔离；隔离器选用有源隔离器；</w:t>
      </w:r>
    </w:p>
    <w:p w14:paraId="5FE3F847">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 xml:space="preserve">数字量输入输出，应有单独的熔断器保护，熔断器的更换应方便，不需拆除任何其他组件； </w:t>
      </w:r>
    </w:p>
    <w:p w14:paraId="050D7698">
      <w:pPr>
        <w:pStyle w:val="35"/>
        <w:numPr>
          <w:ilvl w:val="3"/>
          <w:numId w:val="9"/>
        </w:numPr>
        <w:snapToGrid w:val="0"/>
        <w:spacing w:before="100" w:after="100" w:line="360" w:lineRule="exact"/>
      </w:pPr>
      <w:r>
        <w:rPr>
          <w:rFonts w:hint="eastAsia" w:ascii="宋体" w:hAnsi="宋体"/>
          <w:sz w:val="24"/>
          <w:szCs w:val="24"/>
        </w:rPr>
        <w:t>每种类型的I</w:t>
      </w:r>
      <w:r>
        <w:rPr>
          <w:rFonts w:ascii="宋体" w:hAnsi="宋体"/>
          <w:sz w:val="24"/>
          <w:szCs w:val="24"/>
        </w:rPr>
        <w:t>/O</w:t>
      </w:r>
      <w:r>
        <w:rPr>
          <w:rFonts w:hint="eastAsia" w:ascii="宋体" w:hAnsi="宋体"/>
          <w:sz w:val="24"/>
          <w:szCs w:val="24"/>
        </w:rPr>
        <w:t>点数应增加</w:t>
      </w:r>
      <w:r>
        <w:rPr>
          <w:rFonts w:ascii="宋体" w:hAnsi="宋体"/>
          <w:sz w:val="24"/>
          <w:szCs w:val="24"/>
        </w:rPr>
        <w:t>15%</w:t>
      </w:r>
      <w:r>
        <w:rPr>
          <w:rFonts w:hint="eastAsia" w:ascii="宋体" w:hAnsi="宋体"/>
          <w:sz w:val="24"/>
          <w:szCs w:val="24"/>
        </w:rPr>
        <w:t>以上的点数在线备用（安装在机柜内并接线，包括各通道所需隔离器、继电器和端子板）；每个在用I</w:t>
      </w:r>
      <w:r>
        <w:rPr>
          <w:rFonts w:ascii="宋体" w:hAnsi="宋体"/>
          <w:sz w:val="24"/>
          <w:szCs w:val="24"/>
        </w:rPr>
        <w:t>O</w:t>
      </w:r>
      <w:r>
        <w:rPr>
          <w:rFonts w:hint="eastAsia" w:ascii="宋体" w:hAnsi="宋体"/>
          <w:sz w:val="24"/>
          <w:szCs w:val="24"/>
        </w:rPr>
        <w:t>模件至少预留一个通道在线备用；留</w:t>
      </w:r>
      <w:r>
        <w:rPr>
          <w:rFonts w:ascii="宋体" w:hAnsi="宋体"/>
          <w:sz w:val="24"/>
          <w:szCs w:val="24"/>
        </w:rPr>
        <w:t>20%</w:t>
      </w:r>
      <w:r>
        <w:rPr>
          <w:rFonts w:hint="eastAsia" w:ascii="宋体" w:hAnsi="宋体"/>
          <w:sz w:val="24"/>
          <w:szCs w:val="24"/>
        </w:rPr>
        <w:t>的柜内插板空间备用；</w:t>
      </w:r>
    </w:p>
    <w:p w14:paraId="0C9F2501">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机柜内中间继电器，应有醒目工作状态指示标志；</w:t>
      </w:r>
    </w:p>
    <w:p w14:paraId="5253BA66">
      <w:pPr>
        <w:pStyle w:val="35"/>
        <w:numPr>
          <w:ilvl w:val="3"/>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供配电须有防雷保护装置。</w:t>
      </w:r>
    </w:p>
    <w:p w14:paraId="70AD7C5A">
      <w:pPr>
        <w:numPr>
          <w:ilvl w:val="1"/>
          <w:numId w:val="9"/>
        </w:numPr>
        <w:snapToGrid w:val="0"/>
        <w:spacing w:before="100" w:after="100" w:line="360" w:lineRule="exact"/>
        <w:outlineLvl w:val="1"/>
        <w:rPr>
          <w:rFonts w:ascii="宋体" w:hAnsi="宋体" w:cs="宋体"/>
          <w:b/>
          <w:bCs/>
          <w:sz w:val="24"/>
          <w:szCs w:val="24"/>
        </w:rPr>
      </w:pPr>
      <w:bookmarkStart w:id="234" w:name="_Toc16949"/>
      <w:bookmarkStart w:id="235" w:name="_Toc24793"/>
      <w:bookmarkStart w:id="236" w:name="_Toc3983"/>
      <w:r>
        <w:rPr>
          <w:rFonts w:hint="eastAsia" w:ascii="宋体" w:hAnsi="宋体" w:cs="宋体"/>
          <w:b/>
          <w:bCs/>
          <w:sz w:val="24"/>
          <w:szCs w:val="24"/>
        </w:rPr>
        <w:t>系统功能要求</w:t>
      </w:r>
      <w:bookmarkEnd w:id="234"/>
      <w:bookmarkEnd w:id="235"/>
      <w:bookmarkEnd w:id="236"/>
    </w:p>
    <w:p w14:paraId="4D696B45">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系统至少应包括备料、蒸煮、洗选以及设备自带PLC、</w:t>
      </w:r>
      <w:r>
        <w:rPr>
          <w:rFonts w:hint="eastAsia" w:ascii="宋体" w:hAnsi="宋体" w:cs="宋体"/>
          <w:sz w:val="24"/>
          <w:szCs w:val="24"/>
        </w:rPr>
        <w:t>设备状态智能监测系统、木片流量智能测量系统</w:t>
      </w:r>
      <w:r>
        <w:rPr>
          <w:rFonts w:hint="eastAsia" w:ascii="宋体" w:hAnsi="宋体" w:cs="宋体"/>
          <w:sz w:val="24"/>
          <w:szCs w:val="24"/>
          <w:lang w:val="zh-CN"/>
        </w:rPr>
        <w:t>等各控制子系统；</w:t>
      </w:r>
    </w:p>
    <w:p w14:paraId="77C7E851">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DCS系统应具有与其他系统进行OPC通讯的功能，可以与青山纸业公司数据中心平台</w:t>
      </w:r>
      <w:bookmarkStart w:id="237" w:name="_Toc18452_WPSOffice_Level3"/>
      <w:bookmarkStart w:id="238" w:name="_Toc156"/>
      <w:bookmarkStart w:id="239" w:name="_Toc7941_WPSOffice_Level3"/>
      <w:bookmarkStart w:id="240" w:name="_Toc27409_WPSOffice_Level3"/>
      <w:bookmarkStart w:id="241" w:name="_Toc31920_WPSOffice_Level3"/>
      <w:r>
        <w:rPr>
          <w:rFonts w:hint="eastAsia" w:ascii="宋体" w:hAnsi="宋体" w:cs="宋体"/>
          <w:sz w:val="24"/>
          <w:szCs w:val="24"/>
          <w:lang w:val="zh-CN"/>
        </w:rPr>
        <w:t>（与全厂管理系统（MES））进行通讯</w:t>
      </w:r>
      <w:bookmarkEnd w:id="237"/>
      <w:bookmarkEnd w:id="238"/>
      <w:bookmarkEnd w:id="239"/>
      <w:bookmarkEnd w:id="240"/>
      <w:bookmarkEnd w:id="241"/>
      <w:r>
        <w:rPr>
          <w:rFonts w:hint="eastAsia" w:ascii="宋体" w:hAnsi="宋体" w:cs="宋体"/>
          <w:sz w:val="24"/>
          <w:szCs w:val="24"/>
          <w:lang w:val="zh-CN"/>
        </w:rPr>
        <w:t>；</w:t>
      </w:r>
    </w:p>
    <w:p w14:paraId="5487571B">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对于工艺过程的操作，必须满足三级操作要求（自动、遥控、手动），状态之间的切换必须为无扰切换，对过程对象的操作由操作人员通过操作站的鼠标或键盘来实现；</w:t>
      </w:r>
    </w:p>
    <w:p w14:paraId="6448921C">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监视功能：具有但不限于满足对生产过程的运行状态（生产设备的启动及停止，控制阀的开/关，故障及事故报警等）显示；主要参数（参数测量值、阀门开度、主要电机电流等）显示；</w:t>
      </w:r>
    </w:p>
    <w:p w14:paraId="3901F994">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控制功能：具有但不限于满足整条生产线简单和复杂回路的开环和闭环控制功能，顺序控制、成组及单机控制功能，联锁控制功能，电机、电磁阀，开/关阀，电动阀的控制功能等；</w:t>
      </w:r>
    </w:p>
    <w:p w14:paraId="0DFD2B8C">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报表功能：操作站可导出、打印生产采集数据报表；</w:t>
      </w:r>
    </w:p>
    <w:p w14:paraId="345FCCF7">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趋势功能：具备完善的历史数据（趋势图）和事件记录（操作记录、工艺报警和系统报警）贮存和快速查找等功能。提供保持一年的随机可查的工艺历史数据和报警记录；</w:t>
      </w:r>
    </w:p>
    <w:p w14:paraId="59E34C4E">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开放式的系统,具备汉化界面；</w:t>
      </w:r>
    </w:p>
    <w:p w14:paraId="657F95FB">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有系统自诊断及自我保护功能；</w:t>
      </w:r>
    </w:p>
    <w:p w14:paraId="520143B5">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具备实时及随机报警打印功能；</w:t>
      </w:r>
    </w:p>
    <w:p w14:paraId="1079C091">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工程师站软件有完整的功能块库，每个功能块都有详细的说明，具有开放性，具备灵活方便的功能程序组态、画面组态功能。应能进行图形组态、各种画面种类及数量必须满足用户要求，满足整条生产线的监控要求；</w:t>
      </w:r>
    </w:p>
    <w:p w14:paraId="4DA40881">
      <w:pPr>
        <w:numPr>
          <w:ilvl w:val="2"/>
          <w:numId w:val="9"/>
        </w:numPr>
        <w:snapToGrid w:val="0"/>
        <w:spacing w:before="100" w:after="100" w:line="360" w:lineRule="exact"/>
        <w:jc w:val="left"/>
        <w:rPr>
          <w:rFonts w:ascii="宋体" w:hAnsi="宋体" w:cs="宋体"/>
          <w:sz w:val="24"/>
          <w:szCs w:val="24"/>
        </w:rPr>
      </w:pPr>
      <w:r>
        <w:rPr>
          <w:rFonts w:hint="eastAsia" w:ascii="宋体" w:hAnsi="宋体" w:cs="宋体"/>
          <w:sz w:val="24"/>
          <w:szCs w:val="24"/>
          <w:lang w:val="zh-CN"/>
        </w:rPr>
        <w:t>DCS控制系统可采用通讯网络直接控制变频器和软启动。</w:t>
      </w:r>
    </w:p>
    <w:p w14:paraId="0D04BADD">
      <w:pPr>
        <w:numPr>
          <w:ilvl w:val="1"/>
          <w:numId w:val="9"/>
        </w:numPr>
        <w:snapToGrid w:val="0"/>
        <w:spacing w:before="100" w:after="100" w:line="360" w:lineRule="exact"/>
        <w:outlineLvl w:val="1"/>
        <w:rPr>
          <w:rFonts w:ascii="宋体" w:hAnsi="宋体" w:cs="宋体"/>
          <w:b/>
          <w:bCs/>
          <w:sz w:val="24"/>
          <w:szCs w:val="24"/>
        </w:rPr>
      </w:pPr>
      <w:bookmarkStart w:id="242" w:name="_Toc14198"/>
      <w:bookmarkStart w:id="243" w:name="_Toc27281"/>
      <w:bookmarkStart w:id="244" w:name="_Toc4276"/>
      <w:r>
        <w:rPr>
          <w:rFonts w:hint="eastAsia" w:ascii="宋体" w:hAnsi="宋体" w:cs="宋体"/>
          <w:b/>
          <w:bCs/>
          <w:sz w:val="24"/>
          <w:szCs w:val="24"/>
        </w:rPr>
        <w:t>DCS操作室及机柜室</w:t>
      </w:r>
      <w:bookmarkEnd w:id="242"/>
      <w:bookmarkEnd w:id="243"/>
      <w:bookmarkEnd w:id="244"/>
    </w:p>
    <w:p w14:paraId="2BAAAACF">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操作室：</w:t>
      </w:r>
      <w:r>
        <w:rPr>
          <w:rFonts w:hint="eastAsia" w:ascii="宋体" w:hAnsi="宋体" w:cs="宋体"/>
          <w:sz w:val="24"/>
          <w:szCs w:val="24"/>
        </w:rPr>
        <w:t>操作室（</w:t>
      </w:r>
      <w:r>
        <w:rPr>
          <w:rFonts w:hint="eastAsia" w:ascii="宋体" w:hAnsi="宋体" w:cs="宋体"/>
          <w:sz w:val="24"/>
          <w:szCs w:val="24"/>
          <w:lang w:val="zh-CN"/>
        </w:rPr>
        <w:t>操作站</w:t>
      </w:r>
      <w:r>
        <w:rPr>
          <w:rFonts w:hint="eastAsia" w:ascii="宋体" w:hAnsi="宋体" w:cs="宋体"/>
          <w:sz w:val="24"/>
          <w:szCs w:val="24"/>
        </w:rPr>
        <w:t>）</w:t>
      </w:r>
      <w:r>
        <w:rPr>
          <w:rFonts w:hint="eastAsia" w:ascii="宋体" w:hAnsi="宋体" w:cs="宋体"/>
          <w:sz w:val="24"/>
          <w:szCs w:val="24"/>
          <w:lang w:val="zh-CN"/>
        </w:rPr>
        <w:t>设置在</w:t>
      </w:r>
      <w:r>
        <w:rPr>
          <w:rFonts w:hint="eastAsia" w:ascii="宋体" w:hAnsi="宋体" w:cs="宋体"/>
          <w:sz w:val="24"/>
          <w:szCs w:val="24"/>
        </w:rPr>
        <w:t>现有的</w:t>
      </w:r>
      <w:r>
        <w:rPr>
          <w:rFonts w:hint="eastAsia" w:ascii="宋体" w:hAnsi="宋体" w:cs="宋体"/>
          <w:sz w:val="24"/>
          <w:szCs w:val="24"/>
          <w:lang w:val="zh-CN"/>
        </w:rPr>
        <w:t>集控大楼，配置两个交换机与控制柜的交换机形成环网配置；</w:t>
      </w:r>
    </w:p>
    <w:p w14:paraId="0DA7A4E9">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机柜室：设置两个接地铜排，保护地和工作地分开；配置温湿度计，温湿度信号在DCS操作站显示报警；</w:t>
      </w:r>
    </w:p>
    <w:p w14:paraId="2156003F">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工程师站、服务器操作台放在仪表机柜室，操作台由投标方提供；</w:t>
      </w:r>
    </w:p>
    <w:p w14:paraId="6A225811">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机柜室配置防静电地板；</w:t>
      </w:r>
    </w:p>
    <w:p w14:paraId="0EBD1B14">
      <w:pPr>
        <w:pStyle w:val="35"/>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蒸煮工段和洗选工段值班室各</w:t>
      </w:r>
      <w:r>
        <w:rPr>
          <w:rFonts w:hint="eastAsia" w:ascii="宋体" w:hAnsi="宋体" w:cs="宋体"/>
          <w:sz w:val="24"/>
          <w:szCs w:val="24"/>
          <w:lang w:val="zh-CN"/>
        </w:rPr>
        <w:t>配置</w:t>
      </w:r>
      <w:r>
        <w:rPr>
          <w:rFonts w:hint="eastAsia" w:ascii="宋体" w:hAnsi="宋体" w:cs="宋体"/>
          <w:sz w:val="24"/>
          <w:szCs w:val="24"/>
        </w:rPr>
        <w:t>一台辅助</w:t>
      </w:r>
      <w:r>
        <w:rPr>
          <w:rFonts w:hint="eastAsia" w:ascii="宋体" w:hAnsi="宋体" w:cs="宋体"/>
          <w:sz w:val="24"/>
          <w:szCs w:val="24"/>
          <w:lang w:val="zh-CN"/>
        </w:rPr>
        <w:t>操作站，</w:t>
      </w:r>
      <w:r>
        <w:rPr>
          <w:rFonts w:hint="eastAsia" w:ascii="宋体" w:hAnsi="宋体" w:cs="宋体"/>
          <w:sz w:val="24"/>
          <w:szCs w:val="24"/>
        </w:rPr>
        <w:t>应急操作，</w:t>
      </w:r>
      <w:r>
        <w:rPr>
          <w:rFonts w:hint="eastAsia" w:ascii="宋体" w:hAnsi="宋体" w:cs="宋体"/>
          <w:sz w:val="24"/>
          <w:szCs w:val="24"/>
          <w:lang w:val="zh-CN"/>
        </w:rPr>
        <w:t>操作台由投标方提供。</w:t>
      </w:r>
    </w:p>
    <w:p w14:paraId="5FC6D081">
      <w:pPr>
        <w:numPr>
          <w:ilvl w:val="1"/>
          <w:numId w:val="9"/>
        </w:numPr>
        <w:snapToGrid w:val="0"/>
        <w:spacing w:before="100" w:after="100" w:line="360" w:lineRule="exact"/>
        <w:outlineLvl w:val="1"/>
        <w:rPr>
          <w:rFonts w:ascii="宋体" w:hAnsi="宋体" w:cs="宋体"/>
          <w:b/>
          <w:bCs/>
          <w:sz w:val="24"/>
          <w:szCs w:val="24"/>
        </w:rPr>
      </w:pPr>
      <w:bookmarkStart w:id="245" w:name="_Toc9904"/>
      <w:bookmarkStart w:id="246" w:name="_Toc14845"/>
      <w:bookmarkStart w:id="247" w:name="_Toc9240"/>
      <w:r>
        <w:rPr>
          <w:rFonts w:hint="eastAsia" w:ascii="宋体" w:hAnsi="宋体" w:cs="宋体"/>
          <w:b/>
          <w:bCs/>
          <w:sz w:val="24"/>
          <w:szCs w:val="24"/>
        </w:rPr>
        <w:t>系统配电</w:t>
      </w:r>
      <w:bookmarkEnd w:id="245"/>
      <w:bookmarkEnd w:id="246"/>
      <w:bookmarkEnd w:id="247"/>
    </w:p>
    <w:p w14:paraId="25686C59">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配电柜：自动化系统有独立的配电柜，该配电柜接受两路电源，一路来自厂用电源、另一路来自UPS电源，配置双电源自动切换供电，双电源切换装置选用进口品牌；</w:t>
      </w:r>
    </w:p>
    <w:p w14:paraId="7316C57A">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配电：DCS机柜、操作员站、工程师站、服务器、网络设备、现场各类仪表、电动执行机构、PLC、辅助系统等由配电柜采用UPS和市电两路冗余方式供电，自动切换；</w:t>
      </w:r>
    </w:p>
    <w:p w14:paraId="52DB914B">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UPS不间断电源：工业级; 智能在线式; 输入电压：三相380VAC或单相220VAC;后备电池供电时间：</w:t>
      </w:r>
      <w:r>
        <w:rPr>
          <w:rFonts w:ascii="宋体" w:hAnsi="宋体" w:cs="宋体"/>
          <w:sz w:val="24"/>
          <w:szCs w:val="24"/>
          <w:lang w:val="zh-CN"/>
        </w:rPr>
        <w:t>120</w:t>
      </w:r>
      <w:r>
        <w:rPr>
          <w:rFonts w:hint="eastAsia" w:ascii="宋体" w:hAnsi="宋体" w:cs="宋体"/>
          <w:sz w:val="24"/>
          <w:szCs w:val="24"/>
          <w:lang w:val="zh-CN"/>
        </w:rPr>
        <w:t>分钟;UPS电源负荷不高于</w:t>
      </w:r>
      <w:r>
        <w:rPr>
          <w:rFonts w:ascii="宋体" w:hAnsi="宋体" w:cs="宋体"/>
          <w:sz w:val="24"/>
          <w:szCs w:val="24"/>
          <w:lang w:val="zh-CN"/>
        </w:rPr>
        <w:t>60</w:t>
      </w:r>
      <w:r>
        <w:rPr>
          <w:rFonts w:hint="eastAsia" w:ascii="宋体" w:hAnsi="宋体" w:cs="宋体"/>
          <w:sz w:val="24"/>
          <w:szCs w:val="24"/>
          <w:lang w:val="zh-CN"/>
        </w:rPr>
        <w:t>%;带逆变稳压功能；电池类型：密封免维护铅酸蓄电池;本工程在</w:t>
      </w:r>
      <w:r>
        <w:rPr>
          <w:rFonts w:ascii="宋体" w:hAnsi="宋体" w:cs="宋体"/>
          <w:sz w:val="24"/>
          <w:szCs w:val="24"/>
          <w:lang w:val="zh-CN"/>
        </w:rPr>
        <w:t>3</w:t>
      </w:r>
      <w:r>
        <w:rPr>
          <w:rFonts w:hint="eastAsia" w:ascii="宋体" w:hAnsi="宋体" w:cs="宋体"/>
          <w:sz w:val="24"/>
          <w:szCs w:val="24"/>
          <w:lang w:val="zh-CN"/>
        </w:rPr>
        <w:t>处机柜室，分别独立设置UPS电源和电池柜。要求具备如下功能（不限于）：</w:t>
      </w:r>
    </w:p>
    <w:p w14:paraId="678C4DE9">
      <w:pPr>
        <w:pStyle w:val="35"/>
        <w:numPr>
          <w:ilvl w:val="0"/>
          <w:numId w:val="0"/>
        </w:numPr>
        <w:overflowPunct w:val="0"/>
        <w:snapToGrid w:val="0"/>
        <w:spacing w:before="100" w:after="100" w:line="360" w:lineRule="exact"/>
        <w:ind w:left="851" w:firstLine="1200" w:firstLineChars="500"/>
        <w:jc w:val="left"/>
        <w:rPr>
          <w:rFonts w:ascii="宋体" w:hAnsi="宋体" w:cs="宋体"/>
          <w:sz w:val="24"/>
          <w:szCs w:val="24"/>
          <w:lang w:val="zh-CN"/>
        </w:rPr>
      </w:pPr>
      <w:r>
        <w:rPr>
          <w:rFonts w:hint="eastAsia" w:ascii="宋体" w:hAnsi="宋体" w:cs="宋体"/>
          <w:sz w:val="24"/>
          <w:szCs w:val="24"/>
          <w:lang w:val="zh-CN"/>
        </w:rPr>
        <w:t>1电源断电、电池欠压、过载过热报警功能；</w:t>
      </w:r>
    </w:p>
    <w:p w14:paraId="0B8E57BA">
      <w:pPr>
        <w:pStyle w:val="35"/>
        <w:numPr>
          <w:ilvl w:val="0"/>
          <w:numId w:val="0"/>
        </w:numPr>
        <w:overflowPunct w:val="0"/>
        <w:snapToGrid w:val="0"/>
        <w:spacing w:before="100" w:after="100" w:line="360" w:lineRule="exact"/>
        <w:ind w:left="851" w:firstLine="1200" w:firstLineChars="500"/>
        <w:jc w:val="left"/>
        <w:rPr>
          <w:rFonts w:ascii="宋体" w:hAnsi="宋体" w:cs="宋体"/>
          <w:sz w:val="24"/>
          <w:szCs w:val="24"/>
          <w:lang w:val="zh-CN"/>
        </w:rPr>
      </w:pPr>
      <w:r>
        <w:rPr>
          <w:rFonts w:hint="eastAsia" w:ascii="宋体" w:hAnsi="宋体" w:cs="宋体"/>
          <w:sz w:val="24"/>
          <w:szCs w:val="24"/>
          <w:lang w:val="zh-CN"/>
        </w:rPr>
        <w:t>2输出短路、过载过热、电池欠压、输出过压欠压等保护功能；</w:t>
      </w:r>
    </w:p>
    <w:p w14:paraId="03BE5F71">
      <w:pPr>
        <w:pStyle w:val="35"/>
        <w:numPr>
          <w:ilvl w:val="0"/>
          <w:numId w:val="0"/>
        </w:numPr>
        <w:overflowPunct w:val="0"/>
        <w:snapToGrid w:val="0"/>
        <w:spacing w:before="100" w:after="100" w:line="360" w:lineRule="exact"/>
        <w:ind w:left="851" w:firstLine="1200" w:firstLineChars="500"/>
        <w:jc w:val="left"/>
        <w:rPr>
          <w:rFonts w:ascii="宋体" w:hAnsi="宋体" w:cs="宋体"/>
          <w:sz w:val="24"/>
          <w:szCs w:val="24"/>
          <w:lang w:val="zh-CN"/>
        </w:rPr>
      </w:pPr>
      <w:r>
        <w:rPr>
          <w:rFonts w:hint="eastAsia" w:ascii="宋体" w:hAnsi="宋体" w:cs="宋体"/>
          <w:sz w:val="24"/>
          <w:szCs w:val="24"/>
          <w:lang w:val="zh-CN"/>
        </w:rPr>
        <w:t>3电池管理功能；</w:t>
      </w:r>
    </w:p>
    <w:p w14:paraId="33878F09">
      <w:pPr>
        <w:pStyle w:val="35"/>
        <w:numPr>
          <w:ilvl w:val="0"/>
          <w:numId w:val="0"/>
        </w:numPr>
        <w:overflowPunct w:val="0"/>
        <w:snapToGrid w:val="0"/>
        <w:spacing w:before="100" w:after="100" w:line="360" w:lineRule="exact"/>
        <w:ind w:left="851" w:firstLine="1200" w:firstLineChars="500"/>
        <w:jc w:val="left"/>
        <w:rPr>
          <w:rFonts w:ascii="宋体" w:hAnsi="宋体" w:cs="宋体"/>
          <w:sz w:val="24"/>
          <w:szCs w:val="24"/>
          <w:lang w:val="zh-CN"/>
        </w:rPr>
      </w:pPr>
      <w:r>
        <w:rPr>
          <w:rFonts w:hint="eastAsia" w:ascii="宋体" w:hAnsi="宋体" w:cs="宋体"/>
          <w:sz w:val="24"/>
          <w:szCs w:val="24"/>
          <w:lang w:val="zh-CN"/>
        </w:rPr>
        <w:t>4手动维护旁路功能；</w:t>
      </w:r>
    </w:p>
    <w:p w14:paraId="335BE3DB">
      <w:pPr>
        <w:pStyle w:val="35"/>
        <w:numPr>
          <w:ilvl w:val="0"/>
          <w:numId w:val="0"/>
        </w:numPr>
        <w:overflowPunct w:val="0"/>
        <w:snapToGrid w:val="0"/>
        <w:spacing w:before="100" w:after="100" w:line="360" w:lineRule="exact"/>
        <w:ind w:left="851" w:firstLine="1200" w:firstLineChars="500"/>
        <w:jc w:val="left"/>
        <w:rPr>
          <w:rFonts w:ascii="宋体" w:hAnsi="宋体" w:cs="宋体"/>
          <w:sz w:val="24"/>
          <w:szCs w:val="24"/>
          <w:lang w:val="zh-CN"/>
        </w:rPr>
      </w:pPr>
      <w:r>
        <w:rPr>
          <w:rFonts w:hint="eastAsia" w:ascii="宋体" w:hAnsi="宋体" w:cs="宋体"/>
          <w:sz w:val="24"/>
          <w:szCs w:val="24"/>
          <w:lang w:val="zh-CN"/>
        </w:rPr>
        <w:t>5冷却方式：强制风冷；</w:t>
      </w:r>
    </w:p>
    <w:p w14:paraId="37E7565B">
      <w:pPr>
        <w:pStyle w:val="35"/>
        <w:numPr>
          <w:ilvl w:val="0"/>
          <w:numId w:val="0"/>
        </w:numPr>
        <w:overflowPunct w:val="0"/>
        <w:snapToGrid w:val="0"/>
        <w:spacing w:before="100" w:after="100" w:line="360" w:lineRule="exact"/>
        <w:ind w:left="2231" w:hanging="180"/>
        <w:jc w:val="left"/>
        <w:rPr>
          <w:rFonts w:ascii="宋体" w:hAnsi="宋体" w:cs="宋体"/>
          <w:sz w:val="24"/>
          <w:szCs w:val="24"/>
          <w:lang w:val="zh-CN"/>
        </w:rPr>
      </w:pPr>
      <w:r>
        <w:rPr>
          <w:rFonts w:hint="eastAsia" w:ascii="宋体" w:hAnsi="宋体" w:cs="宋体"/>
          <w:sz w:val="24"/>
          <w:szCs w:val="24"/>
          <w:lang w:val="zh-CN"/>
        </w:rPr>
        <w:t>6显示内容：UPS工作状态及工作指示、输入电压及频率、输出电压及负载、电池电压、电池充放电电流等。</w:t>
      </w:r>
    </w:p>
    <w:p w14:paraId="442DC941">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机柜室的UPS除给DCS配电外，还可为现场各类仪表、PLC、GDS系统等配电；</w:t>
      </w:r>
    </w:p>
    <w:p w14:paraId="40CE7254">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备料、蒸煮、洗选各自配置独立的U</w:t>
      </w:r>
      <w:r>
        <w:rPr>
          <w:rFonts w:ascii="宋体" w:hAnsi="宋体" w:cs="宋体"/>
          <w:sz w:val="24"/>
          <w:szCs w:val="24"/>
          <w:lang w:val="zh-CN"/>
        </w:rPr>
        <w:t>PS</w:t>
      </w:r>
      <w:r>
        <w:rPr>
          <w:rFonts w:hint="eastAsia" w:ascii="宋体" w:hAnsi="宋体" w:cs="宋体"/>
          <w:sz w:val="24"/>
          <w:szCs w:val="24"/>
          <w:lang w:val="zh-CN"/>
        </w:rPr>
        <w:t>电源。</w:t>
      </w:r>
    </w:p>
    <w:p w14:paraId="7D965D84">
      <w:pPr>
        <w:numPr>
          <w:ilvl w:val="1"/>
          <w:numId w:val="9"/>
        </w:numPr>
        <w:snapToGrid w:val="0"/>
        <w:spacing w:before="100" w:after="100" w:line="360" w:lineRule="exact"/>
        <w:outlineLvl w:val="1"/>
        <w:rPr>
          <w:rFonts w:ascii="宋体" w:hAnsi="宋体" w:cs="宋体"/>
          <w:b/>
          <w:bCs/>
          <w:sz w:val="24"/>
          <w:szCs w:val="24"/>
        </w:rPr>
      </w:pPr>
      <w:bookmarkStart w:id="248" w:name="_Toc19618"/>
      <w:bookmarkStart w:id="249" w:name="_Toc25334"/>
      <w:bookmarkStart w:id="250" w:name="_Toc26672"/>
      <w:r>
        <w:rPr>
          <w:rFonts w:hint="eastAsia" w:ascii="宋体" w:hAnsi="宋体" w:cs="宋体"/>
          <w:b/>
          <w:bCs/>
          <w:sz w:val="24"/>
          <w:szCs w:val="24"/>
        </w:rPr>
        <w:t>蒸煮安全保护系统技术要求</w:t>
      </w:r>
      <w:bookmarkEnd w:id="248"/>
      <w:bookmarkEnd w:id="249"/>
      <w:bookmarkEnd w:id="250"/>
    </w:p>
    <w:p w14:paraId="18FA1079">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bCs/>
          <w:sz w:val="24"/>
          <w:szCs w:val="24"/>
        </w:rPr>
        <w:t>安全保护</w:t>
      </w:r>
      <w:r>
        <w:rPr>
          <w:rFonts w:hint="eastAsia" w:ascii="宋体" w:hAnsi="宋体" w:cs="宋体"/>
          <w:sz w:val="24"/>
          <w:szCs w:val="24"/>
          <w:lang w:val="zh-CN"/>
        </w:rPr>
        <w:t>系统若为软联锁的方式，控制器应专用、独立、冗余配置，并在独立的控制柜安装，建议与DCS同一品牌，可靠性稳定性要优于DCS系统；</w:t>
      </w:r>
    </w:p>
    <w:p w14:paraId="59491DE0">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安全系统若采用硬联锁的方式，每个联锁信号必须在DCS操作站显示；</w:t>
      </w:r>
    </w:p>
    <w:p w14:paraId="60D847BF">
      <w:pPr>
        <w:pStyle w:val="35"/>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安全保护系统的设计，保证工艺设备和生产安全的同时，也要考虑生产的顺利进行；</w:t>
      </w:r>
    </w:p>
    <w:p w14:paraId="43C26A93">
      <w:pPr>
        <w:pStyle w:val="35"/>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用于安全连锁保护的信号，应采用性能更为可靠的检测设备和传输设备，避免因检测和传输错误导致生产中断；或采用三信号冗余方式，“3选2”的原则保证生产的稳定性。</w:t>
      </w:r>
    </w:p>
    <w:p w14:paraId="36C28872">
      <w:pPr>
        <w:pStyle w:val="35"/>
        <w:numPr>
          <w:ilvl w:val="1"/>
          <w:numId w:val="9"/>
        </w:numPr>
        <w:tabs>
          <w:tab w:val="left" w:pos="879"/>
        </w:tabs>
        <w:overflowPunct w:val="0"/>
        <w:snapToGrid w:val="0"/>
        <w:spacing w:before="100" w:after="100" w:line="360" w:lineRule="exact"/>
        <w:jc w:val="left"/>
        <w:outlineLvl w:val="1"/>
        <w:rPr>
          <w:rFonts w:ascii="宋体" w:hAnsi="宋体" w:cs="宋体"/>
          <w:b/>
          <w:sz w:val="24"/>
          <w:szCs w:val="24"/>
        </w:rPr>
      </w:pPr>
      <w:bookmarkStart w:id="251" w:name="_Toc6700"/>
      <w:bookmarkStart w:id="252" w:name="_Toc18071"/>
      <w:bookmarkStart w:id="253" w:name="_Toc8608"/>
      <w:r>
        <w:rPr>
          <w:rFonts w:hint="eastAsia" w:ascii="宋体" w:hAnsi="宋体" w:cs="宋体"/>
          <w:b/>
          <w:sz w:val="24"/>
          <w:szCs w:val="24"/>
        </w:rPr>
        <w:t>工厂验收试验和要求（FAT）</w:t>
      </w:r>
      <w:bookmarkEnd w:id="251"/>
      <w:bookmarkEnd w:id="252"/>
      <w:bookmarkEnd w:id="253"/>
    </w:p>
    <w:p w14:paraId="03B7DDAD">
      <w:pPr>
        <w:pStyle w:val="35"/>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应包括对所有可联网并已装载软件的设备进行适当的运行。采用仿真机构成DCS所有输入信号、组态和控制输出的一个完整的功能闭环试验。</w:t>
      </w:r>
    </w:p>
    <w:p w14:paraId="26161AE8">
      <w:pPr>
        <w:numPr>
          <w:ilvl w:val="1"/>
          <w:numId w:val="9"/>
        </w:numPr>
        <w:snapToGrid w:val="0"/>
        <w:spacing w:before="100" w:after="100" w:line="360" w:lineRule="exact"/>
        <w:outlineLvl w:val="1"/>
        <w:rPr>
          <w:rFonts w:ascii="宋体" w:hAnsi="宋体" w:cs="宋体"/>
          <w:b/>
          <w:bCs/>
          <w:sz w:val="24"/>
          <w:szCs w:val="24"/>
        </w:rPr>
      </w:pPr>
      <w:r>
        <w:rPr>
          <w:rFonts w:ascii="宋体" w:hAnsi="宋体" w:cs="宋体"/>
          <w:b/>
          <w:bCs/>
          <w:sz w:val="24"/>
          <w:szCs w:val="24"/>
        </w:rPr>
        <w:t xml:space="preserve"> </w:t>
      </w:r>
      <w:bookmarkStart w:id="254" w:name="_Toc328"/>
      <w:bookmarkStart w:id="255" w:name="_Toc15437"/>
      <w:bookmarkStart w:id="256" w:name="_Toc7398"/>
      <w:r>
        <w:rPr>
          <w:rFonts w:hint="eastAsia" w:ascii="宋体" w:hAnsi="宋体" w:cs="宋体"/>
          <w:b/>
          <w:bCs/>
          <w:sz w:val="24"/>
          <w:szCs w:val="24"/>
        </w:rPr>
        <w:t>DCS供货要求</w:t>
      </w:r>
      <w:bookmarkEnd w:id="254"/>
      <w:bookmarkEnd w:id="255"/>
      <w:bookmarkEnd w:id="256"/>
    </w:p>
    <w:p w14:paraId="1EC7237F">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供货范围</w:t>
      </w:r>
    </w:p>
    <w:p w14:paraId="2DBC1210">
      <w:pPr>
        <w:pStyle w:val="35"/>
        <w:numPr>
          <w:ilvl w:val="3"/>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DCS控制系统所需的硬件（控制室设备、供电柜、控制柜、I/O柜分线柜及其相关柜等）、系统软件（编程及组态、系统维护及故障诊断软件及其他应用软件），DCS与第三方通讯接口（包括软件、硬件）。操作系统为Windows</w:t>
      </w:r>
      <w:r>
        <w:rPr>
          <w:rFonts w:ascii="宋体" w:hAnsi="宋体" w:cs="宋体"/>
          <w:sz w:val="24"/>
          <w:szCs w:val="24"/>
          <w:lang w:val="zh-CN"/>
        </w:rPr>
        <w:t>10</w:t>
      </w:r>
      <w:r>
        <w:rPr>
          <w:rFonts w:hint="eastAsia" w:ascii="宋体" w:hAnsi="宋体" w:cs="宋体"/>
          <w:sz w:val="24"/>
          <w:szCs w:val="24"/>
          <w:lang w:val="zh-CN"/>
        </w:rPr>
        <w:t>以上，</w:t>
      </w:r>
      <w:r>
        <w:rPr>
          <w:rFonts w:hint="eastAsia" w:ascii="宋体" w:hAnsi="宋体" w:cs="宋体"/>
          <w:sz w:val="24"/>
          <w:szCs w:val="24"/>
          <w:highlight w:val="none"/>
          <w:lang w:val="zh-CN"/>
        </w:rPr>
        <w:t>工程师站需安装</w:t>
      </w:r>
      <w:r>
        <w:rPr>
          <w:rFonts w:ascii="宋体" w:hAnsi="宋体" w:cs="宋体"/>
          <w:sz w:val="24"/>
          <w:szCs w:val="24"/>
          <w:highlight w:val="none"/>
          <w:lang w:val="zh-CN"/>
        </w:rPr>
        <w:t>O</w:t>
      </w:r>
      <w:r>
        <w:rPr>
          <w:rFonts w:hint="eastAsia" w:ascii="宋体" w:hAnsi="宋体" w:cs="宋体"/>
          <w:sz w:val="24"/>
          <w:szCs w:val="24"/>
          <w:highlight w:val="none"/>
          <w:lang w:val="zh-CN"/>
        </w:rPr>
        <w:t>ffice办公软件，</w:t>
      </w:r>
      <w:r>
        <w:rPr>
          <w:rFonts w:hint="eastAsia" w:ascii="宋体" w:hAnsi="宋体" w:cs="宋体"/>
          <w:sz w:val="24"/>
          <w:szCs w:val="24"/>
          <w:lang w:val="zh-CN"/>
        </w:rPr>
        <w:t>所有软件都应是正版授权软件；</w:t>
      </w:r>
    </w:p>
    <w:p w14:paraId="1985BF38">
      <w:pPr>
        <w:pStyle w:val="35"/>
        <w:numPr>
          <w:ilvl w:val="3"/>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控制室、</w:t>
      </w:r>
      <w:r>
        <w:rPr>
          <w:rFonts w:hint="eastAsia" w:ascii="宋体" w:hAnsi="宋体" w:cs="宋体"/>
          <w:sz w:val="24"/>
          <w:szCs w:val="24"/>
        </w:rPr>
        <w:t>机柜室、值班室</w:t>
      </w:r>
      <w:r>
        <w:rPr>
          <w:rFonts w:hint="eastAsia" w:ascii="宋体" w:hAnsi="宋体" w:cs="宋体"/>
          <w:sz w:val="24"/>
          <w:szCs w:val="24"/>
          <w:lang w:val="zh-CN"/>
        </w:rPr>
        <w:t>的操作台、座椅等；</w:t>
      </w:r>
    </w:p>
    <w:p w14:paraId="4CAA2F29">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备品备件</w:t>
      </w:r>
    </w:p>
    <w:p w14:paraId="38D56804">
      <w:pPr>
        <w:pStyle w:val="35"/>
        <w:numPr>
          <w:ilvl w:val="3"/>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DCS</w:t>
      </w:r>
      <w:r>
        <w:rPr>
          <w:rFonts w:hint="eastAsia" w:ascii="宋体" w:hAnsi="宋体" w:cs="宋体"/>
          <w:sz w:val="24"/>
          <w:szCs w:val="24"/>
        </w:rPr>
        <w:t>系统</w:t>
      </w:r>
      <w:r>
        <w:rPr>
          <w:rFonts w:hint="eastAsia" w:ascii="宋体" w:hAnsi="宋体" w:cs="宋体"/>
          <w:sz w:val="24"/>
          <w:szCs w:val="24"/>
          <w:lang w:val="zh-CN"/>
        </w:rPr>
        <w:t>中每一种类的模件（不包含控制器），至少应有5%的备品备件，</w:t>
      </w:r>
      <w:r>
        <w:rPr>
          <w:rFonts w:hint="eastAsia" w:ascii="宋体" w:hAnsi="宋体" w:cs="宋体"/>
          <w:sz w:val="24"/>
          <w:szCs w:val="24"/>
          <w:highlight w:val="none"/>
          <w:lang w:val="zh-CN"/>
        </w:rPr>
        <w:t>不足一件的按一件计算提供。</w:t>
      </w:r>
    </w:p>
    <w:p w14:paraId="365AFBFA">
      <w:pPr>
        <w:numPr>
          <w:ilvl w:val="1"/>
          <w:numId w:val="9"/>
        </w:numPr>
        <w:snapToGrid w:val="0"/>
        <w:spacing w:before="100" w:after="100" w:line="360" w:lineRule="exact"/>
        <w:outlineLvl w:val="1"/>
        <w:rPr>
          <w:rFonts w:ascii="宋体" w:hAnsi="宋体" w:cs="宋体"/>
          <w:b/>
          <w:bCs/>
          <w:sz w:val="24"/>
          <w:szCs w:val="24"/>
        </w:rPr>
      </w:pPr>
      <w:r>
        <w:rPr>
          <w:rFonts w:ascii="宋体" w:hAnsi="宋体" w:cs="宋体"/>
          <w:b/>
          <w:bCs/>
          <w:sz w:val="24"/>
          <w:szCs w:val="24"/>
        </w:rPr>
        <w:t xml:space="preserve"> </w:t>
      </w:r>
      <w:bookmarkStart w:id="257" w:name="_Toc6470"/>
      <w:bookmarkStart w:id="258" w:name="_Toc21426"/>
      <w:bookmarkStart w:id="259" w:name="_Toc21777"/>
      <w:r>
        <w:rPr>
          <w:rFonts w:hint="eastAsia" w:ascii="宋体" w:hAnsi="宋体" w:cs="宋体"/>
          <w:b/>
          <w:bCs/>
          <w:sz w:val="24"/>
          <w:szCs w:val="24"/>
        </w:rPr>
        <w:t>DCS系统服务</w:t>
      </w:r>
      <w:bookmarkEnd w:id="257"/>
      <w:bookmarkEnd w:id="258"/>
      <w:bookmarkEnd w:id="259"/>
    </w:p>
    <w:p w14:paraId="4D1A8409">
      <w:pPr>
        <w:numPr>
          <w:ilvl w:val="2"/>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应提供包括工程服务与现场服务。工程服务有项目管理、组态、生成、集成调试、工厂试验与出厂验收、培训服务（组态、操作、维护）等。现场服务包括现场开箱检查、系统通电、安装指导、联调试运和装置投运以及集成设备现场安装调试等。</w:t>
      </w:r>
      <w:bookmarkEnd w:id="218"/>
    </w:p>
    <w:p w14:paraId="67611521">
      <w:pPr>
        <w:numPr>
          <w:ilvl w:val="2"/>
          <w:numId w:val="9"/>
        </w:numPr>
        <w:snapToGrid w:val="0"/>
        <w:spacing w:before="100" w:after="100" w:line="360" w:lineRule="exact"/>
        <w:jc w:val="left"/>
        <w:rPr>
          <w:rFonts w:ascii="宋体" w:hAnsi="宋体" w:cs="宋体"/>
          <w:sz w:val="24"/>
          <w:szCs w:val="24"/>
          <w:highlight w:val="none"/>
          <w:lang w:val="zh-CN"/>
        </w:rPr>
      </w:pPr>
      <w:r>
        <w:rPr>
          <w:rFonts w:hint="eastAsia" w:ascii="宋体" w:hAnsi="宋体" w:cs="宋体"/>
          <w:sz w:val="24"/>
          <w:szCs w:val="24"/>
          <w:highlight w:val="none"/>
          <w:lang w:val="zh-CN"/>
        </w:rPr>
        <w:t>D</w:t>
      </w:r>
      <w:r>
        <w:rPr>
          <w:rFonts w:ascii="宋体" w:hAnsi="宋体" w:cs="宋体"/>
          <w:sz w:val="24"/>
          <w:szCs w:val="24"/>
          <w:highlight w:val="none"/>
          <w:lang w:val="zh-CN"/>
        </w:rPr>
        <w:t>CS</w:t>
      </w:r>
      <w:r>
        <w:rPr>
          <w:rFonts w:hint="eastAsia" w:ascii="宋体" w:hAnsi="宋体" w:cs="宋体"/>
          <w:sz w:val="24"/>
          <w:szCs w:val="24"/>
          <w:highlight w:val="none"/>
          <w:lang w:val="zh-CN"/>
        </w:rPr>
        <w:t>系统质保期一年或以上，电脑提供5年维保服务。</w:t>
      </w:r>
    </w:p>
    <w:p w14:paraId="029872A8">
      <w:pPr>
        <w:pStyle w:val="35"/>
        <w:numPr>
          <w:ilvl w:val="2"/>
          <w:numId w:val="9"/>
        </w:numPr>
        <w:rPr>
          <w:rFonts w:hint="eastAsia" w:ascii="宋体" w:hAnsi="宋体" w:cs="宋体"/>
          <w:sz w:val="24"/>
          <w:szCs w:val="24"/>
          <w:highlight w:val="none"/>
          <w:lang w:val="zh-CN"/>
        </w:rPr>
      </w:pPr>
      <w:r>
        <w:rPr>
          <w:rFonts w:hint="eastAsia" w:ascii="宋体" w:hAnsi="宋体" w:cs="宋体"/>
          <w:sz w:val="24"/>
          <w:szCs w:val="24"/>
          <w:highlight w:val="none"/>
          <w:lang w:val="zh-CN"/>
        </w:rPr>
        <w:t>如</w:t>
      </w:r>
      <w:r>
        <w:rPr>
          <w:rFonts w:ascii="宋体" w:hAnsi="宋体" w:cs="宋体"/>
          <w:sz w:val="24"/>
          <w:szCs w:val="24"/>
          <w:highlight w:val="none"/>
          <w:lang w:val="zh-CN"/>
        </w:rPr>
        <w:t>DCS在运行中出现一般问题，承包方应在接到通知后48小时内到达现场处理并提供24小时应答服务。如出现严重问题，承包方应在接到通知后24小时内到达现场处理。</w:t>
      </w:r>
    </w:p>
    <w:p w14:paraId="26150D50">
      <w:pPr>
        <w:numPr>
          <w:ilvl w:val="1"/>
          <w:numId w:val="9"/>
        </w:numPr>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260" w:name="_Toc18941"/>
      <w:bookmarkStart w:id="261" w:name="_Toc27325"/>
      <w:bookmarkStart w:id="262" w:name="_Toc8305"/>
      <w:r>
        <w:rPr>
          <w:rFonts w:hint="eastAsia" w:ascii="宋体" w:hAnsi="宋体" w:cs="宋体"/>
          <w:b/>
          <w:bCs/>
          <w:sz w:val="24"/>
          <w:szCs w:val="24"/>
        </w:rPr>
        <w:t>系统培训</w:t>
      </w:r>
      <w:bookmarkEnd w:id="260"/>
      <w:bookmarkEnd w:id="261"/>
      <w:bookmarkEnd w:id="262"/>
    </w:p>
    <w:p w14:paraId="3C23AED5">
      <w:pPr>
        <w:pStyle w:val="35"/>
        <w:numPr>
          <w:ilvl w:val="0"/>
          <w:numId w:val="0"/>
        </w:numPr>
        <w:overflowPunct w:val="0"/>
        <w:snapToGrid w:val="0"/>
        <w:spacing w:before="100" w:after="100" w:line="360" w:lineRule="exact"/>
        <w:ind w:left="560" w:leftChars="200" w:firstLine="480"/>
        <w:jc w:val="left"/>
        <w:rPr>
          <w:rFonts w:ascii="宋体" w:hAnsi="宋体" w:cs="宋体"/>
          <w:sz w:val="24"/>
          <w:szCs w:val="24"/>
          <w:lang w:val="zh-CN"/>
        </w:rPr>
      </w:pPr>
      <w:r>
        <w:rPr>
          <w:rFonts w:hint="eastAsia" w:ascii="宋体" w:hAnsi="宋体" w:cs="宋体"/>
          <w:sz w:val="24"/>
          <w:szCs w:val="24"/>
          <w:lang w:val="zh-CN"/>
        </w:rPr>
        <w:t>每套系统工程师</w:t>
      </w:r>
      <w:r>
        <w:rPr>
          <w:rFonts w:hint="eastAsia" w:ascii="宋体" w:hAnsi="宋体" w:cs="宋体"/>
          <w:sz w:val="24"/>
          <w:szCs w:val="24"/>
        </w:rPr>
        <w:t>提供免费</w:t>
      </w:r>
      <w:r>
        <w:rPr>
          <w:rFonts w:hint="eastAsia" w:ascii="宋体" w:hAnsi="宋体" w:cs="宋体"/>
          <w:sz w:val="24"/>
          <w:szCs w:val="24"/>
          <w:lang w:val="zh-CN"/>
        </w:rPr>
        <w:t xml:space="preserve">培训计划 </w:t>
      </w:r>
      <w:r>
        <w:rPr>
          <w:rFonts w:ascii="宋体" w:hAnsi="宋体" w:cs="宋体"/>
          <w:sz w:val="24"/>
          <w:szCs w:val="24"/>
          <w:lang w:val="zh-CN"/>
        </w:rPr>
        <w:t>4</w:t>
      </w:r>
      <w:r>
        <w:rPr>
          <w:rFonts w:hint="eastAsia" w:ascii="宋体" w:hAnsi="宋体" w:cs="宋体"/>
          <w:sz w:val="24"/>
          <w:szCs w:val="24"/>
          <w:lang w:val="zh-CN"/>
        </w:rPr>
        <w:t xml:space="preserve">人外出培训 </w:t>
      </w:r>
      <w:r>
        <w:rPr>
          <w:rFonts w:ascii="宋体" w:hAnsi="宋体" w:cs="宋体"/>
          <w:sz w:val="24"/>
          <w:szCs w:val="24"/>
          <w:lang w:val="zh-CN"/>
        </w:rPr>
        <w:t>2</w:t>
      </w:r>
      <w:r>
        <w:rPr>
          <w:rFonts w:hint="eastAsia" w:ascii="宋体" w:hAnsi="宋体" w:cs="宋体"/>
          <w:sz w:val="24"/>
          <w:szCs w:val="24"/>
          <w:lang w:val="zh-CN"/>
        </w:rPr>
        <w:t xml:space="preserve">周，操作工培训计划厂内培训 </w:t>
      </w:r>
      <w:r>
        <w:rPr>
          <w:rFonts w:ascii="宋体" w:hAnsi="宋体" w:cs="宋体"/>
          <w:sz w:val="24"/>
          <w:szCs w:val="24"/>
          <w:lang w:val="zh-CN"/>
        </w:rPr>
        <w:t>5</w:t>
      </w:r>
      <w:r>
        <w:rPr>
          <w:rFonts w:hint="eastAsia" w:ascii="宋体" w:hAnsi="宋体" w:cs="宋体"/>
          <w:sz w:val="24"/>
          <w:szCs w:val="24"/>
          <w:lang w:val="zh-CN"/>
        </w:rPr>
        <w:t xml:space="preserve"> 天。</w:t>
      </w:r>
    </w:p>
    <w:p w14:paraId="202AE371">
      <w:pPr>
        <w:pStyle w:val="2"/>
        <w:numPr>
          <w:ilvl w:val="0"/>
          <w:numId w:val="9"/>
        </w:numPr>
        <w:spacing w:before="156" w:after="100" w:line="360" w:lineRule="exact"/>
        <w:rPr>
          <w:rFonts w:cs="宋体"/>
          <w:szCs w:val="28"/>
        </w:rPr>
      </w:pPr>
      <w:bookmarkStart w:id="263" w:name="_Toc14205"/>
      <w:bookmarkStart w:id="264" w:name="_Toc19441"/>
      <w:bookmarkStart w:id="265" w:name="_Toc12033"/>
      <w:r>
        <w:rPr>
          <w:rFonts w:hint="eastAsia" w:cs="宋体"/>
        </w:rPr>
        <w:t>、蒸煮工段安全保护系统技术要求</w:t>
      </w:r>
      <w:bookmarkEnd w:id="263"/>
      <w:bookmarkEnd w:id="264"/>
      <w:bookmarkEnd w:id="265"/>
      <w:r>
        <w:rPr>
          <w:rFonts w:hint="eastAsia" w:cs="宋体"/>
          <w:szCs w:val="28"/>
        </w:rPr>
        <w:t xml:space="preserve"> </w:t>
      </w:r>
    </w:p>
    <w:p w14:paraId="37079E49">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bCs/>
          <w:sz w:val="24"/>
          <w:szCs w:val="24"/>
        </w:rPr>
        <w:t>安全保护</w:t>
      </w:r>
      <w:r>
        <w:rPr>
          <w:rFonts w:hint="eastAsia" w:ascii="宋体" w:hAnsi="宋体" w:cs="宋体"/>
          <w:sz w:val="24"/>
          <w:szCs w:val="24"/>
          <w:lang w:val="zh-CN"/>
        </w:rPr>
        <w:t>系统若为软联锁的方式，控制器应专用、独立、冗余配置，并在独立的控制柜安装，建议与DCS同一品牌，可靠性稳定性要优于DCS系统；</w:t>
      </w:r>
    </w:p>
    <w:p w14:paraId="72ACC15A">
      <w:pPr>
        <w:pStyle w:val="35"/>
        <w:numPr>
          <w:ilvl w:val="2"/>
          <w:numId w:val="9"/>
        </w:numPr>
        <w:overflowPunct w:val="0"/>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安全系统若采用硬联锁的方式，每个联锁信号必须在DCS操作站显示；</w:t>
      </w:r>
    </w:p>
    <w:p w14:paraId="0E46EBE3">
      <w:pPr>
        <w:pStyle w:val="35"/>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安全保护系统的设计，保证工艺设备和生产安全的同时，也要考虑生产的顺利进行；</w:t>
      </w:r>
    </w:p>
    <w:p w14:paraId="3C79A6CD">
      <w:pPr>
        <w:pStyle w:val="35"/>
        <w:numPr>
          <w:ilvl w:val="2"/>
          <w:numId w:val="9"/>
        </w:numPr>
        <w:overflowPunct w:val="0"/>
        <w:snapToGrid w:val="0"/>
        <w:spacing w:before="100" w:after="100" w:line="360" w:lineRule="exact"/>
        <w:jc w:val="left"/>
        <w:rPr>
          <w:rFonts w:ascii="宋体" w:hAnsi="宋体" w:cs="宋体"/>
          <w:sz w:val="24"/>
          <w:szCs w:val="24"/>
        </w:rPr>
      </w:pPr>
      <w:r>
        <w:rPr>
          <w:rFonts w:hint="eastAsia" w:ascii="宋体" w:hAnsi="宋体" w:cs="宋体"/>
          <w:sz w:val="24"/>
          <w:szCs w:val="24"/>
        </w:rPr>
        <w:t>用于安全连锁保护的信号，应采用性能更为可靠的检测设备和传输设备，避免因检测和传输错误导致生产中断；或采用三信号冗余方式，“3选2”的原则保证生产的稳定性。</w:t>
      </w:r>
    </w:p>
    <w:p w14:paraId="37072C88">
      <w:pPr>
        <w:pStyle w:val="2"/>
        <w:numPr>
          <w:ilvl w:val="0"/>
          <w:numId w:val="9"/>
        </w:numPr>
        <w:spacing w:before="156" w:after="100" w:line="360" w:lineRule="exact"/>
        <w:rPr>
          <w:rFonts w:cs="宋体"/>
          <w:szCs w:val="28"/>
        </w:rPr>
      </w:pPr>
      <w:bookmarkStart w:id="266" w:name="_Toc11365"/>
      <w:bookmarkStart w:id="267" w:name="_Toc21232"/>
      <w:bookmarkStart w:id="268" w:name="_Toc15146"/>
      <w:r>
        <w:rPr>
          <w:rFonts w:hint="eastAsia" w:cs="宋体"/>
          <w:szCs w:val="28"/>
        </w:rPr>
        <w:t>、过程控制阀及仪表系统基本技术要求</w:t>
      </w:r>
      <w:bookmarkEnd w:id="266"/>
      <w:bookmarkEnd w:id="267"/>
      <w:bookmarkEnd w:id="268"/>
    </w:p>
    <w:p w14:paraId="23D06EAF">
      <w:pPr>
        <w:numPr>
          <w:ilvl w:val="1"/>
          <w:numId w:val="9"/>
        </w:numPr>
        <w:tabs>
          <w:tab w:val="left" w:pos="0"/>
          <w:tab w:val="left" w:pos="900"/>
        </w:tabs>
        <w:adjustRightInd w:val="0"/>
        <w:snapToGrid w:val="0"/>
        <w:spacing w:before="100" w:after="100" w:line="360" w:lineRule="exact"/>
        <w:outlineLvl w:val="1"/>
      </w:pPr>
      <w:bookmarkStart w:id="269" w:name="_Toc25477"/>
      <w:bookmarkStart w:id="270" w:name="_Toc28388"/>
      <w:bookmarkStart w:id="271" w:name="_Toc1249"/>
      <w:r>
        <w:rPr>
          <w:rFonts w:hint="eastAsia" w:ascii="宋体" w:hAnsi="宋体" w:cs="宋体"/>
          <w:b/>
          <w:bCs/>
          <w:sz w:val="24"/>
          <w:szCs w:val="24"/>
        </w:rPr>
        <w:t>设计与选型原则</w:t>
      </w:r>
      <w:bookmarkEnd w:id="269"/>
      <w:bookmarkEnd w:id="270"/>
      <w:bookmarkEnd w:id="271"/>
    </w:p>
    <w:p w14:paraId="5748B76A">
      <w:pPr>
        <w:numPr>
          <w:ilvl w:val="2"/>
          <w:numId w:val="9"/>
        </w:numPr>
        <w:autoSpaceDE w:val="0"/>
        <w:autoSpaceDN w:val="0"/>
        <w:snapToGrid w:val="0"/>
        <w:spacing w:before="100" w:after="100" w:line="360" w:lineRule="exact"/>
      </w:pPr>
      <w:r>
        <w:rPr>
          <w:rFonts w:hint="eastAsia" w:ascii="宋体" w:hAnsi="宋体" w:cs="仿宋"/>
          <w:b/>
          <w:bCs/>
          <w:sz w:val="24"/>
        </w:rPr>
        <w:t>压力类仪表：</w:t>
      </w:r>
    </w:p>
    <w:p w14:paraId="290DBA52">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变送器选用智能式（带数显表头、HART协议）；</w:t>
      </w:r>
    </w:p>
    <w:p w14:paraId="2B82CAA4">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蒸汽、清洁的水及气体压力测量采用常规导压管取压；</w:t>
      </w:r>
    </w:p>
    <w:p w14:paraId="6964429F">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黑液、白水、浆、粘性及腐蚀性液体压力测量及振动场合采用隔膜式远传取压；</w:t>
      </w:r>
    </w:p>
    <w:p w14:paraId="08DCB15C">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蒸汽冷凝水系统差压及汽水分离器采用差压变送器；</w:t>
      </w:r>
    </w:p>
    <w:p w14:paraId="20D2ED22">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常压容器和浆池液位测量采用单法兰液位变送器；</w:t>
      </w:r>
    </w:p>
    <w:p w14:paraId="3497B682">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带压密闭容器量程大于5米的液位测量采用电子差压计；</w:t>
      </w:r>
    </w:p>
    <w:p w14:paraId="0C99F566">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介质浆、黑液、白液等就地压力测量采用不锈钢耐震隔膜压力表；</w:t>
      </w:r>
    </w:p>
    <w:p w14:paraId="41CE65E1">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介质水、汽就地压力测量采用普通型不锈钢耐震压力表；</w:t>
      </w:r>
    </w:p>
    <w:p w14:paraId="1B7D83F1">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宋体"/>
          <w:bCs/>
          <w:sz w:val="24"/>
          <w:szCs w:val="24"/>
        </w:rPr>
        <w:t>压力开关，</w:t>
      </w:r>
      <w:r>
        <w:rPr>
          <w:rFonts w:hint="eastAsia" w:ascii="宋体" w:hAnsi="宋体"/>
          <w:sz w:val="24"/>
          <w:szCs w:val="24"/>
        </w:rPr>
        <w:t>动作时间≤0</w:t>
      </w:r>
      <w:r>
        <w:rPr>
          <w:rFonts w:ascii="宋体" w:hAnsi="宋体"/>
          <w:sz w:val="24"/>
          <w:szCs w:val="24"/>
        </w:rPr>
        <w:t>.1ms</w:t>
      </w:r>
      <w:r>
        <w:rPr>
          <w:rFonts w:hint="eastAsia" w:ascii="宋体" w:hAnsi="宋体"/>
          <w:sz w:val="24"/>
          <w:szCs w:val="24"/>
        </w:rPr>
        <w:t>;重复性可调范围内≤±1</w:t>
      </w:r>
      <w:r>
        <w:rPr>
          <w:rFonts w:ascii="宋体" w:hAnsi="宋体"/>
          <w:sz w:val="24"/>
          <w:szCs w:val="24"/>
        </w:rPr>
        <w:t>%</w:t>
      </w:r>
      <w:r>
        <w:rPr>
          <w:rFonts w:hint="eastAsia" w:ascii="宋体" w:hAnsi="宋体"/>
          <w:sz w:val="24"/>
          <w:szCs w:val="24"/>
        </w:rPr>
        <w:t>，采用非指示型</w:t>
      </w:r>
      <w:r>
        <w:rPr>
          <w:rFonts w:hint="eastAsia" w:ascii="宋体" w:hAnsi="宋体" w:cs="仿宋"/>
          <w:sz w:val="24"/>
        </w:rPr>
        <w:t>；</w:t>
      </w:r>
    </w:p>
    <w:p w14:paraId="65EE6B6E">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压力（差压）、液位、节流元件等取压点原则上须设计一次门；介质浓度大取压管易堵、不宜安装短管和一次门的，应尽可能贴壁取压；</w:t>
      </w:r>
    </w:p>
    <w:p w14:paraId="2CA7D11E">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混凝土池（槽）的液位检测点须预埋安装板、贴焊摘丝法兰；</w:t>
      </w:r>
    </w:p>
    <w:p w14:paraId="1C8C04C9">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重要的压力检测点和容易故障的测量点应有冗余设计和配置；</w:t>
      </w:r>
    </w:p>
    <w:p w14:paraId="2DD51FD6">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压力≥0.1Mpa的管道,须安装就地压力表。</w:t>
      </w:r>
    </w:p>
    <w:p w14:paraId="53A4932C">
      <w:pPr>
        <w:numPr>
          <w:ilvl w:val="2"/>
          <w:numId w:val="9"/>
        </w:numPr>
        <w:autoSpaceDE w:val="0"/>
        <w:autoSpaceDN w:val="0"/>
        <w:snapToGrid w:val="0"/>
        <w:spacing w:before="100" w:after="100" w:line="360" w:lineRule="exact"/>
        <w:rPr>
          <w:rFonts w:ascii="宋体" w:hAnsi="宋体" w:cs="仿宋"/>
          <w:b/>
          <w:bCs/>
          <w:sz w:val="24"/>
        </w:rPr>
      </w:pPr>
      <w:r>
        <w:rPr>
          <w:rFonts w:hint="eastAsia" w:ascii="宋体" w:hAnsi="宋体" w:cs="仿宋"/>
          <w:b/>
          <w:bCs/>
          <w:sz w:val="24"/>
        </w:rPr>
        <w:t>温度类仪表：</w:t>
      </w:r>
    </w:p>
    <w:p w14:paraId="1F689F30">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变送器选用智能式（带HART协议）；</w:t>
      </w:r>
    </w:p>
    <w:p w14:paraId="2E56AF66">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温度传感元件选用</w:t>
      </w:r>
      <w:r>
        <w:rPr>
          <w:rFonts w:hint="eastAsia" w:ascii="宋体" w:hAnsi="宋体" w:cs="宋体"/>
          <w:sz w:val="24"/>
          <w:szCs w:val="24"/>
        </w:rPr>
        <w:t>铠装</w:t>
      </w:r>
      <w:r>
        <w:rPr>
          <w:rFonts w:hint="eastAsia" w:ascii="宋体" w:hAnsi="宋体" w:cs="仿宋"/>
          <w:sz w:val="24"/>
        </w:rPr>
        <w:t>Pt100铂热电阻和</w:t>
      </w:r>
      <w:r>
        <w:rPr>
          <w:rFonts w:hint="eastAsia" w:ascii="宋体" w:hAnsi="宋体" w:cs="宋体"/>
          <w:sz w:val="24"/>
          <w:szCs w:val="24"/>
          <w:lang w:val="zh-CN"/>
        </w:rPr>
        <w:t>耐磨防腐不锈钢保护管</w:t>
      </w:r>
      <w:r>
        <w:rPr>
          <w:rFonts w:hint="eastAsia" w:ascii="宋体" w:hAnsi="宋体" w:cs="仿宋"/>
          <w:sz w:val="24"/>
        </w:rPr>
        <w:t>；</w:t>
      </w:r>
    </w:p>
    <w:p w14:paraId="4FE3D232">
      <w:pPr>
        <w:numPr>
          <w:ilvl w:val="3"/>
          <w:numId w:val="9"/>
        </w:numPr>
        <w:autoSpaceDE w:val="0"/>
        <w:autoSpaceDN w:val="0"/>
        <w:snapToGrid w:val="0"/>
        <w:spacing w:before="100" w:after="100" w:line="360" w:lineRule="exact"/>
        <w:rPr>
          <w:rFonts w:ascii="宋体" w:hAnsi="宋体" w:cs="仿宋"/>
          <w:sz w:val="24"/>
        </w:rPr>
      </w:pPr>
      <w:r>
        <w:rPr>
          <w:rFonts w:hint="eastAsia" w:ascii="宋体" w:hAnsi="宋体" w:cs="仿宋"/>
          <w:sz w:val="24"/>
        </w:rPr>
        <w:t>温度传感器和变送器一体化安装，整体防腐；</w:t>
      </w:r>
    </w:p>
    <w:p w14:paraId="71F8F7DE">
      <w:pPr>
        <w:numPr>
          <w:ilvl w:val="3"/>
          <w:numId w:val="9"/>
        </w:numPr>
        <w:autoSpaceDE w:val="0"/>
        <w:autoSpaceDN w:val="0"/>
        <w:snapToGrid w:val="0"/>
        <w:spacing w:before="100" w:after="100" w:line="360" w:lineRule="exact"/>
        <w:rPr>
          <w:rFonts w:ascii="宋体" w:hAnsi="宋体" w:cs="宋体"/>
          <w:sz w:val="24"/>
          <w:szCs w:val="24"/>
          <w:lang w:val="zh-CN"/>
        </w:rPr>
      </w:pPr>
      <w:r>
        <w:rPr>
          <w:rFonts w:hint="eastAsia" w:ascii="宋体" w:hAnsi="宋体" w:cs="仿宋"/>
          <w:sz w:val="24"/>
        </w:rPr>
        <w:t>就地温度测量采用防腐型双金属温度计，</w:t>
      </w:r>
      <w:r>
        <w:rPr>
          <w:rFonts w:hint="eastAsia" w:ascii="宋体" w:hAnsi="宋体" w:cs="宋体"/>
          <w:sz w:val="24"/>
          <w:szCs w:val="24"/>
          <w:lang w:val="zh-CN"/>
        </w:rPr>
        <w:t>采用不锈钢保护管，万向型抽芯式；</w:t>
      </w:r>
    </w:p>
    <w:p w14:paraId="47AD3232">
      <w:pPr>
        <w:pStyle w:val="8"/>
        <w:numPr>
          <w:ilvl w:val="3"/>
          <w:numId w:val="9"/>
        </w:numPr>
        <w:snapToGrid w:val="0"/>
        <w:spacing w:before="100" w:after="100" w:line="360" w:lineRule="exact"/>
        <w:rPr>
          <w:sz w:val="24"/>
          <w:szCs w:val="18"/>
        </w:rPr>
      </w:pPr>
      <w:r>
        <w:rPr>
          <w:rFonts w:hint="eastAsia" w:ascii="宋体" w:hAnsi="宋体" w:cs="宋体"/>
          <w:sz w:val="24"/>
          <w:szCs w:val="22"/>
        </w:rPr>
        <w:t>重要的测温点、容易故障的测温点应有冗余设计和配置。</w:t>
      </w:r>
    </w:p>
    <w:p w14:paraId="6D344CD6">
      <w:pPr>
        <w:numPr>
          <w:ilvl w:val="2"/>
          <w:numId w:val="9"/>
        </w:numPr>
        <w:snapToGrid w:val="0"/>
        <w:spacing w:before="100" w:after="100" w:line="360" w:lineRule="exact"/>
        <w:rPr>
          <w:rFonts w:ascii="宋体" w:hAnsi="宋体" w:cs="仿宋"/>
          <w:b/>
          <w:bCs/>
          <w:sz w:val="24"/>
        </w:rPr>
      </w:pPr>
      <w:r>
        <w:rPr>
          <w:rFonts w:hint="eastAsia" w:ascii="宋体" w:hAnsi="宋体" w:cs="仿宋"/>
          <w:b/>
          <w:bCs/>
          <w:sz w:val="24"/>
        </w:rPr>
        <w:t>流量类仪表：</w:t>
      </w:r>
    </w:p>
    <w:p w14:paraId="0400FCE3">
      <w:pPr>
        <w:numPr>
          <w:ilvl w:val="3"/>
          <w:numId w:val="9"/>
        </w:numPr>
        <w:snapToGrid w:val="0"/>
        <w:spacing w:before="100" w:after="100" w:line="360" w:lineRule="exact"/>
        <w:rPr>
          <w:rFonts w:ascii="宋体" w:hAnsi="宋体" w:cs="仿宋"/>
          <w:sz w:val="24"/>
          <w:szCs w:val="24"/>
        </w:rPr>
      </w:pPr>
      <w:r>
        <w:rPr>
          <w:rFonts w:hint="eastAsia" w:ascii="宋体" w:hAnsi="宋体" w:cs="仿宋"/>
          <w:sz w:val="24"/>
          <w:szCs w:val="24"/>
        </w:rPr>
        <w:t>浆液、白水、黑液、白液和清水等导电介质流量测量采用电磁流量计；</w:t>
      </w:r>
      <w:r>
        <w:rPr>
          <w:rFonts w:hint="eastAsia" w:ascii="宋体" w:hAnsi="宋体" w:cs="宋体"/>
          <w:sz w:val="24"/>
          <w:szCs w:val="24"/>
          <w:lang w:val="zh-CN"/>
        </w:rPr>
        <w:t>浆液流量采用双频或多频励磁电磁流量计；</w:t>
      </w:r>
    </w:p>
    <w:p w14:paraId="06B00F90">
      <w:pPr>
        <w:numPr>
          <w:ilvl w:val="3"/>
          <w:numId w:val="9"/>
        </w:numPr>
        <w:snapToGrid w:val="0"/>
        <w:spacing w:before="100" w:after="100" w:line="360" w:lineRule="exact"/>
        <w:rPr>
          <w:rFonts w:ascii="宋体" w:hAnsi="宋体" w:cs="仿宋"/>
          <w:sz w:val="24"/>
          <w:szCs w:val="24"/>
        </w:rPr>
      </w:pPr>
      <w:r>
        <w:rPr>
          <w:rFonts w:hint="eastAsia" w:ascii="宋体" w:hAnsi="宋体" w:cs="仿宋"/>
          <w:sz w:val="24"/>
          <w:szCs w:val="24"/>
        </w:rPr>
        <w:t>控制要求较低的高温黑液流量测量可采用楔形流量计，差压变送器采用双法兰隔膜远传取压，不带三阀组；</w:t>
      </w:r>
    </w:p>
    <w:p w14:paraId="41356091">
      <w:pPr>
        <w:numPr>
          <w:ilvl w:val="3"/>
          <w:numId w:val="9"/>
        </w:numPr>
        <w:snapToGrid w:val="0"/>
        <w:spacing w:before="100" w:after="100" w:line="360" w:lineRule="exact"/>
        <w:rPr>
          <w:rFonts w:ascii="宋体" w:hAnsi="宋体" w:cs="仿宋"/>
          <w:sz w:val="24"/>
          <w:szCs w:val="24"/>
        </w:rPr>
      </w:pPr>
      <w:r>
        <w:rPr>
          <w:rFonts w:hint="eastAsia" w:ascii="宋体" w:hAnsi="宋体" w:cs="仿宋"/>
          <w:sz w:val="24"/>
          <w:szCs w:val="24"/>
        </w:rPr>
        <w:t>蒸汽、压缩空气流量测量采用多孔平衡孔板流量计或涡街流量计；多孔平衡孔板流量计带三阀组，用于计量考核的多孔平衡孔板流量计采用一体化多孔平衡孔板流量计；</w:t>
      </w:r>
    </w:p>
    <w:p w14:paraId="2B03A11B">
      <w:pPr>
        <w:numPr>
          <w:ilvl w:val="3"/>
          <w:numId w:val="9"/>
        </w:numPr>
        <w:snapToGrid w:val="0"/>
        <w:spacing w:before="100" w:after="100" w:line="360" w:lineRule="exact"/>
        <w:rPr>
          <w:rFonts w:ascii="宋体" w:hAnsi="宋体" w:cs="仿宋"/>
          <w:sz w:val="24"/>
          <w:szCs w:val="24"/>
        </w:rPr>
      </w:pPr>
      <w:r>
        <w:rPr>
          <w:rFonts w:hint="eastAsia" w:ascii="宋体" w:hAnsi="宋体" w:cs="仿宋"/>
          <w:sz w:val="24"/>
          <w:szCs w:val="24"/>
        </w:rPr>
        <w:t>需直接精确流量测量或超小流量或电磁流量计不易测量的，采用质量流量计。</w:t>
      </w:r>
    </w:p>
    <w:p w14:paraId="4B953608">
      <w:pPr>
        <w:numPr>
          <w:ilvl w:val="3"/>
          <w:numId w:val="9"/>
        </w:numPr>
        <w:snapToGrid w:val="0"/>
        <w:spacing w:before="100" w:after="100" w:line="360" w:lineRule="exact"/>
        <w:rPr>
          <w:rFonts w:ascii="宋体" w:hAnsi="宋体" w:cs="仿宋"/>
          <w:sz w:val="24"/>
          <w:szCs w:val="24"/>
        </w:rPr>
      </w:pPr>
      <w:r>
        <w:rPr>
          <w:rFonts w:hint="eastAsia" w:ascii="宋体" w:hAnsi="宋体" w:cs="仿宋"/>
          <w:sz w:val="24"/>
          <w:szCs w:val="24"/>
        </w:rPr>
        <w:t>所有水、气介质（含清水、污水、回用水、臭气等）进出口均须安装流量计。</w:t>
      </w:r>
    </w:p>
    <w:p w14:paraId="68B9863A">
      <w:pPr>
        <w:numPr>
          <w:ilvl w:val="2"/>
          <w:numId w:val="9"/>
        </w:numPr>
        <w:snapToGrid w:val="0"/>
        <w:spacing w:before="100" w:after="100" w:line="360" w:lineRule="exact"/>
        <w:rPr>
          <w:rFonts w:ascii="宋体" w:hAnsi="宋体" w:cs="仿宋"/>
          <w:b/>
          <w:bCs/>
          <w:sz w:val="24"/>
        </w:rPr>
      </w:pPr>
      <w:r>
        <w:rPr>
          <w:rFonts w:hint="eastAsia" w:ascii="宋体" w:hAnsi="宋体" w:cs="仿宋"/>
          <w:b/>
          <w:bCs/>
          <w:sz w:val="24"/>
        </w:rPr>
        <w:t>浓度类仪表</w:t>
      </w:r>
    </w:p>
    <w:p w14:paraId="4916F051">
      <w:pPr>
        <w:numPr>
          <w:ilvl w:val="3"/>
          <w:numId w:val="9"/>
        </w:numPr>
        <w:snapToGrid w:val="0"/>
        <w:spacing w:before="100" w:after="100" w:line="360" w:lineRule="exact"/>
        <w:rPr>
          <w:rFonts w:ascii="宋体" w:hAnsi="宋体" w:cs="仿宋"/>
          <w:sz w:val="24"/>
        </w:rPr>
      </w:pPr>
      <w:r>
        <w:rPr>
          <w:rFonts w:hint="eastAsia" w:ascii="宋体" w:hAnsi="宋体" w:cs="仿宋"/>
          <w:sz w:val="24"/>
        </w:rPr>
        <w:t>纸浆浓度一般场合采用刀式浓度计，重要作用场合采用旋转式；</w:t>
      </w:r>
    </w:p>
    <w:p w14:paraId="7C24A04A">
      <w:pPr>
        <w:numPr>
          <w:ilvl w:val="3"/>
          <w:numId w:val="9"/>
        </w:numPr>
        <w:snapToGrid w:val="0"/>
        <w:spacing w:before="100" w:after="100" w:line="360" w:lineRule="exact"/>
        <w:rPr>
          <w:rFonts w:ascii="宋体" w:hAnsi="宋体" w:cs="仿宋"/>
          <w:sz w:val="24"/>
        </w:rPr>
      </w:pPr>
      <w:r>
        <w:rPr>
          <w:rFonts w:hint="eastAsia" w:ascii="宋体" w:hAnsi="宋体" w:cs="仿宋"/>
          <w:sz w:val="24"/>
        </w:rPr>
        <w:t>黑液浓度选用折光式浓度变送器。</w:t>
      </w:r>
    </w:p>
    <w:p w14:paraId="0AF50690">
      <w:pPr>
        <w:numPr>
          <w:ilvl w:val="2"/>
          <w:numId w:val="9"/>
        </w:numPr>
        <w:snapToGrid w:val="0"/>
        <w:spacing w:before="100" w:after="100" w:line="360" w:lineRule="exact"/>
        <w:jc w:val="left"/>
        <w:rPr>
          <w:rFonts w:ascii="宋体" w:hAnsi="宋体" w:cs="仿宋"/>
          <w:sz w:val="24"/>
        </w:rPr>
      </w:pPr>
      <w:r>
        <w:rPr>
          <w:rFonts w:hint="eastAsia" w:ascii="宋体" w:hAnsi="宋体" w:cs="仿宋"/>
          <w:b/>
          <w:bCs/>
          <w:sz w:val="24"/>
        </w:rPr>
        <w:t>液位、料位类仪表</w:t>
      </w:r>
    </w:p>
    <w:p w14:paraId="59310C50">
      <w:pPr>
        <w:numPr>
          <w:ilvl w:val="3"/>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rPr>
        <w:t>竹木片料位</w:t>
      </w:r>
      <w:r>
        <w:rPr>
          <w:rFonts w:hint="eastAsia" w:ascii="宋体" w:hAnsi="宋体" w:cs="宋体"/>
          <w:sz w:val="24"/>
          <w:szCs w:val="24"/>
          <w:lang w:val="zh-CN"/>
        </w:rPr>
        <w:t>测量</w:t>
      </w:r>
      <w:r>
        <w:rPr>
          <w:rFonts w:hint="eastAsia" w:ascii="宋体" w:hAnsi="宋体" w:cs="宋体"/>
          <w:sz w:val="24"/>
          <w:szCs w:val="24"/>
        </w:rPr>
        <w:t>和地下池液位测量，</w:t>
      </w:r>
      <w:r>
        <w:rPr>
          <w:rFonts w:hint="eastAsia" w:ascii="宋体" w:hAnsi="宋体" w:cs="宋体"/>
          <w:sz w:val="24"/>
          <w:szCs w:val="24"/>
          <w:lang w:val="zh-CN"/>
        </w:rPr>
        <w:t>选用雷达</w:t>
      </w:r>
      <w:r>
        <w:rPr>
          <w:rFonts w:hint="eastAsia" w:ascii="宋体" w:hAnsi="宋体" w:cs="宋体"/>
          <w:sz w:val="24"/>
          <w:szCs w:val="24"/>
        </w:rPr>
        <w:t>料</w:t>
      </w:r>
      <w:r>
        <w:rPr>
          <w:rFonts w:hint="eastAsia" w:ascii="宋体" w:hAnsi="宋体" w:cs="宋体"/>
          <w:sz w:val="24"/>
          <w:szCs w:val="24"/>
          <w:lang w:val="zh-CN"/>
        </w:rPr>
        <w:t>位计；</w:t>
      </w:r>
    </w:p>
    <w:p w14:paraId="720811EF">
      <w:pPr>
        <w:pStyle w:val="8"/>
        <w:numPr>
          <w:ilvl w:val="3"/>
          <w:numId w:val="9"/>
        </w:numPr>
        <w:snapToGrid w:val="0"/>
        <w:spacing w:before="100" w:after="100" w:line="360" w:lineRule="exact"/>
        <w:rPr>
          <w:rFonts w:ascii="宋体" w:hAnsi="宋体" w:cs="宋体"/>
          <w:sz w:val="24"/>
          <w:szCs w:val="22"/>
        </w:rPr>
      </w:pPr>
      <w:r>
        <w:rPr>
          <w:rFonts w:hint="eastAsia" w:ascii="宋体" w:hAnsi="宋体" w:cs="宋体"/>
          <w:sz w:val="24"/>
          <w:szCs w:val="22"/>
        </w:rPr>
        <w:t>料位开关采用阻旋式和音叉式；</w:t>
      </w:r>
    </w:p>
    <w:p w14:paraId="42C5D138">
      <w:pPr>
        <w:numPr>
          <w:ilvl w:val="3"/>
          <w:numId w:val="9"/>
        </w:numPr>
        <w:snapToGrid w:val="0"/>
        <w:spacing w:before="100" w:after="100" w:line="360" w:lineRule="exact"/>
        <w:jc w:val="left"/>
      </w:pPr>
      <w:r>
        <w:rPr>
          <w:rFonts w:hint="eastAsia" w:ascii="宋体" w:hAnsi="宋体" w:cs="宋体"/>
          <w:sz w:val="24"/>
          <w:szCs w:val="24"/>
        </w:rPr>
        <w:t>黑液、白液容器</w:t>
      </w:r>
      <w:r>
        <w:rPr>
          <w:rFonts w:hint="eastAsia" w:ascii="宋体" w:hAnsi="宋体" w:cs="宋体"/>
          <w:sz w:val="24"/>
          <w:szCs w:val="24"/>
          <w:lang w:val="zh-CN"/>
        </w:rPr>
        <w:t>就地液位选用磁翻板液位计，</w:t>
      </w:r>
      <w:r>
        <w:rPr>
          <w:rFonts w:hint="eastAsia" w:ascii="宋体" w:hAnsi="宋体" w:cs="宋体"/>
          <w:sz w:val="24"/>
          <w:szCs w:val="24"/>
          <w:lang w:val="de-DE"/>
        </w:rPr>
        <w:t>液位计本体、法兰材料与浮子材料均采用3</w:t>
      </w:r>
      <w:r>
        <w:rPr>
          <w:rFonts w:ascii="宋体" w:hAnsi="宋体" w:cs="宋体"/>
          <w:sz w:val="24"/>
          <w:szCs w:val="24"/>
          <w:lang w:val="de-DE"/>
        </w:rPr>
        <w:t>16LSS</w:t>
      </w:r>
      <w:r>
        <w:rPr>
          <w:rFonts w:hint="eastAsia" w:ascii="宋体" w:hAnsi="宋体" w:cs="宋体"/>
          <w:sz w:val="24"/>
          <w:szCs w:val="24"/>
          <w:lang w:val="de-DE"/>
        </w:rPr>
        <w:t>，磁钢采用稀土永磁合金。</w:t>
      </w:r>
    </w:p>
    <w:p w14:paraId="728DB6A9">
      <w:pPr>
        <w:numPr>
          <w:ilvl w:val="2"/>
          <w:numId w:val="9"/>
        </w:numPr>
        <w:snapToGrid w:val="0"/>
        <w:spacing w:before="100" w:after="100" w:line="360" w:lineRule="exact"/>
        <w:rPr>
          <w:rFonts w:ascii="宋体" w:hAnsi="宋体" w:cs="仿宋"/>
          <w:b/>
          <w:bCs/>
          <w:sz w:val="24"/>
        </w:rPr>
      </w:pPr>
      <w:r>
        <w:rPr>
          <w:rFonts w:hint="eastAsia" w:ascii="宋体" w:hAnsi="宋体" w:cs="仿宋"/>
          <w:b/>
          <w:bCs/>
          <w:sz w:val="24"/>
        </w:rPr>
        <w:t>分析类仪表：</w:t>
      </w:r>
    </w:p>
    <w:p w14:paraId="72438A1B">
      <w:pPr>
        <w:numPr>
          <w:ilvl w:val="3"/>
          <w:numId w:val="9"/>
        </w:numPr>
        <w:snapToGrid w:val="0"/>
        <w:spacing w:before="100" w:after="100" w:line="360" w:lineRule="exact"/>
        <w:rPr>
          <w:rFonts w:ascii="宋体" w:hAnsi="宋体" w:cs="仿宋"/>
          <w:sz w:val="24"/>
        </w:rPr>
      </w:pPr>
      <w:r>
        <w:rPr>
          <w:rFonts w:hint="eastAsia" w:ascii="宋体" w:hAnsi="宋体" w:cs="仿宋"/>
          <w:sz w:val="24"/>
        </w:rPr>
        <w:t>电导率、pH值、碱浓，选用智能在线式测量仪。</w:t>
      </w:r>
    </w:p>
    <w:p w14:paraId="3B7BF630">
      <w:pPr>
        <w:pStyle w:val="8"/>
        <w:numPr>
          <w:ilvl w:val="2"/>
          <w:numId w:val="9"/>
        </w:numPr>
        <w:autoSpaceDE/>
        <w:autoSpaceDN/>
        <w:adjustRightInd/>
        <w:snapToGrid w:val="0"/>
        <w:spacing w:before="100" w:after="100" w:line="360" w:lineRule="exact"/>
        <w:textAlignment w:val="auto"/>
        <w:rPr>
          <w:rFonts w:ascii="宋体" w:hAnsi="宋体" w:cs="仿宋"/>
          <w:b/>
          <w:bCs/>
        </w:rPr>
      </w:pPr>
      <w:r>
        <w:rPr>
          <w:rFonts w:hint="eastAsia" w:ascii="宋体" w:hAnsi="宋体" w:cs="仿宋"/>
          <w:b/>
          <w:bCs/>
        </w:rPr>
        <w:t>调节阀和开关阀：</w:t>
      </w:r>
    </w:p>
    <w:p w14:paraId="3999CD68">
      <w:pPr>
        <w:pStyle w:val="8"/>
        <w:numPr>
          <w:ilvl w:val="3"/>
          <w:numId w:val="9"/>
        </w:numPr>
        <w:autoSpaceDE/>
        <w:autoSpaceDN/>
        <w:adjustRightInd/>
        <w:snapToGrid w:val="0"/>
        <w:spacing w:before="100" w:after="100" w:line="360" w:lineRule="exact"/>
        <w:textAlignment w:val="auto"/>
        <w:rPr>
          <w:rFonts w:ascii="宋体" w:hAnsi="宋体" w:cs="宋体"/>
          <w:kern w:val="2"/>
          <w:sz w:val="24"/>
          <w:szCs w:val="22"/>
        </w:rPr>
      </w:pPr>
      <w:r>
        <w:rPr>
          <w:rFonts w:hint="eastAsia" w:ascii="宋体" w:hAnsi="宋体" w:cs="宋体"/>
          <w:kern w:val="2"/>
          <w:sz w:val="24"/>
          <w:szCs w:val="22"/>
        </w:rPr>
        <w:t>阀门法兰式安装，法兰标准HG/T 20592-2018 钢制管法兰(PN系列)；不同品牌相同规格的阀门，安装尺寸一致；</w:t>
      </w:r>
    </w:p>
    <w:p w14:paraId="6690677A">
      <w:pPr>
        <w:pStyle w:val="8"/>
        <w:numPr>
          <w:ilvl w:val="3"/>
          <w:numId w:val="9"/>
        </w:numPr>
        <w:autoSpaceDE/>
        <w:autoSpaceDN/>
        <w:adjustRightInd/>
        <w:snapToGrid w:val="0"/>
        <w:spacing w:before="100" w:after="100" w:line="360" w:lineRule="exact"/>
        <w:textAlignment w:val="auto"/>
        <w:rPr>
          <w:rFonts w:ascii="宋体" w:hAnsi="宋体" w:cs="宋体"/>
          <w:kern w:val="2"/>
          <w:sz w:val="24"/>
          <w:szCs w:val="22"/>
        </w:rPr>
      </w:pPr>
      <w:r>
        <w:rPr>
          <w:rFonts w:hint="eastAsia" w:ascii="宋体" w:hAnsi="宋体" w:cs="宋体"/>
          <w:kern w:val="2"/>
          <w:sz w:val="24"/>
          <w:szCs w:val="22"/>
          <w:lang w:val="zh-CN"/>
        </w:rPr>
        <w:t>所有</w:t>
      </w:r>
      <w:r>
        <w:rPr>
          <w:rFonts w:hint="eastAsia" w:ascii="宋体" w:hAnsi="宋体" w:cs="宋体"/>
          <w:kern w:val="2"/>
          <w:sz w:val="24"/>
          <w:szCs w:val="22"/>
        </w:rPr>
        <w:t>控制阀</w:t>
      </w:r>
      <w:r>
        <w:rPr>
          <w:rFonts w:hint="eastAsia" w:ascii="宋体" w:hAnsi="宋体" w:cs="宋体"/>
          <w:kern w:val="2"/>
          <w:sz w:val="24"/>
          <w:szCs w:val="22"/>
          <w:lang w:val="zh-CN"/>
        </w:rPr>
        <w:t>本体，需有0~100%刻度指示，</w:t>
      </w:r>
      <w:r>
        <w:rPr>
          <w:rFonts w:hint="eastAsia" w:ascii="宋体" w:hAnsi="宋体" w:cs="宋体"/>
          <w:kern w:val="2"/>
          <w:sz w:val="24"/>
          <w:szCs w:val="22"/>
        </w:rPr>
        <w:t>最小刻度5%</w:t>
      </w:r>
      <w:r>
        <w:rPr>
          <w:rFonts w:hint="eastAsia" w:ascii="宋体" w:hAnsi="宋体" w:cs="宋体"/>
          <w:kern w:val="2"/>
          <w:sz w:val="24"/>
          <w:szCs w:val="22"/>
          <w:lang w:val="zh-CN"/>
        </w:rPr>
        <w:t>；</w:t>
      </w:r>
      <w:r>
        <w:rPr>
          <w:rFonts w:hint="eastAsia" w:ascii="宋体" w:hAnsi="宋体" w:cs="宋体"/>
          <w:kern w:val="2"/>
          <w:sz w:val="24"/>
          <w:szCs w:val="22"/>
        </w:rPr>
        <w:t>执行机构采用曲柄连杆或拨叉式；</w:t>
      </w:r>
      <w:r>
        <w:rPr>
          <w:rFonts w:hint="eastAsia" w:ascii="宋体" w:hAnsi="宋体" w:cs="宋体"/>
          <w:kern w:val="2"/>
          <w:sz w:val="24"/>
          <w:szCs w:val="22"/>
          <w:lang w:val="zh-CN"/>
        </w:rPr>
        <w:t>执行机构及气缸采取防腐处理，各类安装支架材质采用SS304不锈钢；</w:t>
      </w:r>
      <w:r>
        <w:rPr>
          <w:rFonts w:hint="eastAsia" w:ascii="宋体" w:hAnsi="宋体" w:cs="宋体"/>
          <w:kern w:val="2"/>
          <w:sz w:val="24"/>
          <w:szCs w:val="22"/>
        </w:rPr>
        <w:t>气缸进气口小口径阀门设计规格G1/4＂，大口径阀门设计规格≥G3/8＂；</w:t>
      </w:r>
    </w:p>
    <w:p w14:paraId="1669A623">
      <w:pPr>
        <w:numPr>
          <w:ilvl w:val="3"/>
          <w:numId w:val="9"/>
        </w:numPr>
        <w:snapToGrid w:val="0"/>
        <w:spacing w:before="100" w:after="100" w:line="360" w:lineRule="exact"/>
        <w:rPr>
          <w:rFonts w:ascii="宋体" w:hAnsi="宋体" w:cs="仿宋"/>
          <w:b/>
          <w:bCs/>
          <w:sz w:val="24"/>
        </w:rPr>
      </w:pPr>
      <w:r>
        <w:rPr>
          <w:rFonts w:hint="eastAsia" w:ascii="宋体" w:hAnsi="宋体" w:cs="宋体"/>
          <w:sz w:val="24"/>
          <w:szCs w:val="24"/>
          <w:lang w:val="zh-CN"/>
        </w:rPr>
        <w:t>阀执行机构结构作用形式即单作用/双作用、气开/气关的选型要满足项目工艺、安全生产要求；D</w:t>
      </w:r>
      <w:r>
        <w:rPr>
          <w:rFonts w:ascii="宋体" w:hAnsi="宋体" w:cs="宋体"/>
          <w:sz w:val="24"/>
          <w:szCs w:val="24"/>
          <w:lang w:val="zh-CN"/>
        </w:rPr>
        <w:t>N</w:t>
      </w:r>
      <w:r>
        <w:rPr>
          <w:rFonts w:hint="eastAsia" w:ascii="宋体" w:hAnsi="宋体" w:cs="宋体"/>
          <w:sz w:val="24"/>
          <w:szCs w:val="24"/>
          <w:lang w:val="zh-CN"/>
        </w:rPr>
        <w:t>≥3</w:t>
      </w:r>
      <w:r>
        <w:rPr>
          <w:rFonts w:ascii="宋体" w:hAnsi="宋体" w:cs="宋体"/>
          <w:sz w:val="24"/>
          <w:szCs w:val="24"/>
          <w:lang w:val="zh-CN"/>
        </w:rPr>
        <w:t>00</w:t>
      </w:r>
      <w:r>
        <w:rPr>
          <w:rFonts w:hint="eastAsia" w:ascii="宋体" w:hAnsi="宋体" w:cs="宋体"/>
          <w:sz w:val="24"/>
          <w:szCs w:val="24"/>
          <w:lang w:val="zh-CN"/>
        </w:rPr>
        <w:t>的控制阀执行机构与阀体的轴线平行安装（</w:t>
      </w:r>
      <w:r>
        <w:rPr>
          <w:rFonts w:hint="eastAsia" w:ascii="宋体" w:hAnsi="宋体" w:cs="宋体"/>
          <w:sz w:val="24"/>
          <w:szCs w:val="24"/>
        </w:rPr>
        <w:t>在制造厂安装</w:t>
      </w:r>
      <w:r>
        <w:rPr>
          <w:rFonts w:hint="eastAsia" w:ascii="宋体" w:hAnsi="宋体" w:cs="宋体"/>
          <w:sz w:val="24"/>
          <w:szCs w:val="24"/>
          <w:lang w:val="zh-CN"/>
        </w:rPr>
        <w:t>），阀芯表面阀体内部易结垢、结晶的阀门执行机构按PN40设计；</w:t>
      </w:r>
    </w:p>
    <w:p w14:paraId="227B99E4">
      <w:pPr>
        <w:numPr>
          <w:ilvl w:val="3"/>
          <w:numId w:val="9"/>
        </w:numPr>
        <w:snapToGrid w:val="0"/>
        <w:spacing w:before="100" w:after="100" w:line="360" w:lineRule="exact"/>
        <w:rPr>
          <w:rFonts w:ascii="宋体" w:hAnsi="宋体" w:cs="宋体"/>
          <w:sz w:val="24"/>
          <w:szCs w:val="24"/>
          <w:lang w:val="zh-CN"/>
        </w:rPr>
      </w:pPr>
      <w:r>
        <w:rPr>
          <w:rFonts w:hint="eastAsia" w:ascii="宋体" w:hAnsi="宋体" w:cs="仿宋"/>
          <w:sz w:val="24"/>
        </w:rPr>
        <w:t>调节阀均采用</w:t>
      </w:r>
      <w:r>
        <w:rPr>
          <w:rFonts w:hint="eastAsia" w:ascii="宋体" w:hAnsi="宋体" w:cs="宋体"/>
          <w:sz w:val="24"/>
          <w:szCs w:val="24"/>
          <w:lang w:val="zh-CN"/>
        </w:rPr>
        <w:t>金属硬密封</w:t>
      </w:r>
      <w:r>
        <w:rPr>
          <w:rFonts w:hint="eastAsia" w:ascii="宋体" w:hAnsi="宋体" w:cs="仿宋"/>
          <w:sz w:val="24"/>
        </w:rPr>
        <w:t>气动调节阀，密封等级≥Ⅳ级；采用机械式阀门定位器，工艺控制要求带阀开度和开关位置反馈的阀门定位器采用智能式；</w:t>
      </w:r>
      <w:r>
        <w:rPr>
          <w:rFonts w:hint="eastAsia" w:ascii="宋体" w:hAnsi="宋体" w:cs="宋体"/>
          <w:sz w:val="24"/>
          <w:szCs w:val="24"/>
          <w:lang w:val="zh-CN"/>
        </w:rPr>
        <w:t>每个调节阀配一个空气过滤减压阀（采用10μ滤芯）</w:t>
      </w:r>
      <w:r>
        <w:rPr>
          <w:rFonts w:hint="eastAsia" w:ascii="宋体" w:hAnsi="宋体" w:cs="宋体"/>
          <w:sz w:val="24"/>
          <w:szCs w:val="24"/>
        </w:rPr>
        <w:t>安装在不锈钢安装板上，安装板固定在执行机构上，方向可调；</w:t>
      </w:r>
      <w:r>
        <w:rPr>
          <w:rFonts w:hint="eastAsia" w:ascii="宋体" w:hAnsi="宋体" w:cs="宋体"/>
          <w:sz w:val="24"/>
          <w:szCs w:val="24"/>
          <w:lang w:val="zh-CN"/>
        </w:rPr>
        <w:t>阀门定位器动态滞后及死区&lt;0.8%，坚固的防腐处理外壳，IP6</w:t>
      </w:r>
      <w:r>
        <w:rPr>
          <w:rFonts w:hint="eastAsia" w:ascii="宋体" w:hAnsi="宋体" w:cs="宋体"/>
          <w:sz w:val="24"/>
          <w:szCs w:val="24"/>
        </w:rPr>
        <w:t>7</w:t>
      </w:r>
      <w:r>
        <w:rPr>
          <w:rFonts w:hint="eastAsia" w:ascii="宋体" w:hAnsi="宋体" w:cs="宋体"/>
          <w:sz w:val="24"/>
          <w:szCs w:val="24"/>
          <w:lang w:val="zh-CN"/>
        </w:rPr>
        <w:t xml:space="preserve"> 防护等级，输入阻抗小于700 欧姆，操作温度–40℃—85℃；</w:t>
      </w:r>
    </w:p>
    <w:p w14:paraId="0DDF80C6">
      <w:pPr>
        <w:pStyle w:val="8"/>
        <w:numPr>
          <w:ilvl w:val="3"/>
          <w:numId w:val="9"/>
        </w:numPr>
        <w:autoSpaceDE/>
        <w:autoSpaceDN/>
        <w:adjustRightInd/>
        <w:snapToGrid w:val="0"/>
        <w:spacing w:before="100" w:after="100" w:line="360" w:lineRule="exact"/>
        <w:textAlignment w:val="auto"/>
        <w:rPr>
          <w:rFonts w:ascii="宋体" w:hAnsi="宋体" w:cs="仿宋"/>
          <w:sz w:val="24"/>
          <w:szCs w:val="18"/>
        </w:rPr>
      </w:pPr>
      <w:r>
        <w:rPr>
          <w:rFonts w:hint="eastAsia" w:ascii="宋体" w:hAnsi="宋体" w:cs="仿宋"/>
          <w:sz w:val="24"/>
          <w:szCs w:val="18"/>
        </w:rPr>
        <w:t>开关阀均采用全通径双向</w:t>
      </w:r>
      <w:r>
        <w:rPr>
          <w:rFonts w:hint="eastAsia" w:ascii="宋体" w:hAnsi="宋体" w:cs="宋体"/>
          <w:sz w:val="24"/>
          <w:szCs w:val="22"/>
          <w:lang w:val="zh-CN"/>
        </w:rPr>
        <w:t>金属硬密封</w:t>
      </w:r>
      <w:r>
        <w:rPr>
          <w:rFonts w:hint="eastAsia" w:ascii="宋体" w:hAnsi="宋体" w:cs="仿宋"/>
          <w:sz w:val="24"/>
          <w:szCs w:val="18"/>
        </w:rPr>
        <w:t>气动球阀，密封等级≥Ⅴ级；</w:t>
      </w:r>
      <w:r>
        <w:rPr>
          <w:rFonts w:hint="eastAsia" w:ascii="宋体" w:hAnsi="宋体" w:cs="宋体"/>
          <w:kern w:val="2"/>
          <w:sz w:val="24"/>
          <w:szCs w:val="22"/>
          <w:lang w:val="zh-CN"/>
        </w:rPr>
        <w:t>控制开关阀的电磁阀要求DIN插接方式，24VDC，带指示灯，选用质量和性能可靠的</w:t>
      </w:r>
      <w:r>
        <w:rPr>
          <w:rFonts w:hint="eastAsia" w:ascii="宋体" w:hAnsi="宋体" w:cs="宋体"/>
          <w:kern w:val="2"/>
          <w:sz w:val="24"/>
          <w:szCs w:val="22"/>
        </w:rPr>
        <w:t>进口一线</w:t>
      </w:r>
      <w:r>
        <w:rPr>
          <w:rFonts w:hint="eastAsia" w:ascii="宋体" w:hAnsi="宋体" w:cs="宋体"/>
          <w:kern w:val="2"/>
          <w:sz w:val="24"/>
          <w:szCs w:val="22"/>
          <w:lang w:val="zh-CN"/>
        </w:rPr>
        <w:t>品牌产品；开关阀</w:t>
      </w:r>
      <w:r>
        <w:rPr>
          <w:rFonts w:hint="eastAsia" w:ascii="宋体" w:hAnsi="宋体" w:cs="宋体"/>
          <w:kern w:val="2"/>
          <w:sz w:val="24"/>
          <w:szCs w:val="22"/>
        </w:rPr>
        <w:t>开关</w:t>
      </w:r>
      <w:r>
        <w:rPr>
          <w:rFonts w:hint="eastAsia" w:ascii="宋体" w:hAnsi="宋体" w:cs="宋体"/>
          <w:kern w:val="2"/>
          <w:sz w:val="24"/>
          <w:szCs w:val="22"/>
          <w:lang w:val="zh-CN"/>
        </w:rPr>
        <w:t>位置反馈须选用一体式开关盒, 采用2线制24V感应式接近开关，接近开关选用</w:t>
      </w:r>
      <w:r>
        <w:rPr>
          <w:rFonts w:hint="eastAsia" w:ascii="宋体" w:hAnsi="宋体" w:cs="宋体"/>
          <w:kern w:val="2"/>
          <w:sz w:val="24"/>
          <w:szCs w:val="22"/>
        </w:rPr>
        <w:t>进口一线</w:t>
      </w:r>
      <w:r>
        <w:rPr>
          <w:rFonts w:hint="eastAsia" w:ascii="宋体" w:hAnsi="宋体" w:cs="宋体"/>
          <w:kern w:val="2"/>
          <w:sz w:val="24"/>
          <w:szCs w:val="22"/>
          <w:lang w:val="zh-CN"/>
        </w:rPr>
        <w:t>品牌。</w:t>
      </w:r>
      <w:r>
        <w:rPr>
          <w:rFonts w:hint="eastAsia" w:ascii="宋体" w:hAnsi="宋体" w:cs="宋体"/>
          <w:kern w:val="2"/>
          <w:sz w:val="24"/>
          <w:szCs w:val="22"/>
        </w:rPr>
        <w:t>对开关阀开关速度有要求的，</w:t>
      </w:r>
      <w:r>
        <w:rPr>
          <w:rFonts w:hint="eastAsia" w:ascii="宋体" w:hAnsi="宋体" w:cs="宋体"/>
          <w:kern w:val="2"/>
          <w:sz w:val="24"/>
          <w:szCs w:val="22"/>
          <w:lang w:val="zh-CN"/>
        </w:rPr>
        <w:t>配置调速阀</w:t>
      </w:r>
      <w:r>
        <w:rPr>
          <w:rFonts w:hint="eastAsia" w:ascii="宋体" w:hAnsi="宋体" w:cs="宋体"/>
          <w:kern w:val="2"/>
          <w:sz w:val="24"/>
          <w:szCs w:val="22"/>
        </w:rPr>
        <w:t>和快排阀</w:t>
      </w:r>
      <w:r>
        <w:rPr>
          <w:rFonts w:hint="eastAsia" w:ascii="宋体" w:hAnsi="宋体" w:cs="宋体"/>
          <w:kern w:val="2"/>
          <w:sz w:val="24"/>
          <w:szCs w:val="22"/>
          <w:lang w:val="zh-CN"/>
        </w:rPr>
        <w:t>；电磁阀</w:t>
      </w:r>
      <w:r>
        <w:rPr>
          <w:rFonts w:hint="eastAsia" w:ascii="宋体" w:hAnsi="宋体" w:cs="宋体"/>
          <w:kern w:val="2"/>
          <w:sz w:val="24"/>
          <w:szCs w:val="22"/>
        </w:rPr>
        <w:t>需</w:t>
      </w:r>
      <w:r>
        <w:rPr>
          <w:rFonts w:hint="eastAsia" w:ascii="宋体" w:hAnsi="宋体" w:cs="宋体"/>
          <w:kern w:val="2"/>
          <w:sz w:val="24"/>
          <w:szCs w:val="22"/>
          <w:lang w:val="zh-CN"/>
        </w:rPr>
        <w:t>安装在阀体上的，配</w:t>
      </w:r>
      <w:r>
        <w:rPr>
          <w:rFonts w:hint="eastAsia" w:ascii="宋体" w:hAnsi="宋体" w:cs="宋体"/>
          <w:kern w:val="2"/>
          <w:sz w:val="24"/>
          <w:szCs w:val="22"/>
        </w:rPr>
        <w:t>带过滤减压阀</w:t>
      </w:r>
      <w:r>
        <w:rPr>
          <w:rFonts w:hint="eastAsia" w:ascii="宋体" w:hAnsi="宋体" w:cs="宋体"/>
          <w:kern w:val="2"/>
          <w:sz w:val="24"/>
          <w:szCs w:val="22"/>
          <w:lang w:val="zh-CN"/>
        </w:rPr>
        <w:t>（采用10μ滤芯）</w:t>
      </w:r>
      <w:r>
        <w:rPr>
          <w:rFonts w:hint="eastAsia" w:ascii="宋体" w:hAnsi="宋体" w:cs="宋体"/>
          <w:kern w:val="2"/>
          <w:sz w:val="24"/>
          <w:szCs w:val="22"/>
        </w:rPr>
        <w:t>和</w:t>
      </w:r>
      <w:r>
        <w:rPr>
          <w:rFonts w:hint="eastAsia" w:ascii="宋体" w:hAnsi="宋体" w:cs="宋体"/>
          <w:kern w:val="2"/>
          <w:sz w:val="24"/>
          <w:szCs w:val="22"/>
          <w:lang w:val="zh-CN"/>
        </w:rPr>
        <w:t>不锈钢安装板，</w:t>
      </w:r>
      <w:r>
        <w:rPr>
          <w:rFonts w:hint="eastAsia" w:ascii="宋体" w:hAnsi="宋体" w:cs="宋体"/>
          <w:kern w:val="2"/>
          <w:sz w:val="24"/>
          <w:szCs w:val="22"/>
        </w:rPr>
        <w:t>过滤减压阀和电磁阀安装在安装板上，安装板固定在执行机构上，方向可调；</w:t>
      </w:r>
    </w:p>
    <w:p w14:paraId="477DD083">
      <w:pPr>
        <w:numPr>
          <w:ilvl w:val="3"/>
          <w:numId w:val="9"/>
        </w:numPr>
        <w:snapToGrid w:val="0"/>
        <w:spacing w:before="100" w:after="100" w:line="360" w:lineRule="exact"/>
        <w:rPr>
          <w:rFonts w:ascii="宋体" w:hAnsi="宋体" w:cs="仿宋"/>
          <w:sz w:val="24"/>
          <w:szCs w:val="24"/>
        </w:rPr>
      </w:pPr>
      <w:r>
        <w:rPr>
          <w:rFonts w:hint="eastAsia" w:ascii="宋体" w:hAnsi="宋体" w:cs="仿宋"/>
          <w:bCs/>
          <w:sz w:val="24"/>
          <w:szCs w:val="24"/>
        </w:rPr>
        <w:t>重质</w:t>
      </w:r>
      <w:r>
        <w:rPr>
          <w:rFonts w:hint="eastAsia" w:ascii="宋体" w:hAnsi="宋体" w:cs="仿宋"/>
          <w:sz w:val="24"/>
          <w:szCs w:val="24"/>
        </w:rPr>
        <w:t>除砂器和水洗除砂器，除砂器排砂可由现场控制箱控制（厂家提供）或DCS控制；</w:t>
      </w:r>
      <w:r>
        <w:rPr>
          <w:rFonts w:hint="eastAsia" w:ascii="宋体" w:hAnsi="宋体" w:cs="仿宋"/>
          <w:b/>
          <w:bCs/>
          <w:sz w:val="24"/>
          <w:szCs w:val="24"/>
        </w:rPr>
        <w:t>重质</w:t>
      </w:r>
      <w:r>
        <w:rPr>
          <w:rFonts w:hint="eastAsia" w:ascii="宋体" w:hAnsi="宋体" w:cs="仿宋"/>
          <w:sz w:val="24"/>
          <w:szCs w:val="24"/>
        </w:rPr>
        <w:t>除砂器采用双向金属硬密封气动穿透式闸板阀，木片水洗除砂器采用单向金属硬密封气动刀闸阀；</w:t>
      </w:r>
      <w:r>
        <w:rPr>
          <w:rFonts w:hint="eastAsia" w:ascii="宋体" w:hAnsi="宋体" w:cs="宋体"/>
          <w:sz w:val="24"/>
          <w:szCs w:val="24"/>
        </w:rPr>
        <w:t>闸板阀材质SS304，</w:t>
      </w:r>
      <w:r>
        <w:rPr>
          <w:rFonts w:hint="eastAsia" w:ascii="宋体" w:hAnsi="宋体" w:cs="仿宋"/>
          <w:sz w:val="24"/>
          <w:szCs w:val="24"/>
        </w:rPr>
        <w:t>闸板防腐耐磨处理，带过滤减压阀、快排阀、</w:t>
      </w:r>
      <w:r>
        <w:rPr>
          <w:rFonts w:hint="eastAsia" w:ascii="宋体" w:hAnsi="宋体" w:cs="宋体"/>
          <w:sz w:val="24"/>
          <w:szCs w:val="24"/>
          <w:lang w:val="zh-CN"/>
        </w:rPr>
        <w:t>24VDC</w:t>
      </w:r>
      <w:r>
        <w:rPr>
          <w:rFonts w:hint="eastAsia" w:ascii="宋体" w:hAnsi="宋体" w:cs="仿宋"/>
          <w:sz w:val="24"/>
          <w:szCs w:val="24"/>
        </w:rPr>
        <w:t>电磁阀、</w:t>
      </w:r>
      <w:r>
        <w:rPr>
          <w:rFonts w:hint="eastAsia" w:ascii="宋体" w:hAnsi="宋体" w:cs="宋体"/>
          <w:sz w:val="24"/>
          <w:szCs w:val="24"/>
          <w:lang w:val="zh-CN"/>
        </w:rPr>
        <w:t>24VDC</w:t>
      </w:r>
      <w:r>
        <w:rPr>
          <w:rFonts w:hint="eastAsia" w:ascii="宋体" w:hAnsi="宋体" w:cs="宋体"/>
          <w:sz w:val="24"/>
          <w:szCs w:val="24"/>
        </w:rPr>
        <w:t>开关位置反馈接近开关和接近开关接线盒。</w:t>
      </w:r>
    </w:p>
    <w:p w14:paraId="3F94AB98">
      <w:pPr>
        <w:numPr>
          <w:ilvl w:val="2"/>
          <w:numId w:val="9"/>
        </w:numPr>
        <w:snapToGrid w:val="0"/>
        <w:spacing w:before="100" w:after="100" w:line="360" w:lineRule="exact"/>
        <w:rPr>
          <w:rFonts w:ascii="宋体" w:hAnsi="宋体" w:cs="仿宋"/>
          <w:b/>
          <w:bCs/>
          <w:sz w:val="24"/>
        </w:rPr>
      </w:pPr>
      <w:r>
        <w:rPr>
          <w:rFonts w:hint="eastAsia" w:ascii="宋体" w:hAnsi="宋体" w:cs="仿宋"/>
          <w:b/>
          <w:bCs/>
          <w:sz w:val="24"/>
        </w:rPr>
        <w:t>性能验收和计量考核相关表计</w:t>
      </w:r>
    </w:p>
    <w:p w14:paraId="25B3E29F">
      <w:pPr>
        <w:numPr>
          <w:ilvl w:val="3"/>
          <w:numId w:val="9"/>
        </w:numPr>
        <w:snapToGrid w:val="0"/>
        <w:spacing w:before="100" w:after="100" w:line="360" w:lineRule="exact"/>
      </w:pPr>
      <w:r>
        <w:rPr>
          <w:rFonts w:hint="eastAsia"/>
          <w:sz w:val="24"/>
          <w:szCs w:val="24"/>
        </w:rPr>
        <w:t>本项目性能验收相关的表计</w:t>
      </w:r>
      <w:r>
        <w:rPr>
          <w:rFonts w:hint="eastAsia" w:ascii="宋体" w:hAnsi="宋体" w:cs="宋体"/>
          <w:sz w:val="24"/>
          <w:szCs w:val="24"/>
        </w:rPr>
        <w:t>必须提供具有检定资质单位（第三方）出具的检定合格证书；</w:t>
      </w:r>
    </w:p>
    <w:p w14:paraId="439BF89B">
      <w:pPr>
        <w:numPr>
          <w:ilvl w:val="3"/>
          <w:numId w:val="9"/>
        </w:numPr>
        <w:snapToGrid w:val="0"/>
        <w:spacing w:before="100" w:after="100" w:line="360" w:lineRule="exact"/>
      </w:pPr>
      <w:r>
        <w:rPr>
          <w:rFonts w:hint="eastAsia" w:ascii="宋体" w:hAnsi="宋体" w:cs="宋体"/>
          <w:sz w:val="24"/>
          <w:szCs w:val="24"/>
        </w:rPr>
        <w:t>备料、蒸煮、洗选各工段外来的蒸汽、用水、压缩空气、冷白液，外送的稀黑液等，采集信号（流量、压力、温度）至D</w:t>
      </w:r>
      <w:r>
        <w:rPr>
          <w:rFonts w:ascii="宋体" w:hAnsi="宋体" w:cs="宋体"/>
          <w:sz w:val="24"/>
          <w:szCs w:val="24"/>
        </w:rPr>
        <w:t>CS</w:t>
      </w:r>
      <w:r>
        <w:rPr>
          <w:rFonts w:hint="eastAsia" w:ascii="宋体" w:hAnsi="宋体" w:cs="宋体"/>
          <w:sz w:val="24"/>
          <w:szCs w:val="24"/>
        </w:rPr>
        <w:t>系统计量。流量表计必须提供具有检定资质单位出具的检定合格证书。</w:t>
      </w:r>
    </w:p>
    <w:p w14:paraId="39694163">
      <w:pPr>
        <w:numPr>
          <w:ilvl w:val="2"/>
          <w:numId w:val="9"/>
        </w:numPr>
        <w:snapToGrid w:val="0"/>
        <w:spacing w:before="100" w:after="100" w:line="360" w:lineRule="exact"/>
        <w:rPr>
          <w:rFonts w:ascii="宋体" w:hAnsi="宋体" w:cs="仿宋"/>
          <w:b/>
          <w:bCs/>
          <w:sz w:val="24"/>
        </w:rPr>
      </w:pPr>
      <w:r>
        <w:rPr>
          <w:rFonts w:hint="eastAsia" w:ascii="宋体" w:hAnsi="宋体" w:cs="仿宋"/>
          <w:b/>
          <w:bCs/>
          <w:sz w:val="24"/>
        </w:rPr>
        <w:t>自控仪表与环境的适用性：</w:t>
      </w:r>
    </w:p>
    <w:p w14:paraId="68DE5984">
      <w:pPr>
        <w:numPr>
          <w:ilvl w:val="3"/>
          <w:numId w:val="9"/>
        </w:numPr>
        <w:snapToGrid w:val="0"/>
        <w:spacing w:before="100" w:after="100" w:line="360" w:lineRule="exact"/>
        <w:rPr>
          <w:rFonts w:ascii="宋体" w:hAnsi="宋体" w:cs="仿宋"/>
          <w:sz w:val="24"/>
        </w:rPr>
      </w:pPr>
      <w:r>
        <w:rPr>
          <w:rFonts w:hint="eastAsia" w:ascii="宋体" w:hAnsi="宋体" w:cs="仿宋"/>
          <w:sz w:val="24"/>
        </w:rPr>
        <w:t>现场仪表、仪表箱、电缆、保护管、导压管、控制阀整体、盘柜的选用均须保证适应所处的环境状况，如防腐蚀、防雨水、防振动、防干扰等；</w:t>
      </w:r>
    </w:p>
    <w:p w14:paraId="2BCBBB0D">
      <w:pPr>
        <w:numPr>
          <w:ilvl w:val="3"/>
          <w:numId w:val="9"/>
        </w:numPr>
        <w:snapToGrid w:val="0"/>
        <w:spacing w:before="100" w:after="100" w:line="360" w:lineRule="exact"/>
        <w:rPr>
          <w:rFonts w:ascii="宋体" w:hAnsi="宋体" w:cs="仿宋"/>
          <w:sz w:val="24"/>
        </w:rPr>
      </w:pPr>
      <w:r>
        <w:rPr>
          <w:rFonts w:hint="eastAsia" w:ascii="宋体" w:hAnsi="宋体" w:cs="仿宋"/>
          <w:sz w:val="24"/>
        </w:rPr>
        <w:t>仪表的防护等级不低于IP67；</w:t>
      </w:r>
    </w:p>
    <w:p w14:paraId="2B55F3C2">
      <w:pPr>
        <w:numPr>
          <w:ilvl w:val="3"/>
          <w:numId w:val="9"/>
        </w:numPr>
        <w:snapToGrid w:val="0"/>
        <w:spacing w:before="100" w:after="100" w:line="360" w:lineRule="exact"/>
        <w:rPr>
          <w:rFonts w:ascii="宋体" w:hAnsi="宋体" w:cs="宋体"/>
          <w:sz w:val="24"/>
          <w:szCs w:val="24"/>
          <w:lang w:val="zh-CN"/>
        </w:rPr>
      </w:pPr>
      <w:r>
        <w:rPr>
          <w:rFonts w:hint="eastAsia" w:ascii="宋体" w:hAnsi="宋体" w:cs="仿宋"/>
          <w:sz w:val="24"/>
        </w:rPr>
        <w:t>爆炸区域选用防爆产品，</w:t>
      </w:r>
      <w:r>
        <w:rPr>
          <w:rFonts w:hint="eastAsia" w:ascii="宋体" w:hAnsi="宋体" w:cs="宋体"/>
          <w:sz w:val="24"/>
          <w:szCs w:val="24"/>
          <w:lang w:val="zh-CN"/>
        </w:rPr>
        <w:t>臭气系统防爆不低于ExdⅡCT6。</w:t>
      </w:r>
    </w:p>
    <w:p w14:paraId="0F077810">
      <w:pPr>
        <w:pStyle w:val="8"/>
        <w:numPr>
          <w:ilvl w:val="2"/>
          <w:numId w:val="9"/>
        </w:numPr>
        <w:snapToGrid w:val="0"/>
        <w:spacing w:before="100" w:after="100" w:line="360" w:lineRule="exact"/>
        <w:rPr>
          <w:rFonts w:ascii="宋体" w:hAnsi="宋体" w:cs="仿宋"/>
          <w:b/>
          <w:bCs/>
          <w:sz w:val="24"/>
          <w:szCs w:val="18"/>
        </w:rPr>
      </w:pPr>
      <w:r>
        <w:rPr>
          <w:rFonts w:hint="eastAsia" w:ascii="宋体" w:hAnsi="宋体" w:cs="仿宋"/>
          <w:b/>
          <w:bCs/>
          <w:sz w:val="24"/>
          <w:szCs w:val="18"/>
        </w:rPr>
        <w:t>自控仪表与项目的适用性</w:t>
      </w:r>
    </w:p>
    <w:p w14:paraId="3C4013DA">
      <w:pPr>
        <w:pStyle w:val="8"/>
        <w:numPr>
          <w:ilvl w:val="3"/>
          <w:numId w:val="9"/>
        </w:numPr>
        <w:snapToGrid w:val="0"/>
        <w:spacing w:before="100" w:after="100" w:line="360" w:lineRule="exact"/>
        <w:rPr>
          <w:rFonts w:ascii="宋体" w:hAnsi="宋体" w:cs="宋体"/>
          <w:sz w:val="24"/>
          <w:szCs w:val="22"/>
        </w:rPr>
      </w:pPr>
      <w:r>
        <w:rPr>
          <w:rFonts w:hint="eastAsia" w:ascii="宋体" w:hAnsi="宋体" w:cs="宋体"/>
          <w:sz w:val="24"/>
          <w:szCs w:val="22"/>
        </w:rPr>
        <w:t>设备、系统的选型和质量品质须满足工艺设计、热力学工况、介质工况，满足安全可靠、长期稳定生产；</w:t>
      </w:r>
    </w:p>
    <w:p w14:paraId="089DDAFC">
      <w:pPr>
        <w:pStyle w:val="8"/>
        <w:numPr>
          <w:ilvl w:val="3"/>
          <w:numId w:val="9"/>
        </w:numPr>
        <w:snapToGrid w:val="0"/>
        <w:spacing w:before="100" w:after="100" w:line="360" w:lineRule="exact"/>
        <w:rPr>
          <w:rFonts w:ascii="宋体" w:hAnsi="宋体" w:cs="宋体"/>
          <w:sz w:val="24"/>
          <w:szCs w:val="22"/>
        </w:rPr>
      </w:pPr>
      <w:r>
        <w:rPr>
          <w:rFonts w:hint="eastAsia" w:ascii="宋体" w:hAnsi="宋体" w:cs="宋体"/>
          <w:sz w:val="24"/>
          <w:szCs w:val="22"/>
        </w:rPr>
        <w:t>设备、系统的供货期、安装、调试进度须与项目工程的进度相适应。</w:t>
      </w:r>
    </w:p>
    <w:p w14:paraId="168CA53E">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控制阀与仪表信号</w:t>
      </w:r>
    </w:p>
    <w:p w14:paraId="79872AED">
      <w:pPr>
        <w:snapToGrid w:val="0"/>
        <w:spacing w:before="100" w:after="100" w:line="360" w:lineRule="exact"/>
        <w:ind w:left="851"/>
        <w:jc w:val="left"/>
        <w:rPr>
          <w:rFonts w:ascii="宋体" w:hAnsi="宋体" w:cs="宋体"/>
          <w:sz w:val="24"/>
          <w:szCs w:val="24"/>
          <w:lang w:val="zh-CN"/>
        </w:rPr>
      </w:pPr>
      <w:r>
        <w:rPr>
          <w:rFonts w:hint="eastAsia" w:ascii="宋体" w:hAnsi="宋体" w:cs="宋体"/>
          <w:sz w:val="24"/>
          <w:szCs w:val="24"/>
        </w:rPr>
        <w:t>调节阀定位器</w:t>
      </w:r>
      <w:r>
        <w:rPr>
          <w:rFonts w:hint="eastAsia" w:ascii="宋体" w:hAnsi="宋体" w:cs="宋体"/>
          <w:sz w:val="24"/>
          <w:szCs w:val="24"/>
          <w:lang w:val="zh-CN"/>
        </w:rPr>
        <w:t>输入</w:t>
      </w:r>
      <w:r>
        <w:rPr>
          <w:rFonts w:hint="eastAsia" w:ascii="宋体" w:hAnsi="宋体" w:cs="宋体"/>
          <w:sz w:val="24"/>
          <w:szCs w:val="24"/>
        </w:rPr>
        <w:t>信号：</w:t>
      </w:r>
      <w:r>
        <w:rPr>
          <w:rFonts w:hint="eastAsia" w:ascii="宋体" w:hAnsi="宋体" w:cs="宋体"/>
          <w:sz w:val="24"/>
          <w:szCs w:val="24"/>
          <w:lang w:val="zh-CN"/>
        </w:rPr>
        <w:t>4-20mADC；</w:t>
      </w:r>
      <w:r>
        <w:rPr>
          <w:rFonts w:hint="eastAsia" w:ascii="宋体" w:hAnsi="宋体" w:cs="宋体"/>
          <w:sz w:val="24"/>
          <w:szCs w:val="24"/>
        </w:rPr>
        <w:t>阀位反馈输出信号：</w:t>
      </w:r>
      <w:r>
        <w:rPr>
          <w:rFonts w:hint="eastAsia" w:ascii="宋体" w:hAnsi="宋体" w:cs="宋体"/>
          <w:sz w:val="24"/>
          <w:szCs w:val="24"/>
          <w:lang w:val="zh-CN"/>
        </w:rPr>
        <w:t>4-20mADC；</w:t>
      </w:r>
    </w:p>
    <w:p w14:paraId="6E4C2F50">
      <w:pPr>
        <w:snapToGrid w:val="0"/>
        <w:spacing w:before="100" w:after="100" w:line="360" w:lineRule="exact"/>
        <w:ind w:left="851"/>
        <w:jc w:val="left"/>
      </w:pPr>
      <w:r>
        <w:rPr>
          <w:rFonts w:hint="eastAsia" w:ascii="宋体" w:hAnsi="宋体" w:cs="宋体"/>
          <w:sz w:val="24"/>
          <w:szCs w:val="24"/>
        </w:rPr>
        <w:t>开关阀电磁阀输入信号：</w:t>
      </w:r>
      <w:r>
        <w:rPr>
          <w:rFonts w:hint="eastAsia" w:ascii="宋体" w:hAnsi="宋体" w:cs="宋体"/>
          <w:sz w:val="24"/>
          <w:szCs w:val="24"/>
          <w:lang w:val="zh-CN"/>
        </w:rPr>
        <w:t>24VDC；</w:t>
      </w:r>
      <w:r>
        <w:rPr>
          <w:rFonts w:hint="eastAsia" w:ascii="宋体" w:hAnsi="宋体" w:cs="宋体"/>
          <w:sz w:val="24"/>
          <w:szCs w:val="24"/>
        </w:rPr>
        <w:t>开关位置反馈输出信号：</w:t>
      </w:r>
      <w:r>
        <w:rPr>
          <w:rFonts w:hint="eastAsia" w:ascii="宋体" w:hAnsi="宋体" w:cs="宋体"/>
          <w:sz w:val="24"/>
          <w:szCs w:val="24"/>
          <w:lang w:val="zh-CN"/>
        </w:rPr>
        <w:t>24VDC（</w:t>
      </w:r>
      <w:r>
        <w:rPr>
          <w:rFonts w:hint="eastAsia" w:ascii="宋体" w:hAnsi="宋体" w:cs="宋体"/>
          <w:sz w:val="24"/>
          <w:szCs w:val="24"/>
        </w:rPr>
        <w:t>接近开关</w:t>
      </w:r>
      <w:r>
        <w:rPr>
          <w:rFonts w:hint="eastAsia" w:ascii="宋体" w:hAnsi="宋体" w:cs="宋体"/>
          <w:sz w:val="24"/>
          <w:szCs w:val="24"/>
          <w:lang w:val="zh-CN"/>
        </w:rPr>
        <w:t>）</w:t>
      </w:r>
      <w:r>
        <w:rPr>
          <w:rFonts w:hint="eastAsia" w:ascii="宋体" w:hAnsi="宋体" w:cs="宋体"/>
          <w:sz w:val="24"/>
          <w:szCs w:val="24"/>
        </w:rPr>
        <w:t>；</w:t>
      </w:r>
    </w:p>
    <w:p w14:paraId="21D8F092">
      <w:pPr>
        <w:snapToGrid w:val="0"/>
        <w:spacing w:before="100" w:after="100" w:line="360" w:lineRule="exact"/>
        <w:ind w:left="851"/>
        <w:jc w:val="left"/>
        <w:rPr>
          <w:rFonts w:ascii="宋体" w:hAnsi="宋体" w:cs="宋体"/>
          <w:sz w:val="24"/>
          <w:szCs w:val="24"/>
          <w:lang w:val="zh-CN"/>
        </w:rPr>
      </w:pPr>
      <w:r>
        <w:rPr>
          <w:rFonts w:hint="eastAsia" w:ascii="宋体" w:hAnsi="宋体" w:cs="宋体"/>
          <w:sz w:val="24"/>
          <w:szCs w:val="24"/>
        </w:rPr>
        <w:t>仪表变送器</w:t>
      </w:r>
      <w:r>
        <w:rPr>
          <w:rFonts w:hint="eastAsia" w:ascii="宋体" w:hAnsi="宋体" w:cs="宋体"/>
          <w:sz w:val="24"/>
          <w:szCs w:val="24"/>
          <w:lang w:val="zh-CN"/>
        </w:rPr>
        <w:t>模拟输出</w:t>
      </w:r>
      <w:r>
        <w:rPr>
          <w:rFonts w:hint="eastAsia" w:ascii="宋体" w:hAnsi="宋体" w:cs="宋体"/>
          <w:sz w:val="24"/>
          <w:szCs w:val="24"/>
        </w:rPr>
        <w:t>信号</w:t>
      </w:r>
      <w:r>
        <w:rPr>
          <w:rFonts w:hint="eastAsia" w:ascii="宋体" w:hAnsi="宋体" w:cs="宋体"/>
          <w:sz w:val="24"/>
          <w:szCs w:val="24"/>
          <w:lang w:val="zh-CN"/>
        </w:rPr>
        <w:t>： 4-20mADC（2线制、</w:t>
      </w:r>
      <w:r>
        <w:rPr>
          <w:rFonts w:hint="eastAsia" w:ascii="宋体" w:hAnsi="宋体" w:cs="宋体"/>
          <w:sz w:val="24"/>
          <w:szCs w:val="24"/>
        </w:rPr>
        <w:t>4</w:t>
      </w:r>
      <w:r>
        <w:rPr>
          <w:rFonts w:hint="eastAsia" w:ascii="宋体" w:hAnsi="宋体" w:cs="宋体"/>
          <w:sz w:val="24"/>
          <w:szCs w:val="24"/>
          <w:lang w:val="zh-CN"/>
        </w:rPr>
        <w:t>线制）。</w:t>
      </w:r>
    </w:p>
    <w:p w14:paraId="30DF3ABE">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仪表电源和气源</w:t>
      </w:r>
    </w:p>
    <w:p w14:paraId="1DC5868F">
      <w:pPr>
        <w:numPr>
          <w:ilvl w:val="3"/>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lang w:val="zh-CN"/>
        </w:rPr>
        <w:t>DCS系统、PLC、GDS、现场仪表、阀门及自控设备所需220VAC和24VDC电源均采用UPS供电，</w:t>
      </w:r>
      <w:r>
        <w:rPr>
          <w:rFonts w:hint="eastAsia" w:ascii="宋体" w:hAnsi="宋体" w:cs="宋体"/>
          <w:sz w:val="24"/>
          <w:szCs w:val="24"/>
        </w:rPr>
        <w:t>旋转式浓度计</w:t>
      </w:r>
      <w:r>
        <w:rPr>
          <w:rFonts w:hint="eastAsia" w:ascii="宋体" w:hAnsi="宋体" w:cs="宋体"/>
          <w:sz w:val="24"/>
          <w:szCs w:val="24"/>
          <w:lang w:val="zh-CN"/>
        </w:rPr>
        <w:t>380VAC</w:t>
      </w:r>
      <w:r>
        <w:rPr>
          <w:rFonts w:hint="eastAsia" w:ascii="宋体" w:hAnsi="宋体" w:cs="宋体"/>
          <w:sz w:val="24"/>
          <w:szCs w:val="24"/>
        </w:rPr>
        <w:t>由电气柜供电；</w:t>
      </w:r>
    </w:p>
    <w:p w14:paraId="55248844">
      <w:pPr>
        <w:numPr>
          <w:ilvl w:val="3"/>
          <w:numId w:val="9"/>
        </w:numPr>
        <w:snapToGrid w:val="0"/>
        <w:spacing w:before="100" w:after="100" w:line="360" w:lineRule="exact"/>
        <w:jc w:val="left"/>
        <w:rPr>
          <w:rFonts w:ascii="宋体" w:hAnsi="宋体" w:cs="宋体"/>
          <w:sz w:val="24"/>
          <w:szCs w:val="24"/>
          <w:lang w:val="zh-CN"/>
        </w:rPr>
      </w:pPr>
      <w:r>
        <w:rPr>
          <w:rFonts w:hint="eastAsia" w:ascii="宋体" w:hAnsi="宋体" w:cs="宋体"/>
          <w:sz w:val="24"/>
          <w:szCs w:val="24"/>
        </w:rPr>
        <w:t>控制阀和仪表气源由现有空压站</w:t>
      </w:r>
      <w:r>
        <w:rPr>
          <w:rFonts w:hint="eastAsia" w:ascii="宋体" w:hAnsi="宋体" w:cs="宋体"/>
          <w:sz w:val="24"/>
          <w:szCs w:val="24"/>
          <w:lang w:val="zh-CN"/>
        </w:rPr>
        <w:t>供气：压力为</w:t>
      </w:r>
      <w:r>
        <w:rPr>
          <w:rFonts w:ascii="宋体" w:hAnsi="宋体" w:cs="宋体"/>
          <w:sz w:val="24"/>
          <w:szCs w:val="24"/>
          <w:lang w:val="zh-CN"/>
        </w:rPr>
        <w:t>4.</w:t>
      </w:r>
      <w:r>
        <w:rPr>
          <w:rFonts w:hint="eastAsia" w:ascii="宋体" w:hAnsi="宋体" w:cs="宋体"/>
          <w:sz w:val="24"/>
          <w:szCs w:val="24"/>
          <w:lang w:val="zh-CN"/>
        </w:rPr>
        <w:t>5</w:t>
      </w:r>
      <w:r>
        <w:rPr>
          <w:rFonts w:ascii="宋体" w:hAnsi="宋体" w:cs="宋体"/>
          <w:sz w:val="24"/>
          <w:szCs w:val="24"/>
          <w:lang w:val="zh-CN"/>
        </w:rPr>
        <w:t>B</w:t>
      </w:r>
      <w:r>
        <w:rPr>
          <w:rFonts w:hint="eastAsia" w:ascii="宋体" w:hAnsi="宋体" w:cs="宋体"/>
          <w:sz w:val="24"/>
          <w:szCs w:val="24"/>
          <w:lang w:val="zh-CN"/>
        </w:rPr>
        <w:t>ar—</w:t>
      </w:r>
      <w:r>
        <w:rPr>
          <w:rFonts w:ascii="宋体" w:hAnsi="宋体" w:cs="宋体"/>
          <w:sz w:val="24"/>
          <w:szCs w:val="24"/>
          <w:lang w:val="zh-CN"/>
        </w:rPr>
        <w:t>5B</w:t>
      </w:r>
      <w:r>
        <w:rPr>
          <w:rFonts w:hint="eastAsia" w:ascii="宋体" w:hAnsi="宋体" w:cs="宋体"/>
          <w:sz w:val="24"/>
          <w:szCs w:val="24"/>
          <w:lang w:val="zh-CN"/>
        </w:rPr>
        <w:t>ar(G)。</w:t>
      </w:r>
    </w:p>
    <w:p w14:paraId="189BD847">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bookmarkStart w:id="272" w:name="_Toc1538"/>
      <w:bookmarkStart w:id="273" w:name="_Toc30572"/>
      <w:bookmarkStart w:id="274" w:name="_Toc26325"/>
      <w:r>
        <w:rPr>
          <w:rFonts w:hint="eastAsia" w:ascii="宋体" w:hAnsi="宋体" w:cs="宋体"/>
          <w:b/>
          <w:bCs/>
          <w:sz w:val="24"/>
          <w:szCs w:val="24"/>
        </w:rPr>
        <w:t>装锅阀及附件配置基本要求</w:t>
      </w:r>
      <w:bookmarkEnd w:id="272"/>
      <w:bookmarkEnd w:id="273"/>
      <w:bookmarkEnd w:id="274"/>
    </w:p>
    <w:p w14:paraId="1CEB4A13">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装锅阀选用质量可靠且在置换蒸煮工艺使用业绩较好的</w:t>
      </w:r>
      <w:r>
        <w:rPr>
          <w:rFonts w:hint="eastAsia" w:ascii="宋体" w:hAnsi="宋体" w:cs="宋体"/>
          <w:kern w:val="2"/>
          <w:sz w:val="24"/>
          <w:szCs w:val="22"/>
        </w:rPr>
        <w:t>国内外</w:t>
      </w:r>
      <w:r>
        <w:rPr>
          <w:rFonts w:hint="eastAsia" w:ascii="宋体" w:hAnsi="宋体" w:cs="宋体"/>
          <w:kern w:val="2"/>
          <w:sz w:val="24"/>
          <w:szCs w:val="22"/>
          <w:lang w:val="zh-CN"/>
        </w:rPr>
        <w:t>一线品牌；</w:t>
      </w:r>
    </w:p>
    <w:p w14:paraId="23A01A8A">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装锅阀</w:t>
      </w:r>
      <w:r>
        <w:rPr>
          <w:rFonts w:hint="eastAsia" w:ascii="宋体" w:hAnsi="宋体" w:cs="宋体"/>
          <w:kern w:val="2"/>
          <w:sz w:val="24"/>
          <w:szCs w:val="22"/>
        </w:rPr>
        <w:t>为</w:t>
      </w:r>
      <w:r>
        <w:rPr>
          <w:rFonts w:hint="eastAsia" w:ascii="宋体" w:hAnsi="宋体" w:cs="宋体"/>
          <w:kern w:val="2"/>
          <w:sz w:val="24"/>
          <w:szCs w:val="22"/>
          <w:lang w:val="zh-CN"/>
        </w:rPr>
        <w:t>全通径O型</w:t>
      </w:r>
      <w:r>
        <w:rPr>
          <w:rFonts w:hint="eastAsia" w:ascii="宋体" w:hAnsi="宋体" w:cs="宋体"/>
          <w:kern w:val="2"/>
          <w:sz w:val="24"/>
          <w:szCs w:val="22"/>
        </w:rPr>
        <w:t>球阀，</w:t>
      </w:r>
      <w:r>
        <w:rPr>
          <w:rFonts w:hint="eastAsia" w:ascii="宋体" w:hAnsi="宋体" w:cs="宋体"/>
          <w:kern w:val="2"/>
          <w:sz w:val="24"/>
          <w:szCs w:val="22"/>
          <w:lang w:val="zh-CN"/>
        </w:rPr>
        <w:t>口径</w:t>
      </w:r>
      <w:r>
        <w:rPr>
          <w:rFonts w:hint="eastAsia" w:ascii="宋体" w:hAnsi="宋体" w:cs="宋体"/>
          <w:kern w:val="2"/>
          <w:sz w:val="24"/>
          <w:szCs w:val="22"/>
        </w:rPr>
        <w:t>DN</w:t>
      </w:r>
      <w:r>
        <w:rPr>
          <w:rFonts w:hint="eastAsia" w:ascii="宋体" w:hAnsi="宋体" w:cs="宋体"/>
          <w:kern w:val="2"/>
          <w:sz w:val="24"/>
          <w:szCs w:val="22"/>
          <w:lang w:val="zh-CN"/>
        </w:rPr>
        <w:t>600；压力等级≥PN16；密封等级</w:t>
      </w:r>
      <w:r>
        <w:rPr>
          <w:rFonts w:hint="eastAsia" w:ascii="宋体" w:hAnsi="宋体" w:cs="宋体"/>
          <w:kern w:val="2"/>
          <w:sz w:val="24"/>
          <w:szCs w:val="22"/>
        </w:rPr>
        <w:t>≥</w:t>
      </w:r>
      <w:r>
        <w:rPr>
          <w:rFonts w:hint="eastAsia" w:ascii="宋体" w:hAnsi="宋体" w:cs="宋体"/>
          <w:kern w:val="2"/>
          <w:sz w:val="24"/>
          <w:szCs w:val="22"/>
          <w:lang w:val="zh-CN"/>
        </w:rPr>
        <w:t xml:space="preserve"> Ⅴ</w:t>
      </w:r>
      <w:r>
        <w:rPr>
          <w:rFonts w:hint="eastAsia" w:ascii="宋体" w:hAnsi="宋体" w:cs="宋体"/>
          <w:kern w:val="2"/>
          <w:sz w:val="24"/>
          <w:szCs w:val="22"/>
        </w:rPr>
        <w:t>级；</w:t>
      </w:r>
      <w:r>
        <w:rPr>
          <w:rFonts w:hint="eastAsia" w:ascii="宋体" w:hAnsi="宋体" w:cs="宋体"/>
          <w:kern w:val="2"/>
          <w:sz w:val="24"/>
          <w:szCs w:val="22"/>
          <w:lang w:val="zh-CN"/>
        </w:rPr>
        <w:t>适用温度：-40℃~250℃；</w:t>
      </w:r>
    </w:p>
    <w:p w14:paraId="7582915F">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装锅阀执行机构扭矩设计合理，阀门开关时间10~60s可调；执行机构配置安全</w:t>
      </w:r>
      <w:r>
        <w:rPr>
          <w:rFonts w:hint="eastAsia" w:ascii="宋体" w:hAnsi="宋体" w:cs="宋体"/>
          <w:kern w:val="2"/>
          <w:sz w:val="24"/>
          <w:szCs w:val="22"/>
        </w:rPr>
        <w:t>锁定</w:t>
      </w:r>
      <w:r>
        <w:rPr>
          <w:rFonts w:hint="eastAsia" w:ascii="宋体" w:hAnsi="宋体" w:cs="宋体"/>
          <w:kern w:val="2"/>
          <w:sz w:val="24"/>
          <w:szCs w:val="22"/>
          <w:lang w:val="zh-CN"/>
        </w:rPr>
        <w:t>装置，</w:t>
      </w:r>
      <w:r>
        <w:rPr>
          <w:rFonts w:hint="eastAsia" w:ascii="宋体" w:hAnsi="宋体" w:cs="宋体"/>
          <w:kern w:val="2"/>
          <w:sz w:val="24"/>
          <w:szCs w:val="22"/>
        </w:rPr>
        <w:t>带</w:t>
      </w:r>
      <w:r>
        <w:rPr>
          <w:rFonts w:hint="eastAsia" w:ascii="宋体" w:hAnsi="宋体" w:cs="宋体"/>
          <w:kern w:val="2"/>
          <w:sz w:val="24"/>
          <w:szCs w:val="22"/>
          <w:lang w:val="zh-CN"/>
        </w:rPr>
        <w:t>3对独立开关</w:t>
      </w:r>
      <w:r>
        <w:rPr>
          <w:rFonts w:hint="eastAsia" w:ascii="宋体" w:hAnsi="宋体" w:cs="宋体"/>
          <w:kern w:val="2"/>
          <w:sz w:val="24"/>
          <w:szCs w:val="22"/>
        </w:rPr>
        <w:t>位置</w:t>
      </w:r>
      <w:r>
        <w:rPr>
          <w:rFonts w:hint="eastAsia" w:ascii="宋体" w:hAnsi="宋体" w:cs="宋体"/>
          <w:kern w:val="2"/>
          <w:sz w:val="24"/>
          <w:szCs w:val="22"/>
          <w:lang w:val="zh-CN"/>
        </w:rPr>
        <w:t>反馈，带空气过滤减压</w:t>
      </w:r>
      <w:r>
        <w:rPr>
          <w:rFonts w:hint="eastAsia" w:ascii="宋体" w:hAnsi="宋体" w:cs="宋体"/>
          <w:kern w:val="2"/>
          <w:sz w:val="24"/>
          <w:szCs w:val="22"/>
        </w:rPr>
        <w:t>阀</w:t>
      </w:r>
      <w:r>
        <w:rPr>
          <w:rFonts w:hint="eastAsia" w:ascii="宋体" w:hAnsi="宋体" w:cs="宋体"/>
          <w:kern w:val="2"/>
          <w:sz w:val="24"/>
          <w:szCs w:val="22"/>
          <w:lang w:val="zh-CN"/>
        </w:rPr>
        <w:t>；</w:t>
      </w:r>
      <w:r>
        <w:rPr>
          <w:rFonts w:hint="eastAsia" w:ascii="宋体" w:hAnsi="宋体" w:cs="宋体"/>
          <w:kern w:val="2"/>
          <w:sz w:val="24"/>
          <w:szCs w:val="22"/>
        </w:rPr>
        <w:t>阀体</w:t>
      </w:r>
      <w:r>
        <w:rPr>
          <w:rFonts w:hint="eastAsia" w:ascii="宋体" w:hAnsi="宋体" w:cs="宋体"/>
          <w:kern w:val="2"/>
          <w:sz w:val="24"/>
          <w:szCs w:val="22"/>
          <w:lang w:val="zh-CN"/>
        </w:rPr>
        <w:t>两个压力测量口；</w:t>
      </w:r>
      <w:r>
        <w:rPr>
          <w:rFonts w:hint="eastAsia" w:ascii="宋体" w:hAnsi="宋体" w:cs="宋体"/>
          <w:kern w:val="2"/>
          <w:sz w:val="24"/>
          <w:szCs w:val="22"/>
        </w:rPr>
        <w:t>阀座密封带有清洁阀芯表面的功能，</w:t>
      </w:r>
      <w:r>
        <w:rPr>
          <w:rFonts w:hint="eastAsia" w:ascii="宋体" w:hAnsi="宋体" w:cs="宋体"/>
          <w:kern w:val="2"/>
          <w:sz w:val="24"/>
          <w:szCs w:val="22"/>
          <w:lang w:val="zh-CN"/>
        </w:rPr>
        <w:t>所有驱动轴都有保护轴承；</w:t>
      </w:r>
    </w:p>
    <w:p w14:paraId="05375AB7">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装锅阀阀体材质不低于CF8M(即ANSI 316)不锈钢；阀芯材质不低于CF8M(即ANSI 316)不锈钢+硬铬镀层。</w:t>
      </w:r>
    </w:p>
    <w:p w14:paraId="20BD3EA1">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bookmarkStart w:id="275" w:name="_Toc4791"/>
      <w:bookmarkStart w:id="276" w:name="_Toc11570"/>
      <w:bookmarkStart w:id="277" w:name="_Toc3183"/>
      <w:r>
        <w:rPr>
          <w:rFonts w:hint="eastAsia" w:ascii="宋体" w:hAnsi="宋体" w:cs="宋体"/>
          <w:b/>
          <w:bCs/>
          <w:sz w:val="24"/>
          <w:szCs w:val="24"/>
          <w:lang w:val="zh-CN"/>
        </w:rPr>
        <w:t>放锅阀</w:t>
      </w:r>
      <w:r>
        <w:rPr>
          <w:rFonts w:hint="eastAsia" w:ascii="宋体" w:hAnsi="宋体" w:cs="宋体"/>
          <w:b/>
          <w:bCs/>
          <w:sz w:val="24"/>
          <w:szCs w:val="24"/>
        </w:rPr>
        <w:t>及附件配置基本要求</w:t>
      </w:r>
      <w:bookmarkEnd w:id="275"/>
      <w:bookmarkEnd w:id="276"/>
      <w:bookmarkEnd w:id="277"/>
    </w:p>
    <w:p w14:paraId="0E2893E0">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放锅阀选用质量可靠且在置换蒸煮工艺使用业绩较好的</w:t>
      </w:r>
      <w:r>
        <w:rPr>
          <w:rFonts w:hint="eastAsia" w:ascii="宋体" w:hAnsi="宋体" w:cs="宋体"/>
          <w:kern w:val="2"/>
          <w:sz w:val="24"/>
          <w:szCs w:val="22"/>
        </w:rPr>
        <w:t>国内外</w:t>
      </w:r>
      <w:r>
        <w:rPr>
          <w:rFonts w:hint="eastAsia" w:ascii="宋体" w:hAnsi="宋体" w:cs="宋体"/>
          <w:kern w:val="2"/>
          <w:sz w:val="24"/>
          <w:szCs w:val="22"/>
          <w:lang w:val="zh-CN"/>
        </w:rPr>
        <w:t>一线品牌；</w:t>
      </w:r>
    </w:p>
    <w:p w14:paraId="4939CB3C">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放锅阀</w:t>
      </w:r>
      <w:r>
        <w:rPr>
          <w:rFonts w:hint="eastAsia" w:ascii="宋体" w:hAnsi="宋体" w:cs="宋体"/>
          <w:kern w:val="2"/>
          <w:sz w:val="24"/>
          <w:szCs w:val="22"/>
        </w:rPr>
        <w:t>为</w:t>
      </w:r>
      <w:r>
        <w:rPr>
          <w:rFonts w:hint="eastAsia" w:ascii="宋体" w:hAnsi="宋体" w:cs="宋体"/>
          <w:kern w:val="2"/>
          <w:sz w:val="24"/>
          <w:szCs w:val="22"/>
          <w:lang w:val="zh-CN"/>
        </w:rPr>
        <w:t>全通径双向全金属硬密封O型</w:t>
      </w:r>
      <w:r>
        <w:rPr>
          <w:rFonts w:hint="eastAsia" w:ascii="宋体" w:hAnsi="宋体" w:cs="宋体"/>
          <w:kern w:val="2"/>
          <w:sz w:val="24"/>
          <w:szCs w:val="22"/>
        </w:rPr>
        <w:t>球阀，</w:t>
      </w:r>
      <w:r>
        <w:rPr>
          <w:rFonts w:hint="eastAsia" w:ascii="宋体" w:hAnsi="宋体" w:cs="宋体"/>
          <w:kern w:val="2"/>
          <w:sz w:val="24"/>
          <w:szCs w:val="22"/>
          <w:lang w:val="zh-CN"/>
        </w:rPr>
        <w:t>口径</w:t>
      </w:r>
      <w:r>
        <w:rPr>
          <w:rFonts w:hint="eastAsia" w:ascii="宋体" w:hAnsi="宋体" w:cs="宋体"/>
          <w:kern w:val="2"/>
          <w:sz w:val="24"/>
          <w:szCs w:val="22"/>
        </w:rPr>
        <w:t>≥DN450</w:t>
      </w:r>
      <w:r>
        <w:rPr>
          <w:rFonts w:hint="eastAsia" w:ascii="宋体" w:hAnsi="宋体" w:cs="宋体"/>
          <w:kern w:val="2"/>
          <w:sz w:val="24"/>
          <w:szCs w:val="22"/>
          <w:lang w:val="zh-CN"/>
        </w:rPr>
        <w:t>；压力等级≥PN</w:t>
      </w:r>
      <w:r>
        <w:rPr>
          <w:rFonts w:hint="eastAsia" w:ascii="宋体" w:hAnsi="宋体" w:cs="宋体"/>
          <w:kern w:val="2"/>
          <w:sz w:val="24"/>
          <w:szCs w:val="22"/>
        </w:rPr>
        <w:t>40</w:t>
      </w:r>
      <w:r>
        <w:rPr>
          <w:rFonts w:hint="eastAsia" w:ascii="宋体" w:hAnsi="宋体" w:cs="宋体"/>
          <w:kern w:val="2"/>
          <w:sz w:val="24"/>
          <w:szCs w:val="22"/>
          <w:lang w:val="zh-CN"/>
        </w:rPr>
        <w:t>；密封等级</w:t>
      </w:r>
      <w:r>
        <w:rPr>
          <w:rFonts w:hint="eastAsia" w:ascii="宋体" w:hAnsi="宋体" w:cs="宋体"/>
          <w:kern w:val="2"/>
          <w:sz w:val="24"/>
          <w:szCs w:val="22"/>
        </w:rPr>
        <w:t>≥</w:t>
      </w:r>
      <w:r>
        <w:rPr>
          <w:rFonts w:hint="eastAsia" w:ascii="宋体" w:hAnsi="宋体" w:cs="宋体"/>
          <w:kern w:val="2"/>
          <w:sz w:val="24"/>
          <w:szCs w:val="22"/>
          <w:lang w:val="zh-CN"/>
        </w:rPr>
        <w:t>Ⅴ</w:t>
      </w:r>
      <w:r>
        <w:rPr>
          <w:rFonts w:hint="eastAsia" w:ascii="宋体" w:hAnsi="宋体" w:cs="宋体"/>
          <w:kern w:val="2"/>
          <w:sz w:val="24"/>
          <w:szCs w:val="22"/>
        </w:rPr>
        <w:t>级；</w:t>
      </w:r>
      <w:r>
        <w:rPr>
          <w:rFonts w:hint="eastAsia" w:ascii="宋体" w:hAnsi="宋体" w:cs="宋体"/>
          <w:kern w:val="2"/>
          <w:sz w:val="24"/>
          <w:szCs w:val="22"/>
          <w:lang w:val="zh-CN"/>
        </w:rPr>
        <w:t>适用温度</w:t>
      </w:r>
      <w:r>
        <w:rPr>
          <w:rFonts w:hint="eastAsia" w:ascii="宋体" w:hAnsi="宋体" w:cs="宋体"/>
          <w:kern w:val="2"/>
          <w:sz w:val="24"/>
          <w:szCs w:val="22"/>
        </w:rPr>
        <w:t>按</w:t>
      </w:r>
      <w:r>
        <w:rPr>
          <w:rFonts w:hint="eastAsia" w:ascii="宋体" w:hAnsi="宋体" w:cs="宋体"/>
          <w:kern w:val="2"/>
          <w:sz w:val="24"/>
          <w:szCs w:val="22"/>
          <w:lang w:val="zh-CN"/>
        </w:rPr>
        <w:t>-40℃~</w:t>
      </w:r>
      <w:r>
        <w:rPr>
          <w:rFonts w:hint="eastAsia" w:ascii="宋体" w:hAnsi="宋体" w:cs="宋体"/>
          <w:kern w:val="2"/>
          <w:sz w:val="24"/>
          <w:szCs w:val="22"/>
        </w:rPr>
        <w:t>40</w:t>
      </w:r>
      <w:r>
        <w:rPr>
          <w:rFonts w:hint="eastAsia" w:ascii="宋体" w:hAnsi="宋体" w:cs="宋体"/>
          <w:kern w:val="2"/>
          <w:sz w:val="24"/>
          <w:szCs w:val="22"/>
          <w:lang w:val="zh-CN"/>
        </w:rPr>
        <w:t>0℃</w:t>
      </w:r>
      <w:r>
        <w:rPr>
          <w:rFonts w:hint="eastAsia" w:ascii="宋体" w:hAnsi="宋体" w:cs="宋体"/>
          <w:kern w:val="2"/>
          <w:sz w:val="24"/>
          <w:szCs w:val="22"/>
        </w:rPr>
        <w:t>设计</w:t>
      </w:r>
      <w:r>
        <w:rPr>
          <w:rFonts w:hint="eastAsia" w:ascii="宋体" w:hAnsi="宋体" w:cs="宋体"/>
          <w:kern w:val="2"/>
          <w:sz w:val="24"/>
          <w:szCs w:val="22"/>
          <w:lang w:val="zh-CN"/>
        </w:rPr>
        <w:t>；</w:t>
      </w:r>
      <w:r>
        <w:rPr>
          <w:rFonts w:hint="eastAsia" w:ascii="宋体" w:hAnsi="宋体" w:cs="宋体"/>
          <w:kern w:val="2"/>
          <w:sz w:val="24"/>
          <w:szCs w:val="22"/>
        </w:rPr>
        <w:t>适应工况高温蒸煮浆液零泄漏；</w:t>
      </w:r>
    </w:p>
    <w:p w14:paraId="7D1DC0F4">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放锅阀执行机构执行机构扭矩设计合理，阀门开关时间10~60s可调；</w:t>
      </w:r>
      <w:r>
        <w:rPr>
          <w:rFonts w:hint="eastAsia" w:ascii="宋体" w:hAnsi="宋体" w:cs="宋体"/>
          <w:kern w:val="2"/>
          <w:sz w:val="24"/>
          <w:szCs w:val="22"/>
        </w:rPr>
        <w:t>阀座密封带有清洁阀芯表面的功能</w:t>
      </w:r>
      <w:r>
        <w:rPr>
          <w:rFonts w:hint="eastAsia" w:ascii="宋体" w:hAnsi="宋体" w:cs="宋体"/>
          <w:kern w:val="2"/>
          <w:sz w:val="24"/>
          <w:szCs w:val="22"/>
          <w:lang w:val="zh-CN"/>
        </w:rPr>
        <w:t>，所有驱动轴都有保护轴承；</w:t>
      </w:r>
    </w:p>
    <w:p w14:paraId="4A43F8FB">
      <w:pPr>
        <w:pStyle w:val="8"/>
        <w:numPr>
          <w:ilvl w:val="2"/>
          <w:numId w:val="9"/>
        </w:numPr>
        <w:tabs>
          <w:tab w:val="left" w:pos="992"/>
        </w:tabs>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阀体材质不低于CF8M(即ANSI 316)不锈钢；阀芯材质不低于CF8M(即ANSI 316)不锈钢+硬铬镀层；阀杆材质双相不锈钢或更好材质。</w:t>
      </w:r>
    </w:p>
    <w:p w14:paraId="7BDF0833">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bookmarkStart w:id="278" w:name="_Toc24302"/>
      <w:bookmarkStart w:id="279" w:name="_Toc10655"/>
      <w:bookmarkStart w:id="280" w:name="_Toc29535"/>
      <w:r>
        <w:rPr>
          <w:rFonts w:hint="eastAsia" w:ascii="宋体" w:hAnsi="宋体" w:cs="宋体"/>
          <w:b/>
          <w:bCs/>
          <w:sz w:val="24"/>
          <w:szCs w:val="24"/>
        </w:rPr>
        <w:t>蒸煮工段控制阀及附件配置基本要求</w:t>
      </w:r>
      <w:bookmarkEnd w:id="278"/>
      <w:bookmarkEnd w:id="279"/>
      <w:bookmarkEnd w:id="280"/>
    </w:p>
    <w:p w14:paraId="4DF9B32F">
      <w:pPr>
        <w:pStyle w:val="8"/>
        <w:numPr>
          <w:ilvl w:val="2"/>
          <w:numId w:val="9"/>
        </w:numPr>
        <w:snapToGrid w:val="0"/>
        <w:spacing w:before="100" w:after="100" w:line="360" w:lineRule="exact"/>
        <w:rPr>
          <w:rFonts w:ascii="宋体" w:hAnsi="宋体" w:cs="仿宋"/>
          <w:sz w:val="24"/>
          <w:szCs w:val="18"/>
        </w:rPr>
      </w:pPr>
      <w:r>
        <w:rPr>
          <w:rFonts w:hint="eastAsia" w:ascii="宋体" w:hAnsi="宋体" w:cs="仿宋"/>
          <w:sz w:val="24"/>
          <w:szCs w:val="18"/>
        </w:rPr>
        <w:t>蒸煮锅、带压槽罐：进液管线、出液管线、进排气管线、稀释液管线、加热蒸汽管线上的控制阀，这些控制阀须承受高温高压、强腐蚀、热力应力变化和水锤锤击等复杂工况，同时还须在系统之间起隔断和调节作用，可靠性尤为重要，关系到整个蒸煮系统的安全环保稳定运行，须选用在置换蒸煮使用业绩好的国际一线品牌，且设计公称压力P</w:t>
      </w:r>
      <w:r>
        <w:rPr>
          <w:rFonts w:ascii="宋体" w:hAnsi="宋体" w:cs="仿宋"/>
          <w:sz w:val="24"/>
          <w:szCs w:val="18"/>
        </w:rPr>
        <w:t>N</w:t>
      </w:r>
      <w:r>
        <w:rPr>
          <w:rFonts w:hint="eastAsia" w:ascii="宋体" w:hAnsi="宋体" w:cs="仿宋"/>
          <w:sz w:val="24"/>
          <w:szCs w:val="18"/>
        </w:rPr>
        <w:t>≥2</w:t>
      </w:r>
      <w:r>
        <w:rPr>
          <w:rFonts w:ascii="宋体" w:hAnsi="宋体" w:cs="仿宋"/>
          <w:sz w:val="24"/>
          <w:szCs w:val="18"/>
        </w:rPr>
        <w:t>5</w:t>
      </w:r>
      <w:r>
        <w:rPr>
          <w:rFonts w:hint="eastAsia" w:ascii="宋体" w:hAnsi="宋体" w:cs="仿宋"/>
          <w:sz w:val="24"/>
          <w:szCs w:val="18"/>
        </w:rPr>
        <w:t>；</w:t>
      </w:r>
    </w:p>
    <w:p w14:paraId="6DA1D47B">
      <w:pPr>
        <w:pStyle w:val="8"/>
        <w:numPr>
          <w:ilvl w:val="2"/>
          <w:numId w:val="9"/>
        </w:numPr>
        <w:snapToGrid w:val="0"/>
        <w:spacing w:before="100" w:after="100" w:line="360" w:lineRule="exact"/>
        <w:rPr>
          <w:rFonts w:ascii="宋体" w:hAnsi="宋体" w:cs="仿宋"/>
          <w:sz w:val="24"/>
          <w:szCs w:val="18"/>
        </w:rPr>
      </w:pPr>
      <w:r>
        <w:rPr>
          <w:rFonts w:hint="eastAsia" w:ascii="宋体" w:hAnsi="宋体" w:cs="仿宋"/>
          <w:sz w:val="24"/>
          <w:szCs w:val="18"/>
        </w:rPr>
        <w:t>臭气系统的控制阀，选用质量可靠的国际一线品牌；</w:t>
      </w:r>
    </w:p>
    <w:p w14:paraId="167CB54D">
      <w:pPr>
        <w:pStyle w:val="8"/>
        <w:numPr>
          <w:ilvl w:val="2"/>
          <w:numId w:val="9"/>
        </w:numPr>
        <w:snapToGrid w:val="0"/>
        <w:spacing w:before="100" w:after="100" w:line="360" w:lineRule="exact"/>
        <w:rPr>
          <w:rFonts w:ascii="宋体" w:hAnsi="宋体" w:cs="仿宋"/>
          <w:sz w:val="24"/>
          <w:szCs w:val="18"/>
        </w:rPr>
      </w:pPr>
      <w:r>
        <w:rPr>
          <w:rFonts w:hint="eastAsia" w:ascii="宋体" w:hAnsi="宋体" w:cs="宋体"/>
          <w:kern w:val="2"/>
          <w:sz w:val="24"/>
          <w:szCs w:val="22"/>
          <w:lang w:val="zh-CN"/>
        </w:rPr>
        <w:t>白液管线的控制阀</w:t>
      </w:r>
      <w:r>
        <w:rPr>
          <w:rFonts w:hint="eastAsia" w:ascii="宋体" w:hAnsi="宋体" w:cs="仿宋"/>
          <w:sz w:val="24"/>
          <w:szCs w:val="18"/>
        </w:rPr>
        <w:t>，选用质量可靠的国际一线品牌；</w:t>
      </w:r>
    </w:p>
    <w:p w14:paraId="1C5AD3A0">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rPr>
        <w:t>调节阀</w:t>
      </w:r>
      <w:r>
        <w:rPr>
          <w:rFonts w:hint="eastAsia" w:ascii="宋体" w:hAnsi="宋体" w:cs="宋体"/>
          <w:kern w:val="2"/>
          <w:sz w:val="24"/>
          <w:szCs w:val="22"/>
          <w:lang w:val="zh-CN"/>
        </w:rPr>
        <w:t>定位器选用质量可靠、稳定的</w:t>
      </w:r>
      <w:r>
        <w:rPr>
          <w:rFonts w:hint="eastAsia" w:ascii="宋体" w:hAnsi="宋体" w:cs="仿宋"/>
          <w:sz w:val="24"/>
          <w:szCs w:val="18"/>
        </w:rPr>
        <w:t>国际</w:t>
      </w:r>
      <w:r>
        <w:rPr>
          <w:rFonts w:hint="eastAsia" w:ascii="宋体" w:hAnsi="宋体" w:cs="宋体"/>
          <w:kern w:val="2"/>
          <w:sz w:val="24"/>
          <w:szCs w:val="22"/>
        </w:rPr>
        <w:t>一线品牌</w:t>
      </w:r>
      <w:r>
        <w:rPr>
          <w:rFonts w:hint="eastAsia" w:ascii="宋体" w:hAnsi="宋体" w:cs="宋体"/>
          <w:kern w:val="2"/>
          <w:sz w:val="24"/>
          <w:szCs w:val="22"/>
          <w:lang w:val="zh-CN"/>
        </w:rPr>
        <w:t>；工艺要求调节阀带有</w:t>
      </w:r>
      <w:r>
        <w:rPr>
          <w:rFonts w:hint="eastAsia" w:ascii="宋体" w:hAnsi="宋体" w:cs="宋体"/>
          <w:kern w:val="2"/>
          <w:sz w:val="24"/>
          <w:szCs w:val="22"/>
        </w:rPr>
        <w:t>阀位和开关</w:t>
      </w:r>
      <w:r>
        <w:rPr>
          <w:rFonts w:hint="eastAsia" w:ascii="宋体" w:hAnsi="宋体" w:cs="宋体"/>
          <w:kern w:val="2"/>
          <w:sz w:val="24"/>
          <w:szCs w:val="22"/>
          <w:lang w:val="zh-CN"/>
        </w:rPr>
        <w:t>位置反馈的，</w:t>
      </w:r>
      <w:r>
        <w:rPr>
          <w:rFonts w:hint="eastAsia" w:ascii="宋体" w:hAnsi="宋体" w:cs="宋体"/>
          <w:kern w:val="2"/>
          <w:sz w:val="24"/>
          <w:szCs w:val="22"/>
        </w:rPr>
        <w:t>阀门</w:t>
      </w:r>
      <w:r>
        <w:rPr>
          <w:rFonts w:hint="eastAsia" w:ascii="宋体" w:hAnsi="宋体" w:cs="宋体"/>
          <w:kern w:val="2"/>
          <w:sz w:val="24"/>
          <w:szCs w:val="22"/>
          <w:lang w:val="zh-CN"/>
        </w:rPr>
        <w:t>定位器采用智能式定位器；</w:t>
      </w:r>
    </w:p>
    <w:p w14:paraId="55595469">
      <w:pPr>
        <w:pStyle w:val="8"/>
        <w:numPr>
          <w:ilvl w:val="2"/>
          <w:numId w:val="9"/>
        </w:numPr>
        <w:snapToGrid w:val="0"/>
        <w:spacing w:before="100" w:after="100" w:line="360" w:lineRule="exact"/>
        <w:rPr>
          <w:rFonts w:ascii="宋体" w:hAnsi="宋体" w:cs="仿宋"/>
          <w:sz w:val="24"/>
          <w:szCs w:val="18"/>
        </w:rPr>
      </w:pPr>
      <w:r>
        <w:rPr>
          <w:rFonts w:hint="eastAsia" w:ascii="宋体" w:hAnsi="宋体" w:cs="仿宋"/>
          <w:sz w:val="24"/>
          <w:szCs w:val="18"/>
        </w:rPr>
        <w:t>需要双向密封起隔断作用的调节阀须选用O型球阀，密封等级≥V级；</w:t>
      </w:r>
    </w:p>
    <w:p w14:paraId="308F685A">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阀门材质</w:t>
      </w:r>
      <w:r>
        <w:rPr>
          <w:rFonts w:hint="eastAsia" w:ascii="宋体" w:hAnsi="宋体" w:cs="宋体"/>
          <w:sz w:val="24"/>
          <w:szCs w:val="24"/>
        </w:rPr>
        <w:t>要求</w:t>
      </w:r>
      <w:r>
        <w:rPr>
          <w:rFonts w:hint="eastAsia" w:ascii="宋体" w:hAnsi="宋体" w:cs="宋体"/>
          <w:sz w:val="24"/>
          <w:szCs w:val="24"/>
          <w:lang w:val="zh-CN"/>
        </w:rPr>
        <w:t>: 接触白液、白液气体和温黑液的控制阀，阀门整体材质为316或以上；接触热黑液、热白液的控制阀，阀门整体材质不低于双相不锈钢2</w:t>
      </w:r>
      <w:r>
        <w:rPr>
          <w:rFonts w:ascii="宋体" w:hAnsi="宋体" w:cs="宋体"/>
          <w:sz w:val="24"/>
          <w:szCs w:val="24"/>
          <w:lang w:val="zh-CN"/>
        </w:rPr>
        <w:t>205</w:t>
      </w:r>
      <w:r>
        <w:rPr>
          <w:rFonts w:hint="eastAsia" w:ascii="宋体" w:hAnsi="宋体" w:cs="宋体"/>
          <w:sz w:val="24"/>
          <w:szCs w:val="24"/>
          <w:lang w:val="zh-CN"/>
        </w:rPr>
        <w:t>；其他控制阀，阀门整体材质为304</w:t>
      </w:r>
      <w:r>
        <w:rPr>
          <w:rFonts w:hint="eastAsia" w:ascii="宋体" w:hAnsi="宋体" w:cs="宋体"/>
          <w:sz w:val="24"/>
          <w:szCs w:val="24"/>
        </w:rPr>
        <w:t>L</w:t>
      </w:r>
      <w:r>
        <w:rPr>
          <w:rFonts w:hint="eastAsia" w:ascii="宋体" w:hAnsi="宋体" w:cs="宋体"/>
          <w:sz w:val="24"/>
          <w:szCs w:val="24"/>
          <w:lang w:val="zh-CN"/>
        </w:rPr>
        <w:t>或以上；</w:t>
      </w:r>
    </w:p>
    <w:p w14:paraId="1F0DAC8B">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rPr>
        <w:t>阀门</w:t>
      </w:r>
      <w:r>
        <w:rPr>
          <w:rFonts w:hint="eastAsia" w:ascii="宋体" w:hAnsi="宋体" w:cs="宋体"/>
          <w:sz w:val="24"/>
          <w:szCs w:val="24"/>
          <w:lang w:val="zh-CN"/>
        </w:rPr>
        <w:t>防腐和耐磨处理：阀座和阀芯兼顾防腐和耐磨要求，阀座采用斯钛莱合金、钴基合金堆焊或优于以上工艺，阀芯采用镀硬铬合金或优于以上工艺；</w:t>
      </w:r>
    </w:p>
    <w:p w14:paraId="38A9D573">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阀座与阀体密封：接触黑液的控制阀，阀座与阀体密封要有</w:t>
      </w:r>
      <w:r>
        <w:rPr>
          <w:rFonts w:hint="eastAsia" w:ascii="宋体" w:hAnsi="宋体" w:cs="宋体"/>
          <w:kern w:val="2"/>
          <w:sz w:val="24"/>
          <w:szCs w:val="22"/>
        </w:rPr>
        <w:t>针对性、</w:t>
      </w:r>
      <w:r>
        <w:rPr>
          <w:rFonts w:hint="eastAsia" w:ascii="宋体" w:hAnsi="宋体" w:cs="宋体"/>
          <w:kern w:val="2"/>
          <w:sz w:val="24"/>
          <w:szCs w:val="22"/>
          <w:lang w:val="zh-CN"/>
        </w:rPr>
        <w:t>可靠的密封结构</w:t>
      </w:r>
      <w:r>
        <w:rPr>
          <w:rFonts w:hint="eastAsia" w:ascii="宋体" w:hAnsi="宋体" w:cs="宋体"/>
          <w:kern w:val="2"/>
          <w:sz w:val="24"/>
          <w:szCs w:val="22"/>
        </w:rPr>
        <w:t>设计</w:t>
      </w:r>
      <w:r>
        <w:rPr>
          <w:rFonts w:hint="eastAsia" w:ascii="宋体" w:hAnsi="宋体" w:cs="宋体"/>
          <w:kern w:val="2"/>
          <w:sz w:val="24"/>
          <w:szCs w:val="22"/>
          <w:lang w:val="zh-CN"/>
        </w:rPr>
        <w:t>和密封材料，</w:t>
      </w:r>
      <w:r>
        <w:rPr>
          <w:rFonts w:hint="eastAsia" w:ascii="宋体" w:hAnsi="宋体" w:cs="宋体"/>
          <w:kern w:val="2"/>
          <w:sz w:val="24"/>
          <w:szCs w:val="22"/>
        </w:rPr>
        <w:t>阀座密封带有清洁阀芯表面的功能</w:t>
      </w:r>
      <w:r>
        <w:rPr>
          <w:rFonts w:hint="eastAsia" w:ascii="宋体" w:hAnsi="宋体" w:cs="宋体"/>
          <w:kern w:val="2"/>
          <w:sz w:val="24"/>
          <w:szCs w:val="22"/>
          <w:lang w:val="zh-CN"/>
        </w:rPr>
        <w:t>；</w:t>
      </w:r>
    </w:p>
    <w:p w14:paraId="7680BC50">
      <w:pPr>
        <w:pStyle w:val="8"/>
        <w:numPr>
          <w:ilvl w:val="2"/>
          <w:numId w:val="9"/>
        </w:numPr>
        <w:autoSpaceDE/>
        <w:autoSpaceDN/>
        <w:adjustRightInd/>
        <w:snapToGrid w:val="0"/>
        <w:spacing w:before="100" w:after="100" w:line="360" w:lineRule="exact"/>
        <w:textAlignment w:val="auto"/>
        <w:rPr>
          <w:rFonts w:ascii="宋体" w:hAnsi="宋体" w:cs="宋体"/>
          <w:kern w:val="2"/>
          <w:szCs w:val="24"/>
          <w:lang w:val="zh-CN"/>
        </w:rPr>
      </w:pPr>
      <w:r>
        <w:rPr>
          <w:rFonts w:hint="eastAsia" w:ascii="宋体" w:hAnsi="宋体" w:cs="宋体"/>
          <w:kern w:val="2"/>
          <w:sz w:val="24"/>
          <w:szCs w:val="22"/>
          <w:lang w:val="zh-CN"/>
        </w:rPr>
        <w:t>控制阀执行机构力矩</w:t>
      </w:r>
      <w:r>
        <w:rPr>
          <w:rFonts w:hint="eastAsia" w:ascii="宋体" w:hAnsi="宋体" w:cs="宋体"/>
          <w:kern w:val="2"/>
          <w:sz w:val="24"/>
          <w:szCs w:val="22"/>
        </w:rPr>
        <w:t>设计</w:t>
      </w:r>
      <w:r>
        <w:rPr>
          <w:rFonts w:hint="eastAsia" w:ascii="宋体" w:hAnsi="宋体" w:cs="宋体"/>
          <w:kern w:val="2"/>
          <w:sz w:val="24"/>
          <w:szCs w:val="22"/>
          <w:lang w:val="zh-CN"/>
        </w:rPr>
        <w:t>按气源压力</w:t>
      </w:r>
      <w:r>
        <w:rPr>
          <w:rFonts w:ascii="宋体" w:hAnsi="宋体" w:cs="宋体"/>
          <w:kern w:val="2"/>
          <w:sz w:val="24"/>
          <w:szCs w:val="22"/>
          <w:lang w:val="zh-CN"/>
        </w:rPr>
        <w:t>4</w:t>
      </w:r>
      <w:r>
        <w:rPr>
          <w:rFonts w:hint="eastAsia" w:ascii="宋体" w:hAnsi="宋体" w:cs="宋体"/>
          <w:kern w:val="2"/>
          <w:sz w:val="24"/>
          <w:szCs w:val="22"/>
          <w:lang w:val="zh-CN"/>
        </w:rPr>
        <w:t>.</w:t>
      </w:r>
      <w:r>
        <w:rPr>
          <w:rFonts w:ascii="宋体" w:hAnsi="宋体" w:cs="宋体"/>
          <w:kern w:val="2"/>
          <w:sz w:val="24"/>
          <w:szCs w:val="22"/>
          <w:lang w:val="zh-CN"/>
        </w:rPr>
        <w:t>5B</w:t>
      </w:r>
      <w:r>
        <w:rPr>
          <w:rFonts w:hint="eastAsia" w:ascii="宋体" w:hAnsi="宋体" w:cs="宋体"/>
          <w:kern w:val="2"/>
          <w:sz w:val="24"/>
          <w:szCs w:val="22"/>
          <w:lang w:val="zh-CN"/>
        </w:rPr>
        <w:t>ar计算。</w:t>
      </w:r>
    </w:p>
    <w:p w14:paraId="6DD0FEC2">
      <w:pPr>
        <w:pStyle w:val="8"/>
        <w:autoSpaceDE/>
        <w:autoSpaceDN/>
        <w:adjustRightInd/>
        <w:snapToGrid w:val="0"/>
        <w:spacing w:before="100" w:after="100" w:line="360" w:lineRule="exact"/>
        <w:ind w:left="879"/>
        <w:textAlignment w:val="auto"/>
        <w:rPr>
          <w:rFonts w:ascii="宋体" w:hAnsi="宋体" w:cs="宋体"/>
          <w:kern w:val="2"/>
          <w:szCs w:val="24"/>
          <w:lang w:val="zh-CN"/>
        </w:rPr>
      </w:pPr>
    </w:p>
    <w:p w14:paraId="4EA5A804">
      <w:pPr>
        <w:pStyle w:val="8"/>
        <w:numPr>
          <w:ilvl w:val="1"/>
          <w:numId w:val="9"/>
        </w:numPr>
        <w:autoSpaceDE/>
        <w:autoSpaceDN/>
        <w:adjustRightInd/>
        <w:snapToGrid w:val="0"/>
        <w:spacing w:before="100" w:after="100" w:line="360" w:lineRule="exact"/>
        <w:textAlignment w:val="auto"/>
        <w:outlineLvl w:val="1"/>
        <w:rPr>
          <w:rFonts w:ascii="宋体" w:hAnsi="宋体" w:cs="宋体"/>
          <w:b/>
          <w:bCs/>
          <w:kern w:val="2"/>
          <w:szCs w:val="24"/>
        </w:rPr>
      </w:pPr>
      <w:bookmarkStart w:id="281" w:name="_Toc18764"/>
      <w:bookmarkStart w:id="282" w:name="_Toc1599"/>
      <w:bookmarkStart w:id="283" w:name="_Toc26555"/>
      <w:r>
        <w:rPr>
          <w:rFonts w:hint="eastAsia" w:ascii="宋体" w:hAnsi="宋体" w:cs="宋体"/>
          <w:b/>
          <w:bCs/>
          <w:kern w:val="2"/>
          <w:szCs w:val="24"/>
        </w:rPr>
        <w:t>洗选和备料工段控制阀基本技术要求</w:t>
      </w:r>
      <w:bookmarkEnd w:id="281"/>
      <w:bookmarkEnd w:id="282"/>
      <w:bookmarkEnd w:id="283"/>
    </w:p>
    <w:p w14:paraId="1DB00CC0">
      <w:pPr>
        <w:numPr>
          <w:ilvl w:val="2"/>
          <w:numId w:val="9"/>
        </w:numPr>
        <w:tabs>
          <w:tab w:val="left" w:pos="1260"/>
          <w:tab w:val="left" w:pos="1365"/>
          <w:tab w:val="left" w:pos="1680"/>
        </w:tabs>
        <w:snapToGrid w:val="0"/>
        <w:spacing w:before="100" w:after="100" w:line="360" w:lineRule="exact"/>
        <w:ind w:right="120" w:rightChars="43"/>
        <w:rPr>
          <w:rFonts w:ascii="宋体" w:hAnsi="宋体" w:cs="宋体"/>
          <w:sz w:val="24"/>
          <w:szCs w:val="24"/>
          <w:lang w:val="zh-CN"/>
        </w:rPr>
      </w:pPr>
      <w:r>
        <w:rPr>
          <w:rFonts w:hint="eastAsia" w:ascii="宋体" w:hAnsi="宋体" w:cs="宋体"/>
          <w:sz w:val="24"/>
          <w:szCs w:val="24"/>
          <w:lang w:val="zh-CN"/>
        </w:rPr>
        <w:t>球阀</w:t>
      </w:r>
    </w:p>
    <w:p w14:paraId="77C76098">
      <w:pPr>
        <w:tabs>
          <w:tab w:val="left" w:pos="1260"/>
          <w:tab w:val="left" w:pos="1365"/>
          <w:tab w:val="left" w:pos="1680"/>
        </w:tabs>
        <w:snapToGrid w:val="0"/>
        <w:spacing w:before="100" w:after="100" w:line="360" w:lineRule="exact"/>
        <w:ind w:left="851" w:right="120" w:rightChars="43"/>
        <w:rPr>
          <w:rFonts w:ascii="宋体" w:hAnsi="宋体" w:cs="宋体"/>
          <w:sz w:val="24"/>
          <w:szCs w:val="24"/>
          <w:lang w:val="zh-CN"/>
        </w:rPr>
      </w:pPr>
      <w:r>
        <w:rPr>
          <w:rFonts w:hint="eastAsia" w:ascii="宋体" w:hAnsi="宋体" w:cs="宋体"/>
          <w:sz w:val="24"/>
          <w:szCs w:val="24"/>
          <w:lang w:val="zh-CN"/>
        </w:rPr>
        <w:t>阀门材质根据工艺介质特性选择；阀座材料一般介质选用不锈钢304L及以上，堆焊斯钛莱合金，特殊介质要考虑防腐、耐磨等材质，黑液介质需要选用防结垢设计，阀座与阀体密封要有</w:t>
      </w:r>
      <w:r>
        <w:rPr>
          <w:rFonts w:hint="eastAsia" w:ascii="宋体" w:hAnsi="宋体" w:cs="宋体"/>
          <w:sz w:val="24"/>
          <w:szCs w:val="24"/>
        </w:rPr>
        <w:t>针对性、</w:t>
      </w:r>
      <w:r>
        <w:rPr>
          <w:rFonts w:hint="eastAsia" w:ascii="宋体" w:hAnsi="宋体" w:cs="宋体"/>
          <w:sz w:val="24"/>
          <w:szCs w:val="24"/>
          <w:lang w:val="zh-CN"/>
        </w:rPr>
        <w:t>可靠的密封结构</w:t>
      </w:r>
      <w:r>
        <w:rPr>
          <w:rFonts w:hint="eastAsia" w:ascii="宋体" w:hAnsi="宋体" w:cs="宋体"/>
          <w:sz w:val="24"/>
          <w:szCs w:val="24"/>
        </w:rPr>
        <w:t>设计</w:t>
      </w:r>
      <w:r>
        <w:rPr>
          <w:rFonts w:hint="eastAsia" w:ascii="宋体" w:hAnsi="宋体" w:cs="宋体"/>
          <w:sz w:val="24"/>
          <w:szCs w:val="24"/>
          <w:lang w:val="zh-CN"/>
        </w:rPr>
        <w:t>和密封材料，阀座密封带有清洁阀芯表面的功能；阀芯材料一般介质至少选用304L及以上，阀芯表面镀硬铬处理,特殊介质要考虑防腐、耐磨等材质。阀杆材料 17-4PH/316不锈钢</w:t>
      </w:r>
      <w:r>
        <w:rPr>
          <w:rFonts w:hint="eastAsia" w:ascii="宋体" w:hAnsi="宋体" w:cs="宋体"/>
          <w:sz w:val="24"/>
          <w:szCs w:val="24"/>
        </w:rPr>
        <w:t>以上</w:t>
      </w:r>
      <w:r>
        <w:rPr>
          <w:rFonts w:hint="eastAsia" w:ascii="宋体" w:hAnsi="宋体" w:cs="宋体"/>
          <w:sz w:val="24"/>
          <w:szCs w:val="24"/>
          <w:lang w:val="zh-CN"/>
        </w:rPr>
        <w:t>；“V” 型球阀整体式阀体结构；“O”型球阀分体式阀体结构；驱动轴应有保护轴承;调节阀硬密封至少ANSI Class Ⅳ，开关切断阀硬密封至少ANSI Class V。</w:t>
      </w:r>
    </w:p>
    <w:p w14:paraId="04D173A6">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蝶阀</w:t>
      </w:r>
    </w:p>
    <w:p w14:paraId="6B5E9C80">
      <w:pPr>
        <w:tabs>
          <w:tab w:val="left" w:pos="1260"/>
          <w:tab w:val="left" w:pos="1365"/>
          <w:tab w:val="left" w:pos="1680"/>
        </w:tabs>
        <w:snapToGrid w:val="0"/>
        <w:spacing w:before="100" w:after="100" w:line="360" w:lineRule="exact"/>
        <w:ind w:left="851" w:right="120" w:rightChars="43"/>
        <w:rPr>
          <w:rFonts w:ascii="宋体" w:hAnsi="宋体" w:cs="宋体"/>
          <w:sz w:val="24"/>
          <w:szCs w:val="24"/>
          <w:lang w:val="zh-CN"/>
        </w:rPr>
      </w:pPr>
      <w:r>
        <w:rPr>
          <w:rFonts w:hint="eastAsia" w:ascii="宋体" w:hAnsi="宋体" w:cs="宋体"/>
          <w:sz w:val="24"/>
          <w:szCs w:val="24"/>
          <w:lang w:val="zh-CN"/>
        </w:rPr>
        <w:t>阀门材质：根据工艺介质特性选择 ；阀座材料：一般介质选用304L及以上，堆焊司钛莱合金，特殊介质要考虑防腐、耐磨等材质；阀芯材</w:t>
      </w:r>
      <w:r>
        <w:rPr>
          <w:rFonts w:hint="eastAsia" w:ascii="宋体" w:hAnsi="宋体" w:cs="宋体"/>
          <w:sz w:val="24"/>
          <w:szCs w:val="24"/>
        </w:rPr>
        <w:t>质</w:t>
      </w:r>
      <w:r>
        <w:rPr>
          <w:rFonts w:hint="eastAsia" w:ascii="宋体" w:hAnsi="宋体" w:cs="宋体"/>
          <w:sz w:val="24"/>
          <w:szCs w:val="24"/>
          <w:lang w:val="zh-CN"/>
        </w:rPr>
        <w:t>：一般介质选用304L，阀芯表面镀硬铬处理；特殊介质要考虑防腐、耐磨等材质。阀杆材料: 304</w:t>
      </w:r>
      <w:r>
        <w:rPr>
          <w:rFonts w:hint="eastAsia" w:ascii="宋体" w:hAnsi="宋体" w:cs="宋体"/>
          <w:sz w:val="24"/>
          <w:szCs w:val="24"/>
        </w:rPr>
        <w:t>L</w:t>
      </w:r>
      <w:r>
        <w:rPr>
          <w:rFonts w:hint="eastAsia" w:ascii="宋体" w:hAnsi="宋体" w:cs="宋体"/>
          <w:sz w:val="24"/>
          <w:szCs w:val="24"/>
          <w:lang w:val="zh-CN"/>
        </w:rPr>
        <w:t>及以上不锈钢；偏心设计，一般选择双偏芯蝶阀，当工艺有较高要求时选择三偏芯蝶阀;双向机械密封;整体式阀体结构，驱动轴应有保护轴承；调节阀硬密封至少ANSI Class Ⅳ，开关切断阀硬密封至少ANSI Class V；适用温度-40℃—200℃；气动执行机构气缸内表面应做防腐处理。</w:t>
      </w:r>
    </w:p>
    <w:p w14:paraId="595E31A0">
      <w:pPr>
        <w:pStyle w:val="8"/>
        <w:numPr>
          <w:ilvl w:val="2"/>
          <w:numId w:val="9"/>
        </w:numPr>
        <w:snapToGrid w:val="0"/>
        <w:spacing w:before="100" w:after="100" w:line="360" w:lineRule="exact"/>
        <w:rPr>
          <w:sz w:val="24"/>
          <w:szCs w:val="18"/>
        </w:rPr>
      </w:pPr>
      <w:r>
        <w:rPr>
          <w:rFonts w:hint="eastAsia" w:ascii="宋体" w:hAnsi="宋体" w:cs="宋体"/>
          <w:sz w:val="24"/>
          <w:szCs w:val="22"/>
        </w:rPr>
        <w:t>闸板阀材质SS304</w:t>
      </w:r>
      <w:r>
        <w:rPr>
          <w:rFonts w:hint="eastAsia" w:ascii="宋体" w:hAnsi="宋体" w:cs="宋体"/>
          <w:sz w:val="24"/>
          <w:szCs w:val="22"/>
          <w:lang w:val="zh-CN"/>
        </w:rPr>
        <w:t>L及以上，</w:t>
      </w:r>
      <w:r>
        <w:rPr>
          <w:rFonts w:hint="eastAsia" w:ascii="宋体" w:hAnsi="宋体" w:cs="宋体"/>
          <w:sz w:val="24"/>
          <w:szCs w:val="22"/>
        </w:rPr>
        <w:t>闸板防腐耐磨处理</w:t>
      </w:r>
      <w:r>
        <w:rPr>
          <w:rFonts w:hint="eastAsia" w:ascii="宋体" w:hAnsi="宋体" w:cs="宋体"/>
          <w:sz w:val="24"/>
          <w:szCs w:val="22"/>
          <w:lang w:val="zh-CN"/>
        </w:rPr>
        <w:t>。</w:t>
      </w:r>
    </w:p>
    <w:p w14:paraId="21FDFEFF">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bookmarkStart w:id="284" w:name="_Toc2505"/>
      <w:bookmarkStart w:id="285" w:name="_Toc11752"/>
      <w:bookmarkStart w:id="286" w:name="_Toc10900"/>
      <w:r>
        <w:rPr>
          <w:rFonts w:hint="eastAsia" w:ascii="宋体" w:hAnsi="宋体" w:cs="宋体"/>
          <w:b/>
          <w:bCs/>
          <w:sz w:val="24"/>
          <w:szCs w:val="24"/>
        </w:rPr>
        <w:t>电磁流量计及附件配置技术要求</w:t>
      </w:r>
      <w:bookmarkEnd w:id="284"/>
      <w:bookmarkEnd w:id="285"/>
      <w:bookmarkEnd w:id="286"/>
    </w:p>
    <w:p w14:paraId="71DC08B8">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介质为浆、白液、黑液、工业水等</w:t>
      </w:r>
      <w:r>
        <w:rPr>
          <w:rFonts w:hint="eastAsia" w:ascii="宋体" w:hAnsi="宋体" w:cs="宋体"/>
          <w:kern w:val="2"/>
          <w:sz w:val="24"/>
          <w:szCs w:val="22"/>
        </w:rPr>
        <w:t>导电介质</w:t>
      </w:r>
      <w:r>
        <w:rPr>
          <w:rFonts w:hint="eastAsia" w:ascii="宋体" w:hAnsi="宋体" w:cs="宋体"/>
          <w:kern w:val="2"/>
          <w:sz w:val="24"/>
          <w:szCs w:val="22"/>
          <w:lang w:val="zh-CN"/>
        </w:rPr>
        <w:t>均采用电磁流量计；浆液流量采用双频或多频励磁电磁流量计；</w:t>
      </w:r>
    </w:p>
    <w:p w14:paraId="418B8147">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测量要求：不受含气率影响，具有含气检测管理功能，可保证在含气液体中稳定测量；正、反向测量显示；测量误差：±0.5%;重复性：±0.05%。介质电导率：&gt;5μS/cm;流速范围:0.3~12m/s;额定压力：1.0MPa~4.0MPa;防护类别：IP67;输出信号：4~20mA;通讯： Hart 通讯协议;显示器、累计器：字母/数字型，流量，累计流量，故障显示;适用电源：220V AC ;MP 磁棒编程（如果有）；</w:t>
      </w:r>
    </w:p>
    <w:p w14:paraId="4BC32A65">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rPr>
        <w:t>蒸煮工段热白液和热黑液</w:t>
      </w:r>
      <w:r>
        <w:rPr>
          <w:rFonts w:hint="eastAsia" w:ascii="宋体" w:hAnsi="宋体" w:cs="宋体"/>
          <w:kern w:val="2"/>
          <w:sz w:val="24"/>
          <w:szCs w:val="22"/>
          <w:lang w:val="zh-CN"/>
        </w:rPr>
        <w:t>流量计选用</w:t>
      </w:r>
      <w:r>
        <w:rPr>
          <w:rFonts w:hint="eastAsia" w:ascii="宋体" w:hAnsi="宋体" w:cs="宋体"/>
          <w:kern w:val="2"/>
          <w:sz w:val="24"/>
          <w:szCs w:val="22"/>
        </w:rPr>
        <w:t>高温型（耐温≥175℃）电磁流量计，</w:t>
      </w:r>
      <w:r>
        <w:rPr>
          <w:rFonts w:hint="eastAsia" w:ascii="宋体" w:hAnsi="宋体" w:cs="宋体"/>
          <w:kern w:val="2"/>
          <w:sz w:val="24"/>
          <w:szCs w:val="22"/>
          <w:lang w:val="zh-CN"/>
        </w:rPr>
        <w:t>且在置换蒸煮工艺使用业绩较好的</w:t>
      </w:r>
      <w:r>
        <w:rPr>
          <w:rFonts w:hint="eastAsia" w:ascii="宋体" w:hAnsi="宋体" w:cs="宋体"/>
          <w:kern w:val="2"/>
          <w:sz w:val="24"/>
          <w:szCs w:val="22"/>
        </w:rPr>
        <w:t>国际一线</w:t>
      </w:r>
      <w:r>
        <w:rPr>
          <w:rFonts w:hint="eastAsia" w:ascii="宋体" w:hAnsi="宋体" w:cs="宋体"/>
          <w:kern w:val="2"/>
          <w:sz w:val="24"/>
          <w:szCs w:val="22"/>
          <w:lang w:val="zh-CN"/>
        </w:rPr>
        <w:t>品牌产品；</w:t>
      </w:r>
    </w:p>
    <w:p w14:paraId="765BE539">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rPr>
      </w:pPr>
      <w:r>
        <w:rPr>
          <w:rFonts w:hint="eastAsia" w:ascii="宋体" w:hAnsi="宋体" w:cs="宋体"/>
          <w:kern w:val="2"/>
          <w:sz w:val="24"/>
          <w:szCs w:val="22"/>
        </w:rPr>
        <w:t>传感器和变送器采用</w:t>
      </w:r>
      <w:r>
        <w:rPr>
          <w:rFonts w:hint="eastAsia" w:ascii="宋体" w:hAnsi="宋体" w:cs="宋体"/>
          <w:kern w:val="2"/>
          <w:sz w:val="24"/>
          <w:szCs w:val="22"/>
          <w:lang w:val="zh-CN"/>
        </w:rPr>
        <w:t>分体式，</w:t>
      </w:r>
      <w:r>
        <w:rPr>
          <w:rFonts w:hint="eastAsia" w:ascii="宋体" w:hAnsi="宋体" w:cs="宋体"/>
          <w:kern w:val="2"/>
          <w:sz w:val="24"/>
          <w:szCs w:val="22"/>
        </w:rPr>
        <w:t>传感器</w:t>
      </w:r>
      <w:r>
        <w:rPr>
          <w:rFonts w:hint="eastAsia" w:ascii="宋体" w:hAnsi="宋体" w:cs="宋体"/>
          <w:kern w:val="2"/>
          <w:sz w:val="24"/>
          <w:szCs w:val="22"/>
          <w:lang w:val="zh-CN"/>
        </w:rPr>
        <w:t>法兰式安装；</w:t>
      </w:r>
    </w:p>
    <w:p w14:paraId="273051D5">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rPr>
      </w:pPr>
      <w:r>
        <w:rPr>
          <w:rFonts w:hint="eastAsia" w:ascii="宋体" w:hAnsi="宋体" w:cs="宋体"/>
          <w:kern w:val="2"/>
          <w:sz w:val="24"/>
          <w:szCs w:val="22"/>
          <w:lang w:val="zh-CN"/>
        </w:rPr>
        <w:t>电极材质根据介质及工况选用316L或哈氏合金或更好的材质。接触热黑液</w:t>
      </w:r>
      <w:r>
        <w:rPr>
          <w:rFonts w:hint="eastAsia" w:ascii="宋体" w:hAnsi="宋体" w:cs="宋体"/>
          <w:kern w:val="2"/>
          <w:sz w:val="24"/>
          <w:szCs w:val="22"/>
        </w:rPr>
        <w:t>介质</w:t>
      </w:r>
      <w:r>
        <w:rPr>
          <w:rFonts w:hint="eastAsia" w:ascii="宋体" w:hAnsi="宋体" w:cs="宋体"/>
          <w:kern w:val="2"/>
          <w:sz w:val="24"/>
          <w:szCs w:val="22"/>
          <w:lang w:val="zh-CN"/>
        </w:rPr>
        <w:t>电极材质不低于双相不锈钢2</w:t>
      </w:r>
      <w:r>
        <w:rPr>
          <w:rFonts w:ascii="宋体" w:hAnsi="宋体" w:cs="宋体"/>
          <w:kern w:val="2"/>
          <w:sz w:val="24"/>
          <w:szCs w:val="22"/>
          <w:lang w:val="zh-CN"/>
        </w:rPr>
        <w:t>205</w:t>
      </w:r>
      <w:r>
        <w:rPr>
          <w:rFonts w:hint="eastAsia" w:ascii="宋体" w:hAnsi="宋体" w:cs="宋体"/>
          <w:kern w:val="2"/>
          <w:sz w:val="24"/>
          <w:szCs w:val="22"/>
          <w:lang w:val="zh-CN"/>
        </w:rPr>
        <w:t>；</w:t>
      </w:r>
      <w:r>
        <w:rPr>
          <w:rFonts w:hint="eastAsia" w:ascii="宋体" w:hAnsi="宋体" w:cs="宋体"/>
          <w:kern w:val="2"/>
          <w:sz w:val="24"/>
          <w:szCs w:val="22"/>
        </w:rPr>
        <w:t>接触</w:t>
      </w:r>
      <w:r>
        <w:rPr>
          <w:rFonts w:hint="eastAsia" w:ascii="宋体" w:hAnsi="宋体" w:cs="宋体"/>
          <w:kern w:val="2"/>
          <w:sz w:val="24"/>
          <w:szCs w:val="22"/>
          <w:lang w:val="zh-CN"/>
        </w:rPr>
        <w:t>热白液</w:t>
      </w:r>
      <w:r>
        <w:rPr>
          <w:rFonts w:hint="eastAsia" w:ascii="宋体" w:hAnsi="宋体" w:cs="宋体"/>
          <w:kern w:val="2"/>
          <w:sz w:val="24"/>
          <w:szCs w:val="22"/>
        </w:rPr>
        <w:t>介质</w:t>
      </w:r>
      <w:r>
        <w:rPr>
          <w:rFonts w:hint="eastAsia" w:ascii="宋体" w:hAnsi="宋体" w:cs="宋体"/>
          <w:kern w:val="2"/>
          <w:sz w:val="24"/>
          <w:szCs w:val="22"/>
          <w:lang w:val="zh-CN"/>
        </w:rPr>
        <w:t>电极</w:t>
      </w:r>
      <w:r>
        <w:rPr>
          <w:rFonts w:hint="eastAsia" w:ascii="宋体" w:hAnsi="宋体" w:cs="宋体"/>
          <w:kern w:val="2"/>
          <w:sz w:val="24"/>
          <w:szCs w:val="22"/>
        </w:rPr>
        <w:t>采用铂铱</w:t>
      </w:r>
      <w:r>
        <w:rPr>
          <w:rFonts w:hint="eastAsia" w:ascii="宋体" w:hAnsi="宋体" w:cs="宋体"/>
          <w:kern w:val="2"/>
          <w:sz w:val="24"/>
          <w:szCs w:val="22"/>
          <w:lang w:val="zh-CN"/>
        </w:rPr>
        <w:t>材质或更优；</w:t>
      </w:r>
    </w:p>
    <w:p w14:paraId="75B45303">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衬里根据介质及工况选用合理适用的材质，</w:t>
      </w:r>
      <w:r>
        <w:rPr>
          <w:rFonts w:hint="eastAsia" w:ascii="宋体" w:hAnsi="宋体" w:cs="宋体"/>
          <w:kern w:val="2"/>
          <w:sz w:val="24"/>
          <w:szCs w:val="22"/>
        </w:rPr>
        <w:t>介质温度</w:t>
      </w:r>
      <w:r>
        <w:rPr>
          <w:rFonts w:hint="eastAsia" w:ascii="宋体" w:hAnsi="宋体" w:cs="宋体"/>
          <w:kern w:val="2"/>
          <w:sz w:val="24"/>
          <w:szCs w:val="22"/>
          <w:lang w:val="zh-CN"/>
        </w:rPr>
        <w:t>≤</w:t>
      </w:r>
      <w:r>
        <w:rPr>
          <w:rFonts w:ascii="宋体" w:hAnsi="宋体" w:cs="宋体"/>
          <w:kern w:val="2"/>
          <w:sz w:val="24"/>
          <w:szCs w:val="22"/>
          <w:lang w:val="zh-CN"/>
        </w:rPr>
        <w:t>85</w:t>
      </w:r>
      <w:r>
        <w:rPr>
          <w:rFonts w:hint="eastAsia" w:ascii="宋体" w:hAnsi="宋体" w:cs="宋体"/>
          <w:kern w:val="2"/>
          <w:sz w:val="24"/>
          <w:szCs w:val="22"/>
          <w:lang w:val="zh-CN"/>
        </w:rPr>
        <w:t>℃</w:t>
      </w:r>
      <w:r>
        <w:rPr>
          <w:rFonts w:hint="eastAsia" w:ascii="宋体" w:hAnsi="宋体" w:cs="宋体"/>
          <w:kern w:val="2"/>
          <w:sz w:val="24"/>
          <w:szCs w:val="22"/>
        </w:rPr>
        <w:t>采用</w:t>
      </w:r>
      <w:r>
        <w:rPr>
          <w:rFonts w:hint="eastAsia" w:ascii="宋体" w:hAnsi="宋体" w:cs="宋体"/>
          <w:kern w:val="2"/>
          <w:sz w:val="24"/>
          <w:szCs w:val="22"/>
          <w:lang w:val="zh-CN"/>
        </w:rPr>
        <w:t>PTF</w:t>
      </w:r>
      <w:r>
        <w:rPr>
          <w:rFonts w:ascii="宋体" w:hAnsi="宋体" w:cs="宋体"/>
          <w:kern w:val="2"/>
          <w:sz w:val="24"/>
          <w:szCs w:val="22"/>
          <w:lang w:val="zh-CN"/>
        </w:rPr>
        <w:t>E</w:t>
      </w:r>
      <w:r>
        <w:rPr>
          <w:rFonts w:hint="eastAsia" w:ascii="宋体" w:hAnsi="宋体" w:cs="宋体"/>
          <w:kern w:val="2"/>
          <w:sz w:val="24"/>
          <w:szCs w:val="22"/>
          <w:lang w:val="zh-CN"/>
        </w:rPr>
        <w:t>，</w:t>
      </w:r>
      <w:r>
        <w:rPr>
          <w:rFonts w:hint="eastAsia" w:ascii="宋体" w:hAnsi="宋体" w:cs="宋体"/>
          <w:kern w:val="2"/>
          <w:sz w:val="24"/>
          <w:szCs w:val="22"/>
        </w:rPr>
        <w:t>介质温度＞</w:t>
      </w:r>
      <w:r>
        <w:rPr>
          <w:rFonts w:ascii="宋体" w:hAnsi="宋体" w:cs="宋体"/>
          <w:kern w:val="2"/>
          <w:sz w:val="24"/>
          <w:szCs w:val="22"/>
          <w:lang w:val="zh-CN"/>
        </w:rPr>
        <w:t>85</w:t>
      </w:r>
      <w:r>
        <w:rPr>
          <w:rFonts w:hint="eastAsia" w:ascii="宋体" w:hAnsi="宋体" w:cs="宋体"/>
          <w:kern w:val="2"/>
          <w:sz w:val="24"/>
          <w:szCs w:val="22"/>
          <w:lang w:val="zh-CN"/>
        </w:rPr>
        <w:t>℃和粗浆流量计</w:t>
      </w:r>
      <w:r>
        <w:rPr>
          <w:rFonts w:hint="eastAsia" w:ascii="宋体" w:hAnsi="宋体" w:cs="宋体"/>
          <w:kern w:val="2"/>
          <w:sz w:val="24"/>
          <w:szCs w:val="22"/>
        </w:rPr>
        <w:t>采用</w:t>
      </w:r>
      <w:r>
        <w:rPr>
          <w:rFonts w:hint="eastAsia" w:ascii="宋体" w:hAnsi="宋体" w:cs="宋体"/>
          <w:kern w:val="2"/>
          <w:sz w:val="24"/>
          <w:szCs w:val="22"/>
          <w:lang w:val="zh-CN"/>
        </w:rPr>
        <w:t>PFA</w:t>
      </w:r>
      <w:r>
        <w:rPr>
          <w:rFonts w:ascii="宋体" w:hAnsi="宋体" w:cs="宋体"/>
          <w:kern w:val="2"/>
          <w:sz w:val="24"/>
          <w:szCs w:val="22"/>
          <w:lang w:val="zh-CN"/>
        </w:rPr>
        <w:t>+</w:t>
      </w:r>
      <w:r>
        <w:rPr>
          <w:rFonts w:hint="eastAsia" w:ascii="宋体" w:hAnsi="宋体" w:cs="宋体"/>
          <w:kern w:val="2"/>
          <w:sz w:val="24"/>
          <w:szCs w:val="22"/>
          <w:lang w:val="zh-CN"/>
        </w:rPr>
        <w:t>钢网，传感器本体接线盒防护等级IP68；</w:t>
      </w:r>
    </w:p>
    <w:p w14:paraId="09F9C5E5">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转换器要求智能型，HART协议, 带数字显示表，防护等级IP67；</w:t>
      </w:r>
    </w:p>
    <w:p w14:paraId="6BE9E8EC">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电磁流量计的电源取自现场FB箱。</w:t>
      </w:r>
    </w:p>
    <w:p w14:paraId="46CDF551">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bookmarkStart w:id="287" w:name="_Toc21848"/>
      <w:bookmarkStart w:id="288" w:name="_Toc31384"/>
      <w:bookmarkStart w:id="289" w:name="_Toc2115"/>
      <w:r>
        <w:rPr>
          <w:rFonts w:hint="eastAsia" w:ascii="宋体" w:hAnsi="宋体" w:cs="宋体"/>
          <w:b/>
          <w:bCs/>
          <w:sz w:val="24"/>
          <w:szCs w:val="24"/>
        </w:rPr>
        <w:t>涡街流量计</w:t>
      </w:r>
      <w:bookmarkEnd w:id="287"/>
      <w:bookmarkEnd w:id="288"/>
      <w:bookmarkEnd w:id="289"/>
    </w:p>
    <w:p w14:paraId="1BF289A1">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测量误差：±1%;防护类别：IP6</w:t>
      </w:r>
      <w:r>
        <w:rPr>
          <w:rFonts w:hint="eastAsia" w:ascii="宋体" w:hAnsi="宋体" w:cs="宋体"/>
          <w:kern w:val="2"/>
          <w:sz w:val="24"/>
          <w:szCs w:val="22"/>
        </w:rPr>
        <w:t>7</w:t>
      </w:r>
      <w:r>
        <w:rPr>
          <w:rFonts w:hint="eastAsia" w:ascii="宋体" w:hAnsi="宋体" w:cs="宋体"/>
          <w:kern w:val="2"/>
          <w:sz w:val="24"/>
          <w:szCs w:val="22"/>
          <w:lang w:val="zh-CN"/>
        </w:rPr>
        <w:t>;安装形式：分体式;过程连接：法兰式; 输出信号：4~20mA，两线制;介质温度：-10~</w:t>
      </w:r>
      <w:r>
        <w:rPr>
          <w:rFonts w:hint="eastAsia" w:ascii="宋体" w:hAnsi="宋体" w:cs="宋体"/>
          <w:kern w:val="2"/>
          <w:sz w:val="24"/>
          <w:szCs w:val="22"/>
        </w:rPr>
        <w:t>2</w:t>
      </w:r>
      <w:r>
        <w:rPr>
          <w:rFonts w:hint="eastAsia" w:ascii="宋体" w:hAnsi="宋体" w:cs="宋体"/>
          <w:kern w:val="2"/>
          <w:sz w:val="24"/>
          <w:szCs w:val="22"/>
          <w:lang w:val="zh-CN"/>
        </w:rPr>
        <w:t>00℃;通讯： Hart 通讯协议;显示器、累计器：字母/数字型，流量，累计流量，故障显示;适用电源24VDC。</w:t>
      </w:r>
    </w:p>
    <w:p w14:paraId="47CEE110">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bookmarkStart w:id="290" w:name="_Toc24083"/>
      <w:bookmarkStart w:id="291" w:name="_Toc26129"/>
      <w:bookmarkStart w:id="292" w:name="_Toc25428"/>
      <w:r>
        <w:rPr>
          <w:rFonts w:hint="eastAsia" w:ascii="宋体" w:hAnsi="宋体" w:cs="宋体"/>
          <w:b/>
          <w:bCs/>
          <w:sz w:val="24"/>
          <w:szCs w:val="24"/>
        </w:rPr>
        <w:t>平衡孔板</w:t>
      </w:r>
      <w:bookmarkEnd w:id="290"/>
      <w:bookmarkEnd w:id="291"/>
      <w:bookmarkEnd w:id="292"/>
    </w:p>
    <w:p w14:paraId="2D16D0A8">
      <w:pPr>
        <w:numPr>
          <w:ilvl w:val="2"/>
          <w:numId w:val="9"/>
        </w:numPr>
        <w:tabs>
          <w:tab w:val="left" w:pos="1365"/>
          <w:tab w:val="left" w:pos="1680"/>
        </w:tabs>
        <w:snapToGrid w:val="0"/>
        <w:spacing w:before="100" w:after="100" w:line="360" w:lineRule="exact"/>
        <w:ind w:right="120" w:rightChars="43"/>
        <w:rPr>
          <w:rFonts w:ascii="宋体" w:hAnsi="宋体" w:cs="宋体"/>
          <w:sz w:val="24"/>
          <w:szCs w:val="24"/>
          <w:lang w:val="zh-CN"/>
        </w:rPr>
      </w:pPr>
      <w:r>
        <w:rPr>
          <w:rFonts w:hint="eastAsia" w:ascii="宋体" w:hAnsi="宋体" w:cs="宋体"/>
          <w:sz w:val="24"/>
          <w:szCs w:val="24"/>
        </w:rPr>
        <w:t>使用范围：</w:t>
      </w:r>
      <w:r>
        <w:rPr>
          <w:rFonts w:hint="eastAsia" w:ascii="宋体" w:hAnsi="宋体" w:cs="宋体"/>
          <w:sz w:val="24"/>
          <w:szCs w:val="24"/>
          <w:lang w:val="zh-CN"/>
        </w:rPr>
        <w:t>雷诺数不小于5000；</w:t>
      </w:r>
    </w:p>
    <w:p w14:paraId="2DB43D30">
      <w:pPr>
        <w:numPr>
          <w:ilvl w:val="2"/>
          <w:numId w:val="9"/>
        </w:numPr>
        <w:tabs>
          <w:tab w:val="left" w:pos="1365"/>
          <w:tab w:val="left" w:pos="1680"/>
        </w:tabs>
        <w:snapToGrid w:val="0"/>
        <w:spacing w:before="100" w:after="100" w:line="360" w:lineRule="exact"/>
        <w:ind w:right="120" w:rightChars="43"/>
        <w:rPr>
          <w:rFonts w:ascii="宋体" w:hAnsi="宋体" w:cs="宋体"/>
          <w:sz w:val="24"/>
          <w:szCs w:val="24"/>
          <w:lang w:val="zh-CN"/>
        </w:rPr>
      </w:pPr>
      <w:r>
        <w:rPr>
          <w:rFonts w:hint="eastAsia" w:ascii="宋体" w:hAnsi="宋体" w:cs="宋体"/>
          <w:sz w:val="24"/>
          <w:szCs w:val="24"/>
          <w:lang w:val="zh-CN"/>
        </w:rPr>
        <w:t>环室取压，精度±0.5％，量程比不小于10：1；</w:t>
      </w:r>
    </w:p>
    <w:p w14:paraId="7675206A">
      <w:pPr>
        <w:numPr>
          <w:ilvl w:val="2"/>
          <w:numId w:val="9"/>
        </w:numPr>
        <w:tabs>
          <w:tab w:val="left" w:pos="1365"/>
          <w:tab w:val="left" w:pos="1680"/>
        </w:tabs>
        <w:snapToGrid w:val="0"/>
        <w:spacing w:before="100" w:after="100" w:line="360" w:lineRule="exact"/>
        <w:ind w:right="120" w:rightChars="43"/>
        <w:rPr>
          <w:rFonts w:ascii="宋体" w:hAnsi="宋体" w:cs="宋体"/>
          <w:sz w:val="24"/>
          <w:szCs w:val="24"/>
          <w:lang w:val="zh-CN"/>
        </w:rPr>
      </w:pPr>
      <w:r>
        <w:rPr>
          <w:rFonts w:hint="eastAsia" w:ascii="宋体" w:hAnsi="宋体" w:cs="宋体"/>
          <w:sz w:val="24"/>
          <w:szCs w:val="24"/>
          <w:lang w:val="zh-CN"/>
        </w:rPr>
        <w:t>直径比0.2~0.75；孔径不小于12.5mm；</w:t>
      </w:r>
    </w:p>
    <w:p w14:paraId="772DD5B6">
      <w:pPr>
        <w:numPr>
          <w:ilvl w:val="2"/>
          <w:numId w:val="9"/>
        </w:numPr>
        <w:tabs>
          <w:tab w:val="left" w:pos="1365"/>
          <w:tab w:val="left" w:pos="1680"/>
        </w:tabs>
        <w:snapToGrid w:val="0"/>
        <w:spacing w:before="100" w:after="100" w:line="360" w:lineRule="exact"/>
        <w:ind w:right="120" w:rightChars="43"/>
        <w:rPr>
          <w:rFonts w:ascii="宋体" w:hAnsi="宋体" w:cs="宋体"/>
          <w:sz w:val="24"/>
          <w:szCs w:val="24"/>
          <w:lang w:val="zh-CN"/>
        </w:rPr>
      </w:pPr>
      <w:r>
        <w:rPr>
          <w:rFonts w:hint="eastAsia" w:ascii="宋体" w:hAnsi="宋体" w:cs="宋体"/>
          <w:sz w:val="24"/>
          <w:szCs w:val="24"/>
          <w:lang w:val="zh-CN"/>
        </w:rPr>
        <w:t>材质根据工况及工艺管道材质确定。</w:t>
      </w:r>
    </w:p>
    <w:p w14:paraId="087595C1">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bookmarkStart w:id="293" w:name="_Toc6502"/>
      <w:bookmarkStart w:id="294" w:name="_Toc19386"/>
      <w:bookmarkStart w:id="295" w:name="_Toc16364"/>
      <w:r>
        <w:rPr>
          <w:rFonts w:hint="eastAsia" w:ascii="宋体" w:hAnsi="宋体" w:cs="宋体"/>
          <w:b/>
          <w:bCs/>
          <w:sz w:val="24"/>
          <w:szCs w:val="24"/>
        </w:rPr>
        <w:t>压力（差压）变送器：</w:t>
      </w:r>
      <w:bookmarkEnd w:id="293"/>
      <w:bookmarkEnd w:id="294"/>
      <w:bookmarkEnd w:id="295"/>
    </w:p>
    <w:p w14:paraId="5556BAE8">
      <w:pPr>
        <w:numPr>
          <w:ilvl w:val="2"/>
          <w:numId w:val="9"/>
        </w:numPr>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rPr>
        <w:t>蒸煮工段</w:t>
      </w:r>
      <w:r>
        <w:rPr>
          <w:rFonts w:hint="eastAsia" w:ascii="宋体" w:hAnsi="宋体" w:cs="宋体"/>
          <w:sz w:val="24"/>
          <w:szCs w:val="24"/>
          <w:lang w:val="zh-CN"/>
        </w:rPr>
        <w:t>蒸煮区</w:t>
      </w:r>
      <w:r>
        <w:rPr>
          <w:rFonts w:hint="eastAsia" w:ascii="宋体" w:hAnsi="宋体" w:cs="宋体"/>
          <w:sz w:val="24"/>
          <w:szCs w:val="24"/>
        </w:rPr>
        <w:t>和槽区</w:t>
      </w:r>
      <w:r>
        <w:rPr>
          <w:rFonts w:hint="eastAsia" w:ascii="宋体" w:hAnsi="宋体" w:cs="宋体"/>
          <w:sz w:val="24"/>
          <w:szCs w:val="24"/>
          <w:lang w:val="zh-CN"/>
        </w:rPr>
        <w:t>压力变送器选用质量可靠、稳定的</w:t>
      </w:r>
      <w:r>
        <w:rPr>
          <w:rFonts w:hint="eastAsia" w:ascii="宋体" w:hAnsi="宋体" w:cs="宋体"/>
          <w:sz w:val="24"/>
          <w:szCs w:val="24"/>
        </w:rPr>
        <w:t>一线</w:t>
      </w:r>
      <w:r>
        <w:rPr>
          <w:rFonts w:hint="eastAsia" w:ascii="宋体" w:hAnsi="宋体" w:cs="宋体"/>
          <w:sz w:val="24"/>
          <w:szCs w:val="24"/>
          <w:lang w:val="zh-CN"/>
        </w:rPr>
        <w:t>品牌产品；</w:t>
      </w:r>
    </w:p>
    <w:p w14:paraId="56763576">
      <w:pPr>
        <w:numPr>
          <w:ilvl w:val="2"/>
          <w:numId w:val="9"/>
        </w:numPr>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要求智能型，HART协议、带数字显示表，防护等级IP67；</w:t>
      </w:r>
    </w:p>
    <w:p w14:paraId="1BC123F7">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膜盒材质根据介质及工况选择316L或哈氏合金或更好的材质，耐磨、抗真空、防腐；</w:t>
      </w:r>
    </w:p>
    <w:p w14:paraId="297E0855">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介质为黑液、白液、浆采用高温型（200℃）远传隔膜压力变送器。</w:t>
      </w:r>
    </w:p>
    <w:p w14:paraId="6CCBAFDA">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296" w:name="_Toc25578"/>
      <w:bookmarkStart w:id="297" w:name="_Toc20437"/>
      <w:bookmarkStart w:id="298" w:name="_Toc31412"/>
      <w:r>
        <w:rPr>
          <w:rFonts w:hint="eastAsia" w:ascii="宋体" w:hAnsi="宋体" w:cs="宋体"/>
          <w:b/>
          <w:bCs/>
          <w:sz w:val="24"/>
          <w:szCs w:val="24"/>
        </w:rPr>
        <w:t>液位变送器</w:t>
      </w:r>
      <w:bookmarkEnd w:id="296"/>
      <w:bookmarkEnd w:id="297"/>
      <w:bookmarkEnd w:id="298"/>
    </w:p>
    <w:p w14:paraId="16A1E288">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rPr>
        <w:t>蒸煮工段</w:t>
      </w:r>
      <w:r>
        <w:rPr>
          <w:rFonts w:hint="eastAsia" w:ascii="宋体" w:hAnsi="宋体" w:cs="宋体"/>
          <w:sz w:val="24"/>
          <w:szCs w:val="24"/>
          <w:lang w:val="zh-CN"/>
        </w:rPr>
        <w:t>蒸煮区、</w:t>
      </w:r>
      <w:r>
        <w:rPr>
          <w:rFonts w:hint="eastAsia" w:ascii="宋体" w:hAnsi="宋体" w:cs="宋体"/>
          <w:sz w:val="24"/>
          <w:szCs w:val="24"/>
        </w:rPr>
        <w:t>槽区</w:t>
      </w:r>
      <w:r>
        <w:rPr>
          <w:rFonts w:hint="eastAsia" w:ascii="宋体" w:hAnsi="宋体" w:cs="宋体"/>
          <w:sz w:val="24"/>
          <w:szCs w:val="24"/>
          <w:lang w:val="zh-CN"/>
        </w:rPr>
        <w:t>液位变送器选用质量可靠、稳定的</w:t>
      </w:r>
      <w:r>
        <w:rPr>
          <w:rFonts w:hint="eastAsia" w:ascii="宋体" w:hAnsi="宋体" w:cs="宋体"/>
          <w:sz w:val="24"/>
          <w:szCs w:val="24"/>
        </w:rPr>
        <w:t>一线</w:t>
      </w:r>
      <w:r>
        <w:rPr>
          <w:rFonts w:hint="eastAsia" w:ascii="宋体" w:hAnsi="宋体" w:cs="宋体"/>
          <w:sz w:val="24"/>
          <w:szCs w:val="24"/>
          <w:lang w:val="zh-CN"/>
        </w:rPr>
        <w:t>品牌产品；</w:t>
      </w:r>
    </w:p>
    <w:p w14:paraId="69DC78A4">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lang w:val="zh-CN"/>
        </w:rPr>
        <w:t>膜盒材质根据介质及工况选择316L或哈氏合金或更好的材质，耐磨、抗真空、防腐；</w:t>
      </w:r>
    </w:p>
    <w:p w14:paraId="36DAFF80">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介质为黑液、白液、浆采用高温型（200℃）远传隔膜压力变送器；</w:t>
      </w:r>
    </w:p>
    <w:p w14:paraId="41783EA7">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rPr>
        <w:t>温</w:t>
      </w:r>
      <w:r>
        <w:rPr>
          <w:rFonts w:hint="eastAsia" w:ascii="宋体" w:hAnsi="宋体" w:cs="宋体"/>
          <w:sz w:val="24"/>
          <w:szCs w:val="24"/>
          <w:lang w:val="zh-CN"/>
        </w:rPr>
        <w:t>黑液槽、热黑液槽、热白液槽等压力容器采用双变送器电子电位差计测量</w:t>
      </w:r>
    </w:p>
    <w:p w14:paraId="7F0BFBF9">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要求智能型，HART协议、带数字显示表，防护等级IP67；</w:t>
      </w:r>
    </w:p>
    <w:p w14:paraId="17E4E2F1">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用于安全保护的测压点，</w:t>
      </w:r>
      <w:r>
        <w:rPr>
          <w:rFonts w:hint="eastAsia" w:ascii="宋体" w:hAnsi="宋体" w:cs="宋体"/>
          <w:sz w:val="24"/>
          <w:szCs w:val="24"/>
        </w:rPr>
        <w:t>应有冗余设计和配置。</w:t>
      </w:r>
    </w:p>
    <w:p w14:paraId="09E6F4B7">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299" w:name="_Toc26158"/>
      <w:bookmarkStart w:id="300" w:name="_Toc27672"/>
      <w:bookmarkStart w:id="301" w:name="_Toc11427"/>
      <w:r>
        <w:rPr>
          <w:rFonts w:hint="eastAsia" w:ascii="宋体" w:hAnsi="宋体" w:cs="宋体"/>
          <w:b/>
          <w:bCs/>
          <w:sz w:val="24"/>
          <w:szCs w:val="24"/>
        </w:rPr>
        <w:t>温度变送器及热电阻</w:t>
      </w:r>
      <w:bookmarkEnd w:id="299"/>
      <w:bookmarkEnd w:id="300"/>
      <w:bookmarkEnd w:id="301"/>
    </w:p>
    <w:p w14:paraId="36D587BD">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rPr>
        <w:t>蒸煮工段</w:t>
      </w:r>
      <w:r>
        <w:rPr>
          <w:rFonts w:hint="eastAsia" w:ascii="宋体" w:hAnsi="宋体" w:cs="宋体"/>
          <w:sz w:val="24"/>
          <w:szCs w:val="24"/>
          <w:lang w:val="zh-CN"/>
        </w:rPr>
        <w:t>蒸煮区</w:t>
      </w:r>
      <w:r>
        <w:rPr>
          <w:rFonts w:hint="eastAsia" w:ascii="宋体" w:hAnsi="宋体" w:cs="宋体"/>
          <w:sz w:val="24"/>
          <w:szCs w:val="24"/>
        </w:rPr>
        <w:t>和槽区</w:t>
      </w:r>
      <w:r>
        <w:rPr>
          <w:rFonts w:hint="eastAsia" w:ascii="宋体" w:hAnsi="宋体" w:cs="宋体"/>
          <w:sz w:val="24"/>
          <w:szCs w:val="24"/>
          <w:lang w:val="zh-CN"/>
        </w:rPr>
        <w:t>温度变送器采用质量可靠、稳定的</w:t>
      </w:r>
      <w:r>
        <w:rPr>
          <w:rFonts w:hint="eastAsia" w:ascii="宋体" w:hAnsi="宋体" w:cs="宋体"/>
          <w:sz w:val="24"/>
          <w:szCs w:val="24"/>
        </w:rPr>
        <w:t>一线</w:t>
      </w:r>
      <w:r>
        <w:rPr>
          <w:rFonts w:hint="eastAsia" w:ascii="宋体" w:hAnsi="宋体" w:cs="宋体"/>
          <w:sz w:val="24"/>
          <w:szCs w:val="24"/>
          <w:lang w:val="zh-CN"/>
        </w:rPr>
        <w:t>品牌产品；</w:t>
      </w:r>
    </w:p>
    <w:p w14:paraId="284C3709">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lang w:val="zh-CN"/>
        </w:rPr>
        <w:t>热电阻采用铠装热电阻PT100，并需安装不锈钢护套，可在线更换，防护等级IP67；</w:t>
      </w:r>
    </w:p>
    <w:p w14:paraId="275C462B">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选用国产知名品牌铠装热电阻PT100；</w:t>
      </w:r>
    </w:p>
    <w:p w14:paraId="4982209A">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温度变送器和热电阻一体化安装；</w:t>
      </w:r>
    </w:p>
    <w:p w14:paraId="779AFEB2">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用于安全保护的测温点，</w:t>
      </w:r>
      <w:r>
        <w:rPr>
          <w:rFonts w:hint="eastAsia" w:ascii="宋体" w:hAnsi="宋体" w:cs="宋体"/>
          <w:sz w:val="24"/>
          <w:szCs w:val="24"/>
        </w:rPr>
        <w:t>须有冗余设计和配置；</w:t>
      </w:r>
    </w:p>
    <w:p w14:paraId="79D77ED5">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环境温度：-10~70℃。</w:t>
      </w:r>
    </w:p>
    <w:p w14:paraId="3EE6A9A2">
      <w:pPr>
        <w:tabs>
          <w:tab w:val="left" w:pos="992"/>
        </w:tabs>
        <w:autoSpaceDE w:val="0"/>
        <w:autoSpaceDN w:val="0"/>
        <w:snapToGrid w:val="0"/>
        <w:spacing w:before="100" w:after="100" w:line="360" w:lineRule="exact"/>
        <w:ind w:left="914" w:leftChars="112" w:hanging="600" w:hangingChars="250"/>
        <w:rPr>
          <w:rFonts w:ascii="宋体" w:hAnsi="宋体" w:cs="宋体"/>
          <w:sz w:val="24"/>
          <w:szCs w:val="24"/>
          <w:lang w:val="zh-CN"/>
        </w:rPr>
      </w:pPr>
    </w:p>
    <w:p w14:paraId="2F0114AD">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02" w:name="_Toc20046"/>
      <w:bookmarkStart w:id="303" w:name="_Toc13667"/>
      <w:bookmarkStart w:id="304" w:name="_Toc10917"/>
      <w:r>
        <w:rPr>
          <w:rFonts w:hint="eastAsia" w:ascii="宋体" w:hAnsi="宋体" w:cs="宋体"/>
          <w:b/>
          <w:bCs/>
          <w:sz w:val="24"/>
          <w:szCs w:val="24"/>
        </w:rPr>
        <w:t>料位开关</w:t>
      </w:r>
      <w:bookmarkEnd w:id="302"/>
      <w:bookmarkEnd w:id="303"/>
      <w:bookmarkEnd w:id="304"/>
    </w:p>
    <w:p w14:paraId="225A0CEB">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料斗</w:t>
      </w:r>
      <w:r>
        <w:rPr>
          <w:rFonts w:hint="eastAsia" w:ascii="宋体" w:hAnsi="宋体" w:cs="宋体"/>
          <w:sz w:val="24"/>
          <w:szCs w:val="24"/>
        </w:rPr>
        <w:t>采用</w:t>
      </w:r>
      <w:r>
        <w:rPr>
          <w:rFonts w:ascii="宋体" w:hAnsi="宋体" w:cs="宋体"/>
          <w:sz w:val="24"/>
          <w:szCs w:val="24"/>
          <w:lang w:val="zh-CN"/>
        </w:rPr>
        <w:t>2</w:t>
      </w:r>
      <w:r>
        <w:rPr>
          <w:rFonts w:hint="eastAsia" w:ascii="宋体" w:hAnsi="宋体" w:cs="宋体"/>
          <w:sz w:val="24"/>
          <w:szCs w:val="24"/>
          <w:lang w:val="zh-CN"/>
        </w:rPr>
        <w:t>个阻旋式开关；</w:t>
      </w:r>
      <w:r>
        <w:rPr>
          <w:rFonts w:hint="eastAsia" w:ascii="宋体" w:hAnsi="宋体" w:cs="宋体"/>
          <w:sz w:val="24"/>
          <w:szCs w:val="24"/>
        </w:rPr>
        <w:t>喷放锅采用音叉料位计</w:t>
      </w:r>
      <w:r>
        <w:rPr>
          <w:rFonts w:hint="eastAsia" w:ascii="宋体" w:hAnsi="宋体" w:cs="宋体"/>
          <w:sz w:val="24"/>
          <w:szCs w:val="24"/>
          <w:lang w:val="zh-CN"/>
        </w:rPr>
        <w:t>。</w:t>
      </w:r>
    </w:p>
    <w:p w14:paraId="5574D339">
      <w:pPr>
        <w:numPr>
          <w:ilvl w:val="1"/>
          <w:numId w:val="9"/>
        </w:numPr>
        <w:tabs>
          <w:tab w:val="left" w:pos="0"/>
          <w:tab w:val="left" w:pos="900"/>
        </w:tabs>
        <w:adjustRightInd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05" w:name="_Toc4987"/>
      <w:bookmarkStart w:id="306" w:name="_Toc3845"/>
      <w:bookmarkStart w:id="307" w:name="_Toc9912"/>
      <w:r>
        <w:rPr>
          <w:rFonts w:hint="eastAsia" w:ascii="宋体" w:hAnsi="宋体" w:cs="宋体"/>
          <w:b/>
          <w:bCs/>
          <w:sz w:val="24"/>
          <w:szCs w:val="24"/>
        </w:rPr>
        <w:t>蒸煮锅物料计量器</w:t>
      </w:r>
      <w:bookmarkEnd w:id="305"/>
      <w:bookmarkEnd w:id="306"/>
      <w:bookmarkEnd w:id="307"/>
    </w:p>
    <w:p w14:paraId="77D04D0F">
      <w:pPr>
        <w:numPr>
          <w:ilvl w:val="2"/>
          <w:numId w:val="9"/>
        </w:numPr>
        <w:tabs>
          <w:tab w:val="left" w:pos="0"/>
        </w:tabs>
        <w:adjustRightInd w:val="0"/>
        <w:snapToGrid w:val="0"/>
        <w:spacing w:before="100" w:after="100" w:line="360" w:lineRule="exact"/>
        <w:rPr>
          <w:rFonts w:ascii="宋体" w:hAnsi="宋体" w:cs="宋体"/>
          <w:sz w:val="24"/>
          <w:szCs w:val="24"/>
        </w:rPr>
      </w:pPr>
      <w:r>
        <w:rPr>
          <w:rFonts w:hint="eastAsia" w:ascii="宋体" w:hAnsi="宋体" w:cs="宋体"/>
          <w:sz w:val="24"/>
          <w:szCs w:val="24"/>
        </w:rPr>
        <w:t>采用称重方式，选用技术成熟、质量稳定可靠的成套产品。</w:t>
      </w:r>
    </w:p>
    <w:p w14:paraId="389AAA12">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08" w:name="_Toc20159"/>
      <w:bookmarkStart w:id="309" w:name="_Toc14654"/>
      <w:bookmarkStart w:id="310" w:name="_Toc4716"/>
      <w:r>
        <w:rPr>
          <w:rFonts w:hint="eastAsia" w:ascii="宋体" w:hAnsi="宋体" w:cs="宋体"/>
          <w:b/>
          <w:bCs/>
          <w:sz w:val="24"/>
          <w:szCs w:val="24"/>
        </w:rPr>
        <w:t>雷达料位计</w:t>
      </w:r>
      <w:bookmarkEnd w:id="308"/>
      <w:bookmarkEnd w:id="309"/>
      <w:bookmarkEnd w:id="310"/>
    </w:p>
    <w:p w14:paraId="5D3FDD2A">
      <w:pPr>
        <w:numPr>
          <w:ilvl w:val="2"/>
          <w:numId w:val="9"/>
        </w:numPr>
        <w:autoSpaceDE w:val="0"/>
        <w:autoSpaceDN w:val="0"/>
        <w:snapToGrid w:val="0"/>
        <w:spacing w:before="100" w:after="100" w:line="360" w:lineRule="exact"/>
        <w:rPr>
          <w:rFonts w:ascii="宋体" w:hAnsi="宋体" w:cs="宋体"/>
          <w:sz w:val="24"/>
          <w:szCs w:val="24"/>
        </w:rPr>
      </w:pPr>
      <w:r>
        <w:rPr>
          <w:rFonts w:hint="eastAsia" w:ascii="宋体" w:hAnsi="宋体" w:cs="宋体"/>
          <w:sz w:val="24"/>
          <w:szCs w:val="24"/>
        </w:rPr>
        <w:t>堆场、缓冲仓料位，地下水池液位采用雷达料位计测量；选用质量可靠的知名品牌产品。型式：非接触式；输出信号：4～20mADC（二线制）；工作电源：24VDC；精度：</w:t>
      </w:r>
      <w:r>
        <w:rPr>
          <w:rFonts w:hint="eastAsia" w:ascii="宋体" w:hAnsi="宋体" w:cs="宋体"/>
          <w:sz w:val="24"/>
          <w:szCs w:val="24"/>
        </w:rPr>
        <w:sym w:font="Symbol" w:char="F0B1"/>
      </w:r>
      <w:r>
        <w:rPr>
          <w:rFonts w:hint="eastAsia" w:ascii="宋体" w:hAnsi="宋体" w:cs="宋体"/>
          <w:sz w:val="24"/>
          <w:szCs w:val="24"/>
        </w:rPr>
        <w:t>0.5%；分辨率：3mm；天线材质：316L不锈钢；转换器外壳材质：铸铝；防护等级：IP6</w:t>
      </w:r>
      <w:r>
        <w:rPr>
          <w:rFonts w:ascii="宋体" w:hAnsi="宋体" w:cs="宋体"/>
          <w:sz w:val="24"/>
          <w:szCs w:val="24"/>
        </w:rPr>
        <w:t>7</w:t>
      </w:r>
      <w:r>
        <w:rPr>
          <w:rFonts w:hint="eastAsia" w:ascii="宋体" w:hAnsi="宋体" w:cs="宋体"/>
          <w:sz w:val="24"/>
          <w:szCs w:val="24"/>
        </w:rPr>
        <w:t>；安装方式：法兰安装。</w:t>
      </w:r>
    </w:p>
    <w:p w14:paraId="03002206">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11" w:name="_Toc12860"/>
      <w:bookmarkStart w:id="312" w:name="_Toc20021"/>
      <w:bookmarkStart w:id="313" w:name="_Toc10471"/>
      <w:r>
        <w:rPr>
          <w:rFonts w:hint="eastAsia" w:ascii="宋体" w:hAnsi="宋体" w:cs="宋体"/>
          <w:b/>
          <w:bCs/>
          <w:sz w:val="24"/>
          <w:szCs w:val="24"/>
        </w:rPr>
        <w:t>智能皮带流量监控系统</w:t>
      </w:r>
      <w:bookmarkEnd w:id="311"/>
      <w:bookmarkEnd w:id="312"/>
      <w:bookmarkEnd w:id="313"/>
    </w:p>
    <w:p w14:paraId="3E9D4CF8">
      <w:pPr>
        <w:numPr>
          <w:ilvl w:val="2"/>
          <w:numId w:val="9"/>
        </w:numPr>
        <w:autoSpaceDE w:val="0"/>
        <w:autoSpaceDN w:val="0"/>
        <w:snapToGrid w:val="0"/>
        <w:spacing w:before="100" w:after="100" w:line="360" w:lineRule="exact"/>
        <w:rPr>
          <w:rFonts w:ascii="宋体" w:hAnsi="宋体" w:cs="宋体"/>
          <w:sz w:val="24"/>
          <w:szCs w:val="24"/>
        </w:rPr>
      </w:pPr>
      <w:r>
        <w:rPr>
          <w:rFonts w:hint="eastAsia" w:ascii="宋体" w:hAnsi="宋体" w:cs="宋体"/>
          <w:sz w:val="24"/>
          <w:szCs w:val="24"/>
        </w:rPr>
        <w:t>在缓冲仓出料皮带出口设计</w:t>
      </w:r>
      <w:r>
        <w:rPr>
          <w:rFonts w:ascii="宋体" w:hAnsi="宋体" w:cs="宋体"/>
          <w:sz w:val="24"/>
          <w:szCs w:val="24"/>
        </w:rPr>
        <w:t>1</w:t>
      </w:r>
      <w:r>
        <w:rPr>
          <w:rFonts w:hint="eastAsia" w:ascii="宋体" w:hAnsi="宋体" w:cs="宋体"/>
          <w:sz w:val="24"/>
          <w:szCs w:val="24"/>
        </w:rPr>
        <w:t>套</w:t>
      </w:r>
      <w:r>
        <w:rPr>
          <w:rFonts w:hint="eastAsia" w:ascii="宋体" w:hAnsi="宋体" w:cs="宋体"/>
          <w:b/>
          <w:bCs/>
          <w:sz w:val="24"/>
          <w:szCs w:val="24"/>
        </w:rPr>
        <w:t>智能皮带流量监控系统</w:t>
      </w:r>
      <w:r>
        <w:rPr>
          <w:rFonts w:hint="eastAsia" w:ascii="宋体" w:hAnsi="宋体" w:cs="宋体"/>
          <w:sz w:val="24"/>
          <w:szCs w:val="24"/>
        </w:rPr>
        <w:t>，检测缓冲仓出料量，可用于装锅量控制；具有测量皮带速度，木片截面积、木片密度和木竹片重量累积功能；</w:t>
      </w:r>
    </w:p>
    <w:p w14:paraId="3B3C0E07">
      <w:pPr>
        <w:numPr>
          <w:ilvl w:val="2"/>
          <w:numId w:val="9"/>
        </w:numPr>
        <w:autoSpaceDE w:val="0"/>
        <w:autoSpaceDN w:val="0"/>
        <w:snapToGrid w:val="0"/>
        <w:spacing w:before="100" w:after="100" w:line="360" w:lineRule="exact"/>
        <w:rPr>
          <w:rFonts w:ascii="宋体" w:hAnsi="宋体" w:cs="宋体"/>
          <w:b/>
          <w:bCs/>
          <w:sz w:val="24"/>
          <w:szCs w:val="24"/>
        </w:rPr>
      </w:pPr>
      <w:r>
        <w:rPr>
          <w:rFonts w:hint="eastAsia" w:ascii="宋体" w:hAnsi="宋体" w:cs="宋体"/>
          <w:b/>
          <w:bCs/>
          <w:sz w:val="24"/>
          <w:szCs w:val="24"/>
        </w:rPr>
        <w:t>智能皮带流量监控系统应</w:t>
      </w:r>
      <w:r>
        <w:rPr>
          <w:rFonts w:hint="eastAsia" w:ascii="宋体" w:hAnsi="宋体" w:cs="宋体"/>
          <w:sz w:val="24"/>
          <w:szCs w:val="24"/>
        </w:rPr>
        <w:t>选用技术成熟、质量稳定可靠的成套产品。</w:t>
      </w:r>
    </w:p>
    <w:p w14:paraId="17D325C5">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14" w:name="_Toc18270"/>
      <w:bookmarkStart w:id="315" w:name="_Toc28516"/>
      <w:bookmarkStart w:id="316" w:name="_Toc17944"/>
      <w:r>
        <w:rPr>
          <w:rFonts w:hint="eastAsia" w:ascii="宋体" w:hAnsi="宋体" w:cs="宋体"/>
          <w:b/>
          <w:bCs/>
          <w:sz w:val="24"/>
          <w:szCs w:val="24"/>
        </w:rPr>
        <w:t>在线分析仪</w:t>
      </w:r>
      <w:bookmarkEnd w:id="314"/>
      <w:bookmarkEnd w:id="315"/>
      <w:bookmarkEnd w:id="316"/>
    </w:p>
    <w:p w14:paraId="5758CE0A">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黑液碱浓分析仪；选用质量可靠的</w:t>
      </w:r>
      <w:r>
        <w:rPr>
          <w:rFonts w:hint="eastAsia" w:ascii="宋体" w:hAnsi="宋体" w:cs="宋体"/>
          <w:sz w:val="24"/>
          <w:szCs w:val="24"/>
        </w:rPr>
        <w:t>进口一线</w:t>
      </w:r>
      <w:r>
        <w:rPr>
          <w:rFonts w:hint="eastAsia" w:ascii="宋体" w:hAnsi="宋体" w:cs="宋体"/>
          <w:sz w:val="24"/>
          <w:szCs w:val="24"/>
          <w:lang w:val="zh-CN"/>
        </w:rPr>
        <w:t>品牌产品；</w:t>
      </w:r>
    </w:p>
    <w:p w14:paraId="120BA3CE">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高低浓臭气冷</w:t>
      </w:r>
      <w:r>
        <w:rPr>
          <w:rFonts w:hint="eastAsia" w:ascii="宋体" w:hAnsi="宋体" w:cs="宋体"/>
          <w:sz w:val="24"/>
          <w:szCs w:val="24"/>
        </w:rPr>
        <w:t>却水</w:t>
      </w:r>
      <w:r>
        <w:rPr>
          <w:rFonts w:hint="eastAsia" w:ascii="宋体" w:hAnsi="宋体" w:cs="宋体"/>
          <w:sz w:val="24"/>
          <w:szCs w:val="24"/>
          <w:lang w:val="zh-CN"/>
        </w:rPr>
        <w:t>、蒸汽冷凝</w:t>
      </w:r>
      <w:r>
        <w:rPr>
          <w:rFonts w:hint="eastAsia" w:ascii="宋体" w:hAnsi="宋体" w:cs="宋体"/>
          <w:sz w:val="24"/>
          <w:szCs w:val="24"/>
        </w:rPr>
        <w:t>水</w:t>
      </w:r>
      <w:r>
        <w:rPr>
          <w:rFonts w:hint="eastAsia" w:ascii="宋体" w:hAnsi="宋体" w:cs="宋体"/>
          <w:sz w:val="24"/>
          <w:szCs w:val="24"/>
          <w:lang w:val="zh-CN"/>
        </w:rPr>
        <w:t>配备在线电导率仪监测；</w:t>
      </w:r>
    </w:p>
    <w:p w14:paraId="67B9BA68">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PH值在线分析仪根据洗选工艺需求配备；</w:t>
      </w:r>
    </w:p>
    <w:p w14:paraId="171900E9">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rPr>
        <w:t>双氧水微漂工序设计一套</w:t>
      </w:r>
      <w:r>
        <w:rPr>
          <w:rFonts w:hint="eastAsia" w:ascii="宋体" w:hAnsi="宋体" w:cs="宋体"/>
          <w:sz w:val="24"/>
          <w:szCs w:val="24"/>
          <w:lang w:val="zh-CN"/>
        </w:rPr>
        <w:t>白度分析仪。环境温度30~80℃，湿度：0~100%，介质温度0~140℃；配置独立回路浓度实时测量，连续测量信号输出无任何时间延迟；测量范围：0~12%Cs；输出；4~20 mA；带 HART 协议;支持三线制/四线制；白度测量范围：10~95°SCAN；重复性：0.1°SCAN；阻尼时间：0.01~60秒连续可调整；传感器本体材质：316L，接液部分材质与安装管道一致或高于管道材质；特殊机械结构设计及隔离阀配套，具备传感器在不停机状态下可在线拆卸维护功能；电缆长度：满足现场安装要求；防护等级IP6</w:t>
      </w:r>
      <w:r>
        <w:rPr>
          <w:rFonts w:hint="eastAsia" w:ascii="宋体" w:hAnsi="宋体" w:cs="宋体"/>
          <w:sz w:val="24"/>
          <w:szCs w:val="24"/>
        </w:rPr>
        <w:t>7；</w:t>
      </w:r>
    </w:p>
    <w:p w14:paraId="6C243D76">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lang w:val="zh-CN"/>
        </w:rPr>
        <w:t>电导率仪：电极法，自带温度补偿，测量范围0～200us/cm 或0～1000us/cm 根据工艺点确定;精度读数的±2%;重复性读数的±0.5%;工作温度范围-20—200℃;内置温度传感器，提供自动温度补偿，分析仪显示温度值;防护等级IP68;配带安装附件。变送器智能型，LCD显示可同时显示ORP值和温度值;输出两路模拟的4-20mA输出信号，4个额外的4-20mA输出，带继电器输出（5A，250VAC）;带HART协议;工作环境-20—60℃;电气接口1/2" NPT;外壳防护等级：IP6</w:t>
      </w:r>
      <w:r>
        <w:rPr>
          <w:rFonts w:hint="eastAsia" w:ascii="宋体" w:hAnsi="宋体" w:cs="宋体"/>
          <w:sz w:val="24"/>
          <w:szCs w:val="24"/>
        </w:rPr>
        <w:t>7</w:t>
      </w:r>
      <w:r>
        <w:rPr>
          <w:rFonts w:hint="eastAsia" w:ascii="宋体" w:hAnsi="宋体" w:cs="宋体"/>
          <w:sz w:val="24"/>
          <w:szCs w:val="24"/>
          <w:lang w:val="zh-CN"/>
        </w:rPr>
        <w:t>;电源220VAC±10%，50/60Hz;安装方式壁挂或夹管式安装;外壳材质不锈钢。</w:t>
      </w:r>
    </w:p>
    <w:p w14:paraId="18EDA4CE">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17" w:name="_Toc6884"/>
      <w:bookmarkStart w:id="318" w:name="_Toc5372"/>
      <w:bookmarkStart w:id="319" w:name="_Toc31248"/>
      <w:r>
        <w:rPr>
          <w:rFonts w:hint="eastAsia" w:ascii="宋体" w:hAnsi="宋体" w:cs="宋体"/>
          <w:b/>
          <w:bCs/>
          <w:sz w:val="24"/>
          <w:szCs w:val="24"/>
        </w:rPr>
        <w:t>浓度计</w:t>
      </w:r>
      <w:bookmarkEnd w:id="317"/>
      <w:bookmarkEnd w:id="318"/>
      <w:bookmarkEnd w:id="319"/>
    </w:p>
    <w:p w14:paraId="6ADA162B">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lang w:val="zh-CN"/>
        </w:rPr>
        <w:t>喷放锅送洗选线、进1</w:t>
      </w:r>
      <w:r>
        <w:rPr>
          <w:rFonts w:ascii="宋体" w:hAnsi="宋体" w:cs="宋体"/>
          <w:sz w:val="24"/>
          <w:szCs w:val="24"/>
          <w:lang w:val="zh-CN"/>
        </w:rPr>
        <w:t>#</w:t>
      </w:r>
      <w:r>
        <w:rPr>
          <w:rFonts w:hint="eastAsia" w:ascii="宋体" w:hAnsi="宋体" w:cs="宋体"/>
          <w:sz w:val="24"/>
          <w:szCs w:val="24"/>
          <w:lang w:val="zh-CN"/>
        </w:rPr>
        <w:t>双辊挤浆机的上浆管线和中浓贮浆塔送纸机线的浆浓度检测采用旋翼式浓度计，其他采用刀式浓度计；</w:t>
      </w:r>
    </w:p>
    <w:p w14:paraId="0590DB9C">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选用质量可靠的</w:t>
      </w:r>
      <w:r>
        <w:rPr>
          <w:rFonts w:hint="eastAsia" w:ascii="宋体" w:hAnsi="宋体" w:cs="宋体"/>
          <w:sz w:val="24"/>
          <w:szCs w:val="24"/>
        </w:rPr>
        <w:t>一线</w:t>
      </w:r>
      <w:r>
        <w:rPr>
          <w:rFonts w:hint="eastAsia" w:ascii="宋体" w:hAnsi="宋体" w:cs="宋体"/>
          <w:sz w:val="24"/>
          <w:szCs w:val="24"/>
          <w:lang w:val="zh-CN"/>
        </w:rPr>
        <w:t>品牌产品；</w:t>
      </w:r>
    </w:p>
    <w:p w14:paraId="4922F0AD">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lang w:val="zh-CN"/>
        </w:rPr>
        <w:t>输出4~20mA，带 HART 协议；重复性：±0.01%Cs；与工艺介质接触部分材质316以上；带传感器安装所需全部附件；变送器附带检验证书；防护等级IP6</w:t>
      </w:r>
      <w:r>
        <w:rPr>
          <w:rFonts w:hint="eastAsia" w:ascii="宋体" w:hAnsi="宋体" w:cs="宋体"/>
          <w:sz w:val="24"/>
          <w:szCs w:val="24"/>
        </w:rPr>
        <w:t>7。</w:t>
      </w:r>
      <w:r>
        <w:rPr>
          <w:rFonts w:hint="eastAsia" w:ascii="宋体" w:hAnsi="宋体" w:cs="宋体"/>
          <w:sz w:val="24"/>
          <w:szCs w:val="24"/>
          <w:lang w:val="zh-CN"/>
        </w:rPr>
        <w:t>浓度计设计、安装时，要考虑管道的振动性，尽可能避免或减轻管道的振动，传感器应安装在稀释水附近，变送器安装在阴凉通风处。每个浓度测量点附近宜配备取样阀。</w:t>
      </w:r>
    </w:p>
    <w:p w14:paraId="50F000F3">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20" w:name="_Toc28099"/>
      <w:bookmarkStart w:id="321" w:name="_Toc3021"/>
      <w:bookmarkStart w:id="322" w:name="_Toc30871"/>
      <w:r>
        <w:rPr>
          <w:rFonts w:hint="eastAsia" w:ascii="宋体" w:hAnsi="宋体" w:cs="宋体"/>
          <w:b/>
          <w:bCs/>
          <w:sz w:val="24"/>
          <w:szCs w:val="24"/>
        </w:rPr>
        <w:t>接近开关</w:t>
      </w:r>
      <w:bookmarkEnd w:id="320"/>
      <w:bookmarkEnd w:id="321"/>
      <w:bookmarkEnd w:id="322"/>
    </w:p>
    <w:p w14:paraId="37DB11F2">
      <w:pPr>
        <w:numPr>
          <w:ilvl w:val="2"/>
          <w:numId w:val="9"/>
        </w:numPr>
        <w:autoSpaceDE w:val="0"/>
        <w:autoSpaceDN w:val="0"/>
        <w:snapToGrid w:val="0"/>
        <w:spacing w:before="100" w:after="100" w:line="360" w:lineRule="exact"/>
        <w:rPr>
          <w:rFonts w:ascii="宋体" w:hAnsi="宋体" w:cs="宋体"/>
          <w:color w:val="000000"/>
          <w:sz w:val="24"/>
          <w:szCs w:val="24"/>
        </w:rPr>
      </w:pPr>
      <w:r>
        <w:rPr>
          <w:rFonts w:hint="eastAsia" w:ascii="宋体" w:hAnsi="宋体" w:cs="宋体"/>
          <w:color w:val="000000"/>
          <w:sz w:val="24"/>
          <w:szCs w:val="24"/>
        </w:rPr>
        <w:t>电源24VDC；</w:t>
      </w:r>
      <w:r>
        <w:rPr>
          <w:rFonts w:hint="eastAsia" w:ascii="宋体" w:hAnsi="宋体" w:cs="宋体"/>
          <w:sz w:val="24"/>
          <w:szCs w:val="24"/>
        </w:rPr>
        <w:t>优先使用3线式电感式接近开关；</w:t>
      </w:r>
      <w:r>
        <w:rPr>
          <w:rFonts w:hint="eastAsia" w:ascii="宋体" w:hAnsi="宋体" w:cs="宋体"/>
          <w:color w:val="000000"/>
          <w:sz w:val="24"/>
          <w:szCs w:val="24"/>
        </w:rPr>
        <w:t>额定工作电流：50mA；最小工作电流≤5mA；根据具体情况选择输出方式；最大检测距离≥</w:t>
      </w:r>
      <w:r>
        <w:rPr>
          <w:rFonts w:hint="eastAsia" w:ascii="宋体" w:hAnsi="宋体" w:cs="宋体"/>
          <w:sz w:val="24"/>
          <w:szCs w:val="24"/>
        </w:rPr>
        <w:t>10mm；</w:t>
      </w:r>
      <w:r>
        <w:rPr>
          <w:rFonts w:hint="eastAsia" w:ascii="宋体" w:hAnsi="宋体" w:cs="宋体"/>
          <w:color w:val="000000"/>
          <w:sz w:val="24"/>
          <w:szCs w:val="24"/>
        </w:rPr>
        <w:t>工作环境：-20~70℃。用于移动设备的位置检测。</w:t>
      </w:r>
    </w:p>
    <w:p w14:paraId="4031493F">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23" w:name="_Toc7367"/>
      <w:bookmarkStart w:id="324" w:name="_Toc19935"/>
      <w:bookmarkStart w:id="325" w:name="_Toc11653"/>
      <w:r>
        <w:rPr>
          <w:rFonts w:hint="eastAsia" w:ascii="宋体" w:hAnsi="宋体" w:cs="宋体"/>
          <w:b/>
          <w:bCs/>
          <w:sz w:val="24"/>
          <w:szCs w:val="24"/>
        </w:rPr>
        <w:t>信号电缆</w:t>
      </w:r>
      <w:bookmarkEnd w:id="323"/>
      <w:bookmarkEnd w:id="324"/>
      <w:bookmarkEnd w:id="325"/>
    </w:p>
    <w:p w14:paraId="6F811156">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仪表信号电缆采用电子计算机用阻燃聚乙烯绝缘聚氯乙烯护套铜丝编织屏蔽控制软电缆，电缆的每芯截面为1.0mm</w:t>
      </w:r>
      <w:r>
        <w:rPr>
          <w:rFonts w:hint="eastAsia" w:ascii="宋体" w:hAnsi="宋体" w:cs="宋体"/>
          <w:sz w:val="24"/>
          <w:szCs w:val="24"/>
          <w:vertAlign w:val="superscript"/>
          <w:lang w:val="zh-CN"/>
        </w:rPr>
        <w:t>2</w:t>
      </w:r>
      <w:r>
        <w:rPr>
          <w:rFonts w:hint="eastAsia" w:ascii="宋体" w:hAnsi="宋体" w:cs="宋体"/>
          <w:sz w:val="24"/>
          <w:szCs w:val="24"/>
          <w:lang w:val="zh-CN"/>
        </w:rPr>
        <w:t>（铜）；仪表电源电缆主要采用阻燃电力电缆或控制电缆，电缆的每芯截面为2.5mm</w:t>
      </w:r>
      <w:r>
        <w:rPr>
          <w:rFonts w:hint="eastAsia" w:ascii="宋体" w:hAnsi="宋体" w:cs="宋体"/>
          <w:sz w:val="24"/>
          <w:szCs w:val="24"/>
          <w:vertAlign w:val="superscript"/>
          <w:lang w:val="zh-CN"/>
        </w:rPr>
        <w:t>2</w:t>
      </w:r>
      <w:r>
        <w:rPr>
          <w:rFonts w:hint="eastAsia" w:ascii="宋体" w:hAnsi="宋体" w:cs="宋体"/>
          <w:sz w:val="24"/>
          <w:szCs w:val="24"/>
          <w:lang w:val="zh-CN"/>
        </w:rPr>
        <w:t>（铜）；</w:t>
      </w:r>
    </w:p>
    <w:p w14:paraId="59CDB2EB">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lang w:val="zh-CN"/>
        </w:rPr>
        <w:t>控制系统间通讯电缆根据系统及设备要求选用；系统接地电缆截面不低于16mm</w:t>
      </w:r>
      <w:r>
        <w:rPr>
          <w:rFonts w:hint="eastAsia" w:ascii="宋体" w:hAnsi="宋体" w:cs="宋体"/>
          <w:sz w:val="24"/>
          <w:szCs w:val="24"/>
          <w:vertAlign w:val="superscript"/>
          <w:lang w:val="zh-CN"/>
        </w:rPr>
        <w:t>2</w:t>
      </w:r>
      <w:r>
        <w:rPr>
          <w:rFonts w:hint="eastAsia" w:ascii="宋体" w:hAnsi="宋体" w:cs="宋体"/>
          <w:sz w:val="24"/>
          <w:szCs w:val="24"/>
          <w:lang w:val="zh-CN"/>
        </w:rPr>
        <w:t>（铜）；电缆进出仪表与接线箱使用格兰头密封。</w:t>
      </w:r>
    </w:p>
    <w:p w14:paraId="5F41667F">
      <w:pPr>
        <w:numPr>
          <w:ilvl w:val="2"/>
          <w:numId w:val="9"/>
        </w:numPr>
        <w:tabs>
          <w:tab w:val="left" w:pos="992"/>
        </w:tabs>
        <w:autoSpaceDE w:val="0"/>
        <w:autoSpaceDN w:val="0"/>
        <w:snapToGrid w:val="0"/>
        <w:spacing w:before="100" w:after="100" w:line="360" w:lineRule="exact"/>
        <w:ind w:left="992" w:hanging="567"/>
        <w:rPr>
          <w:rFonts w:ascii="宋体" w:hAnsi="宋体" w:cs="宋体"/>
          <w:sz w:val="24"/>
          <w:szCs w:val="24"/>
          <w:lang w:val="zh-CN"/>
        </w:rPr>
      </w:pPr>
      <w:r>
        <w:rPr>
          <w:rFonts w:hint="eastAsia" w:ascii="宋体" w:hAnsi="宋体" w:cs="宋体"/>
          <w:sz w:val="24"/>
          <w:szCs w:val="24"/>
          <w:lang w:val="zh-CN"/>
        </w:rPr>
        <w:t>IO柜到现场FB箱信号电缆，采用12*2*1.0和24*2*1.0计算机电缆，电缆总量预留5</w:t>
      </w:r>
      <w:r>
        <w:rPr>
          <w:rFonts w:ascii="宋体" w:hAnsi="宋体" w:cs="宋体"/>
          <w:sz w:val="24"/>
          <w:szCs w:val="24"/>
          <w:lang w:val="zh-CN"/>
        </w:rPr>
        <w:t>0%</w:t>
      </w:r>
      <w:r>
        <w:rPr>
          <w:rFonts w:hint="eastAsia" w:ascii="宋体" w:hAnsi="宋体" w:cs="宋体"/>
          <w:sz w:val="24"/>
          <w:szCs w:val="24"/>
          <w:lang w:val="zh-CN"/>
        </w:rPr>
        <w:t>余量备用；</w:t>
      </w:r>
    </w:p>
    <w:p w14:paraId="281BB84C">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计算机电缆须选用质量可靠稳定的电缆。</w:t>
      </w:r>
    </w:p>
    <w:p w14:paraId="666B2CD7">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仪表电缆桥架：详见电气要求。</w:t>
      </w:r>
    </w:p>
    <w:p w14:paraId="0CD881F5">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26" w:name="_Toc17658"/>
      <w:bookmarkStart w:id="327" w:name="_Toc8977"/>
      <w:bookmarkStart w:id="328" w:name="_Toc15083"/>
      <w:r>
        <w:rPr>
          <w:rFonts w:hint="eastAsia" w:ascii="宋体" w:hAnsi="宋体" w:cs="宋体"/>
          <w:b/>
          <w:bCs/>
          <w:sz w:val="24"/>
          <w:szCs w:val="24"/>
        </w:rPr>
        <w:t>现场FB箱</w:t>
      </w:r>
      <w:bookmarkEnd w:id="326"/>
      <w:bookmarkEnd w:id="327"/>
      <w:bookmarkEnd w:id="328"/>
    </w:p>
    <w:p w14:paraId="38C9BA2F">
      <w:pPr>
        <w:pStyle w:val="8"/>
        <w:numPr>
          <w:ilvl w:val="2"/>
          <w:numId w:val="9"/>
        </w:numPr>
        <w:tabs>
          <w:tab w:val="left" w:pos="992"/>
        </w:tabs>
        <w:autoSpaceDE/>
        <w:autoSpaceDN/>
        <w:adjustRightInd/>
        <w:snapToGrid w:val="0"/>
        <w:spacing w:before="100" w:after="100" w:line="360" w:lineRule="exact"/>
        <w:ind w:left="992" w:hanging="567"/>
        <w:textAlignment w:val="auto"/>
        <w:rPr>
          <w:rFonts w:ascii="宋体" w:hAnsi="宋体" w:cs="宋体"/>
          <w:sz w:val="24"/>
          <w:szCs w:val="22"/>
        </w:rPr>
      </w:pPr>
      <w:r>
        <w:rPr>
          <w:rFonts w:hint="eastAsia" w:ascii="宋体" w:hAnsi="宋体" w:cs="宋体"/>
          <w:kern w:val="2"/>
          <w:sz w:val="24"/>
          <w:szCs w:val="22"/>
          <w:lang w:val="zh-CN"/>
        </w:rPr>
        <w:t>箱体规格800Wx1000Hx300D；模拟信号24点；数字信号24点；电源10路；</w:t>
      </w:r>
      <w:r>
        <w:rPr>
          <w:rFonts w:hint="eastAsia" w:ascii="宋体" w:hAnsi="宋体" w:cs="宋体"/>
          <w:sz w:val="24"/>
          <w:szCs w:val="22"/>
        </w:rPr>
        <w:t>材质SS304，板材厚度≥1.5mm；防护等级不低于</w:t>
      </w:r>
      <w:r>
        <w:rPr>
          <w:rFonts w:ascii="宋体" w:hAnsi="宋体" w:cs="宋体"/>
          <w:sz w:val="24"/>
          <w:szCs w:val="22"/>
        </w:rPr>
        <w:t>IP55</w:t>
      </w:r>
      <w:r>
        <w:rPr>
          <w:rFonts w:hint="eastAsia" w:ascii="宋体" w:hAnsi="宋体" w:cs="宋体"/>
          <w:sz w:val="24"/>
          <w:szCs w:val="22"/>
        </w:rPr>
        <w:t>。</w:t>
      </w:r>
      <w:r>
        <w:rPr>
          <w:rFonts w:hint="eastAsia" w:ascii="宋体" w:hAnsi="宋体" w:cs="宋体"/>
          <w:sz w:val="24"/>
          <w:szCs w:val="22"/>
          <w:lang w:val="zh-CN"/>
        </w:rPr>
        <w:t>内部配置：气源分配装置（1</w:t>
      </w:r>
      <w:r>
        <w:rPr>
          <w:rFonts w:ascii="宋体" w:hAnsi="宋体" w:cs="宋体"/>
          <w:sz w:val="24"/>
          <w:szCs w:val="22"/>
          <w:lang w:val="zh-CN"/>
        </w:rPr>
        <w:t>0</w:t>
      </w:r>
      <w:r>
        <w:rPr>
          <w:rFonts w:hint="eastAsia" w:ascii="宋体" w:hAnsi="宋体" w:cs="宋体"/>
          <w:sz w:val="24"/>
          <w:szCs w:val="22"/>
          <w:lang w:val="zh-CN"/>
        </w:rPr>
        <w:t>路，每路带截止阀，可单独关断）、电源分配装置1</w:t>
      </w:r>
      <w:r>
        <w:rPr>
          <w:rFonts w:ascii="宋体" w:hAnsi="宋体" w:cs="宋体"/>
          <w:sz w:val="24"/>
          <w:szCs w:val="22"/>
          <w:lang w:val="zh-CN"/>
        </w:rPr>
        <w:t>0</w:t>
      </w:r>
      <w:r>
        <w:rPr>
          <w:rFonts w:hint="eastAsia" w:ascii="宋体" w:hAnsi="宋体" w:cs="宋体"/>
          <w:sz w:val="24"/>
          <w:szCs w:val="22"/>
          <w:lang w:val="zh-CN"/>
        </w:rPr>
        <w:t>路、2</w:t>
      </w:r>
      <w:r>
        <w:rPr>
          <w:rFonts w:ascii="宋体" w:hAnsi="宋体" w:cs="宋体"/>
          <w:sz w:val="24"/>
          <w:szCs w:val="22"/>
          <w:lang w:val="zh-CN"/>
        </w:rPr>
        <w:t>4</w:t>
      </w:r>
      <w:r>
        <w:rPr>
          <w:rFonts w:hint="eastAsia" w:ascii="宋体" w:hAnsi="宋体" w:cs="宋体"/>
          <w:sz w:val="24"/>
          <w:szCs w:val="22"/>
          <w:lang w:val="zh-CN"/>
        </w:rPr>
        <w:t>个模拟量信号、2</w:t>
      </w:r>
      <w:r>
        <w:rPr>
          <w:rFonts w:ascii="宋体" w:hAnsi="宋体" w:cs="宋体"/>
          <w:sz w:val="24"/>
          <w:szCs w:val="22"/>
          <w:lang w:val="zh-CN"/>
        </w:rPr>
        <w:t>4</w:t>
      </w:r>
      <w:r>
        <w:rPr>
          <w:rFonts w:hint="eastAsia" w:ascii="宋体" w:hAnsi="宋体" w:cs="宋体"/>
          <w:sz w:val="24"/>
          <w:szCs w:val="22"/>
          <w:lang w:val="zh-CN"/>
        </w:rPr>
        <w:t>个数字量信号、接线端子排等，留有一定的余量备用；电缆孔安装格兰头、气管孔安装穿板不锈钢卡套接头；箱内气源管采用φ10、φ12不锈钢管连接到卡套式穿板接头 ；电缆孔与气源孔留有一定的余量备用；</w:t>
      </w:r>
    </w:p>
    <w:p w14:paraId="60B6BB25">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外部配置：外部配置双过滤减压阀（采用40μ滤芯）；</w:t>
      </w:r>
    </w:p>
    <w:p w14:paraId="0ABAF124">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FB箱至DCS信号电缆至少留</w:t>
      </w:r>
      <w:r>
        <w:rPr>
          <w:rFonts w:ascii="宋体" w:hAnsi="宋体" w:cs="宋体"/>
          <w:sz w:val="24"/>
          <w:szCs w:val="24"/>
          <w:lang w:val="zh-CN"/>
        </w:rPr>
        <w:t>3</w:t>
      </w:r>
      <w:r>
        <w:rPr>
          <w:rFonts w:hint="eastAsia" w:ascii="宋体" w:hAnsi="宋体" w:cs="宋体"/>
          <w:sz w:val="24"/>
          <w:szCs w:val="24"/>
          <w:lang w:val="zh-CN"/>
        </w:rPr>
        <w:t>对备用，备用电缆全部接在备用端子排上；</w:t>
      </w:r>
    </w:p>
    <w:p w14:paraId="4ADE55E6">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同一根多芯电缆不得分开接到不同IO机柜；</w:t>
      </w:r>
    </w:p>
    <w:p w14:paraId="61335C72">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FB箱仪表电源来自DCS机柜室的配电柜。</w:t>
      </w:r>
    </w:p>
    <w:p w14:paraId="0A0ED4CA">
      <w:pPr>
        <w:numPr>
          <w:ilvl w:val="1"/>
          <w:numId w:val="9"/>
        </w:numPr>
        <w:autoSpaceDE w:val="0"/>
        <w:autoSpaceDN w:val="0"/>
        <w:snapToGrid w:val="0"/>
        <w:spacing w:before="100" w:after="100" w:line="360" w:lineRule="exact"/>
        <w:outlineLvl w:val="1"/>
        <w:rPr>
          <w:rFonts w:ascii="宋体" w:hAnsi="宋体" w:cs="宋体"/>
          <w:b/>
          <w:bCs/>
          <w:sz w:val="24"/>
          <w:szCs w:val="24"/>
        </w:rPr>
      </w:pPr>
      <w:r>
        <w:rPr>
          <w:rFonts w:hint="eastAsia" w:ascii="宋体" w:hAnsi="宋体" w:cs="宋体"/>
          <w:b/>
          <w:bCs/>
          <w:sz w:val="24"/>
          <w:szCs w:val="24"/>
        </w:rPr>
        <w:t xml:space="preserve"> </w:t>
      </w:r>
      <w:bookmarkStart w:id="329" w:name="_Toc9613"/>
      <w:bookmarkStart w:id="330" w:name="_Toc18978"/>
      <w:bookmarkStart w:id="331" w:name="_Toc29166"/>
      <w:r>
        <w:rPr>
          <w:rFonts w:hint="eastAsia" w:ascii="宋体" w:hAnsi="宋体" w:cs="宋体"/>
          <w:b/>
          <w:bCs/>
          <w:sz w:val="24"/>
          <w:szCs w:val="24"/>
        </w:rPr>
        <w:t>本项目仪表用气和工艺用气</w:t>
      </w:r>
      <w:bookmarkEnd w:id="329"/>
      <w:bookmarkEnd w:id="330"/>
      <w:bookmarkEnd w:id="331"/>
    </w:p>
    <w:p w14:paraId="30C99043">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核实本项目控制阀等仪表设备的净化气用气量，新增压缩空气储存罐，组成新的供气系统，所有供气管路、阀门采用不锈钢SS304材质；</w:t>
      </w:r>
    </w:p>
    <w:p w14:paraId="5A0A6BA4">
      <w:pPr>
        <w:numPr>
          <w:ilvl w:val="2"/>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本项目工艺用气，由工厂现有供气系统供气，供气管路、阀门采用不锈钢SS304材质。</w:t>
      </w:r>
    </w:p>
    <w:p w14:paraId="11B8278B">
      <w:pPr>
        <w:pStyle w:val="3"/>
        <w:numPr>
          <w:ilvl w:val="1"/>
          <w:numId w:val="9"/>
        </w:numPr>
        <w:spacing w:before="156" w:after="100" w:afterLines="0" w:line="360" w:lineRule="exact"/>
        <w:ind w:firstLineChars="0"/>
        <w:rPr>
          <w:rFonts w:cs="宋体"/>
          <w:sz w:val="24"/>
          <w:szCs w:val="18"/>
        </w:rPr>
      </w:pPr>
      <w:r>
        <w:rPr>
          <w:rFonts w:hint="eastAsia" w:cs="宋体"/>
          <w:sz w:val="24"/>
          <w:szCs w:val="18"/>
        </w:rPr>
        <w:t xml:space="preserve"> </w:t>
      </w:r>
      <w:bookmarkStart w:id="332" w:name="_Toc5531"/>
      <w:bookmarkStart w:id="333" w:name="_Toc9989"/>
      <w:bookmarkStart w:id="334" w:name="_Toc2881"/>
      <w:r>
        <w:rPr>
          <w:rFonts w:hint="eastAsia" w:cs="宋体"/>
          <w:sz w:val="24"/>
          <w:szCs w:val="18"/>
        </w:rPr>
        <w:t>臭气处理系统仪控设备技术要求</w:t>
      </w:r>
      <w:bookmarkEnd w:id="332"/>
      <w:bookmarkEnd w:id="333"/>
      <w:bookmarkEnd w:id="334"/>
    </w:p>
    <w:p w14:paraId="2C9EE82B">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现场就地压力表、温度变送器、压力变送器、现场接线箱、接线盒，均采用质量可靠的防爆产品；</w:t>
      </w:r>
    </w:p>
    <w:p w14:paraId="00680F13">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测量介质为臭气的就地压力表、压力变送器、温度传感器、液位变送器选用进口品牌的产品，且与臭气介质接触部件的材质应选用不锈钢SS316及以上耐腐材质；</w:t>
      </w:r>
    </w:p>
    <w:p w14:paraId="0630D57C">
      <w:pPr>
        <w:pStyle w:val="8"/>
        <w:numPr>
          <w:ilvl w:val="2"/>
          <w:numId w:val="9"/>
        </w:numPr>
        <w:autoSpaceDE/>
        <w:autoSpaceDN/>
        <w:adjustRightInd/>
        <w:snapToGrid w:val="0"/>
        <w:spacing w:before="100" w:after="100" w:line="360" w:lineRule="exact"/>
        <w:textAlignment w:val="auto"/>
        <w:rPr>
          <w:rFonts w:ascii="宋体" w:hAnsi="宋体" w:cs="宋体"/>
          <w:kern w:val="2"/>
          <w:sz w:val="24"/>
          <w:szCs w:val="22"/>
          <w:lang w:val="zh-CN"/>
        </w:rPr>
      </w:pPr>
      <w:r>
        <w:rPr>
          <w:rFonts w:hint="eastAsia" w:ascii="宋体" w:hAnsi="宋体" w:cs="宋体"/>
          <w:kern w:val="2"/>
          <w:sz w:val="24"/>
          <w:szCs w:val="22"/>
          <w:lang w:val="zh-CN"/>
        </w:rPr>
        <w:t>仪表的取压管阀件的材质不低于管道材质；</w:t>
      </w:r>
    </w:p>
    <w:p w14:paraId="1317CAEE">
      <w:pPr>
        <w:pStyle w:val="8"/>
        <w:numPr>
          <w:ilvl w:val="2"/>
          <w:numId w:val="9"/>
        </w:numPr>
        <w:autoSpaceDE/>
        <w:autoSpaceDN/>
        <w:adjustRightInd/>
        <w:snapToGrid w:val="0"/>
        <w:spacing w:before="100" w:after="100" w:line="360" w:lineRule="exact"/>
        <w:textAlignment w:val="auto"/>
        <w:rPr>
          <w:rFonts w:ascii="宋体" w:hAnsi="宋体" w:cs="宋体"/>
          <w:kern w:val="2"/>
          <w:szCs w:val="24"/>
          <w:lang w:val="zh-CN"/>
        </w:rPr>
      </w:pPr>
      <w:r>
        <w:rPr>
          <w:rFonts w:hint="eastAsia" w:ascii="宋体" w:hAnsi="宋体" w:cs="宋体"/>
          <w:kern w:val="2"/>
          <w:sz w:val="24"/>
          <w:szCs w:val="22"/>
          <w:lang w:val="zh-CN"/>
        </w:rPr>
        <w:t>介质为高浓臭气的控制阀，采用质量可靠的产品，且与臭气介质接触部件的材质应选用不锈钢SS316</w:t>
      </w:r>
      <w:r>
        <w:rPr>
          <w:rFonts w:ascii="宋体" w:hAnsi="宋体" w:cs="宋体"/>
          <w:kern w:val="2"/>
          <w:sz w:val="24"/>
          <w:szCs w:val="22"/>
          <w:lang w:val="zh-CN"/>
        </w:rPr>
        <w:t>L</w:t>
      </w:r>
      <w:r>
        <w:rPr>
          <w:rFonts w:hint="eastAsia" w:ascii="宋体" w:hAnsi="宋体" w:cs="宋体"/>
          <w:kern w:val="2"/>
          <w:sz w:val="24"/>
          <w:szCs w:val="22"/>
          <w:lang w:val="zh-CN"/>
        </w:rPr>
        <w:t>及以上耐腐材质；</w:t>
      </w:r>
    </w:p>
    <w:p w14:paraId="49B4056C">
      <w:pPr>
        <w:numPr>
          <w:ilvl w:val="2"/>
          <w:numId w:val="9"/>
        </w:numPr>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根据工艺需要配置有毒气体泄露检测报警系统（GDS）。现场可能存在臭气泄露的点应安装臭气检测报警器，报警信号引至集控中心。</w:t>
      </w:r>
    </w:p>
    <w:p w14:paraId="0EA44842">
      <w:pPr>
        <w:pStyle w:val="8"/>
        <w:autoSpaceDE/>
        <w:autoSpaceDN/>
        <w:adjustRightInd/>
        <w:snapToGrid w:val="0"/>
        <w:spacing w:before="100" w:after="100" w:line="360" w:lineRule="exact"/>
        <w:textAlignment w:val="auto"/>
        <w:rPr>
          <w:rFonts w:ascii="宋体" w:hAnsi="宋体" w:cs="宋体"/>
          <w:b/>
          <w:bCs/>
          <w:color w:val="000000"/>
          <w:spacing w:val="20"/>
          <w:szCs w:val="28"/>
          <w:lang w:val="zh-CN"/>
        </w:rPr>
      </w:pPr>
    </w:p>
    <w:p w14:paraId="126E5CE7">
      <w:pPr>
        <w:pStyle w:val="8"/>
        <w:numPr>
          <w:ilvl w:val="1"/>
          <w:numId w:val="9"/>
        </w:numPr>
        <w:autoSpaceDE/>
        <w:autoSpaceDN/>
        <w:adjustRightInd/>
        <w:snapToGrid w:val="0"/>
        <w:spacing w:before="100" w:after="100" w:line="360" w:lineRule="exact"/>
        <w:textAlignment w:val="auto"/>
        <w:outlineLvl w:val="1"/>
        <w:rPr>
          <w:rFonts w:ascii="宋体" w:hAnsi="宋体" w:cs="宋体"/>
          <w:b/>
          <w:bCs/>
          <w:color w:val="000000"/>
          <w:spacing w:val="20"/>
          <w:szCs w:val="28"/>
          <w:lang w:val="zh-CN"/>
        </w:rPr>
      </w:pPr>
      <w:bookmarkStart w:id="335" w:name="_Toc6769"/>
      <w:bookmarkStart w:id="336" w:name="_Toc31903"/>
      <w:bookmarkStart w:id="337" w:name="_Toc6505"/>
      <w:r>
        <w:rPr>
          <w:rFonts w:hint="eastAsia" w:ascii="宋体" w:hAnsi="宋体" w:cs="宋体"/>
          <w:b/>
          <w:bCs/>
          <w:color w:val="000000"/>
          <w:spacing w:val="20"/>
          <w:szCs w:val="28"/>
          <w:lang w:val="zh-CN"/>
        </w:rPr>
        <w:t>仪控设备（系统）安装技术要求</w:t>
      </w:r>
      <w:bookmarkEnd w:id="335"/>
      <w:bookmarkEnd w:id="336"/>
      <w:bookmarkEnd w:id="337"/>
    </w:p>
    <w:p w14:paraId="7AC3293A">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控制阀安装技术要求</w:t>
      </w:r>
    </w:p>
    <w:p w14:paraId="7526D454">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所有控制阀安装前必须做动作试验并出具试验报告；</w:t>
      </w:r>
    </w:p>
    <w:p w14:paraId="7F7BADE5">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阀门</w:t>
      </w:r>
      <w:r>
        <w:rPr>
          <w:rFonts w:hint="eastAsia" w:ascii="宋体" w:hAnsi="宋体" w:cs="宋体"/>
          <w:sz w:val="24"/>
          <w:szCs w:val="24"/>
        </w:rPr>
        <w:t>尽可能</w:t>
      </w:r>
      <w:r>
        <w:rPr>
          <w:rFonts w:hint="eastAsia" w:ascii="宋体" w:hAnsi="宋体" w:cs="宋体"/>
          <w:sz w:val="24"/>
          <w:szCs w:val="24"/>
          <w:lang w:val="zh-CN"/>
        </w:rPr>
        <w:t>在打开状态下，</w:t>
      </w:r>
      <w:r>
        <w:rPr>
          <w:rFonts w:hint="eastAsia" w:ascii="宋体" w:hAnsi="宋体" w:cs="宋体"/>
          <w:sz w:val="24"/>
          <w:szCs w:val="24"/>
        </w:rPr>
        <w:t>与管道</w:t>
      </w:r>
      <w:r>
        <w:rPr>
          <w:rFonts w:hint="eastAsia" w:ascii="宋体" w:hAnsi="宋体" w:cs="宋体"/>
          <w:sz w:val="24"/>
          <w:szCs w:val="24"/>
          <w:lang w:val="zh-CN"/>
        </w:rPr>
        <w:t>安装焊接；</w:t>
      </w:r>
      <w:r>
        <w:rPr>
          <w:rFonts w:hint="eastAsia" w:ascii="宋体" w:hAnsi="宋体" w:cs="宋体"/>
          <w:sz w:val="24"/>
          <w:szCs w:val="24"/>
        </w:rPr>
        <w:t>焊接、安装时应注意保护好阀座、阀芯和辅助设备；</w:t>
      </w:r>
    </w:p>
    <w:p w14:paraId="2A90324F">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管道清洗</w:t>
      </w:r>
      <w:r>
        <w:rPr>
          <w:rFonts w:hint="eastAsia" w:ascii="宋体" w:hAnsi="宋体" w:cs="宋体"/>
          <w:sz w:val="24"/>
          <w:szCs w:val="24"/>
        </w:rPr>
        <w:t>干净</w:t>
      </w:r>
      <w:r>
        <w:rPr>
          <w:rFonts w:hint="eastAsia" w:ascii="宋体" w:hAnsi="宋体" w:cs="宋体"/>
          <w:sz w:val="24"/>
          <w:szCs w:val="24"/>
          <w:lang w:val="zh-CN"/>
        </w:rPr>
        <w:t>后，</w:t>
      </w:r>
      <w:r>
        <w:rPr>
          <w:rFonts w:hint="eastAsia" w:ascii="宋体" w:hAnsi="宋体" w:cs="宋体"/>
          <w:sz w:val="24"/>
          <w:szCs w:val="24"/>
        </w:rPr>
        <w:t>方</w:t>
      </w:r>
      <w:r>
        <w:rPr>
          <w:rFonts w:hint="eastAsia" w:ascii="宋体" w:hAnsi="宋体" w:cs="宋体"/>
          <w:sz w:val="24"/>
          <w:szCs w:val="24"/>
          <w:lang w:val="zh-CN"/>
        </w:rPr>
        <w:t>可</w:t>
      </w:r>
      <w:r>
        <w:rPr>
          <w:rFonts w:hint="eastAsia" w:ascii="宋体" w:hAnsi="宋体" w:cs="宋体"/>
          <w:sz w:val="24"/>
          <w:szCs w:val="24"/>
        </w:rPr>
        <w:t>操作阀门；</w:t>
      </w:r>
    </w:p>
    <w:p w14:paraId="1B63DDCA">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阀门安装位置和方向兼顾工艺与检修要求；</w:t>
      </w:r>
    </w:p>
    <w:p w14:paraId="4114B0ED">
      <w:pPr>
        <w:numPr>
          <w:ilvl w:val="3"/>
          <w:numId w:val="9"/>
        </w:numPr>
        <w:tabs>
          <w:tab w:val="left" w:pos="0"/>
          <w:tab w:val="left" w:pos="900"/>
        </w:tabs>
        <w:adjustRightInd w:val="0"/>
        <w:snapToGrid w:val="0"/>
        <w:spacing w:before="100" w:after="100" w:line="360" w:lineRule="exact"/>
        <w:rPr>
          <w:rFonts w:ascii="宋体" w:hAnsi="宋体" w:cs="宋体"/>
          <w:bCs/>
          <w:sz w:val="24"/>
          <w:szCs w:val="24"/>
        </w:rPr>
      </w:pPr>
      <w:r>
        <w:rPr>
          <w:rFonts w:hint="eastAsia" w:ascii="宋体" w:hAnsi="宋体" w:cs="宋体"/>
          <w:bCs/>
          <w:sz w:val="24"/>
          <w:szCs w:val="24"/>
        </w:rPr>
        <w:t>蒸煮区垂直地面方向安装D</w:t>
      </w:r>
      <w:r>
        <w:rPr>
          <w:rFonts w:ascii="宋体" w:hAnsi="宋体" w:cs="宋体"/>
          <w:bCs/>
          <w:sz w:val="24"/>
          <w:szCs w:val="24"/>
        </w:rPr>
        <w:t>N</w:t>
      </w:r>
      <w:r>
        <w:rPr>
          <w:rFonts w:hint="eastAsia" w:ascii="宋体" w:hAnsi="宋体" w:cs="宋体"/>
          <w:bCs/>
          <w:sz w:val="24"/>
          <w:szCs w:val="24"/>
        </w:rPr>
        <w:t>≥</w:t>
      </w:r>
      <w:r>
        <w:rPr>
          <w:rFonts w:ascii="宋体" w:hAnsi="宋体" w:cs="宋体"/>
          <w:bCs/>
          <w:sz w:val="24"/>
          <w:szCs w:val="24"/>
        </w:rPr>
        <w:t>300</w:t>
      </w:r>
      <w:r>
        <w:rPr>
          <w:rFonts w:hint="eastAsia" w:ascii="宋体" w:hAnsi="宋体" w:cs="宋体"/>
          <w:bCs/>
          <w:sz w:val="24"/>
          <w:szCs w:val="24"/>
        </w:rPr>
        <w:t>的阀门执行机构安装弹性支撑装置。</w:t>
      </w:r>
    </w:p>
    <w:p w14:paraId="1F9AD27F">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流量计安装技术要求</w:t>
      </w:r>
    </w:p>
    <w:p w14:paraId="5975128D">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直管段要求：按仪表说明书要求；</w:t>
      </w:r>
    </w:p>
    <w:p w14:paraId="47A54DF8">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rPr>
        <w:t>电磁流量</w:t>
      </w:r>
      <w:r>
        <w:rPr>
          <w:rFonts w:hint="eastAsia" w:ascii="宋体" w:hAnsi="宋体" w:cs="宋体"/>
          <w:sz w:val="24"/>
          <w:szCs w:val="24"/>
          <w:lang w:val="zh-CN"/>
        </w:rPr>
        <w:t>传感器两侧管道安装焊接时，传感器两侧管道法兰要大导线跨接，保护传感器；</w:t>
      </w:r>
    </w:p>
    <w:p w14:paraId="4C9CE8C1">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电磁流量计传感器跟管道法兰跨接线要按标准连接；</w:t>
      </w:r>
    </w:p>
    <w:p w14:paraId="408D03A4">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电磁流量计的电源取自现场FB箱，仪表电源使用DCS的</w:t>
      </w:r>
      <w:r>
        <w:rPr>
          <w:rFonts w:ascii="宋体" w:hAnsi="宋体" w:cs="宋体"/>
          <w:sz w:val="24"/>
          <w:szCs w:val="24"/>
          <w:lang w:val="zh-CN"/>
        </w:rPr>
        <w:t>UPS</w:t>
      </w:r>
      <w:r>
        <w:rPr>
          <w:rFonts w:hint="eastAsia" w:ascii="宋体" w:hAnsi="宋体" w:cs="宋体"/>
          <w:sz w:val="24"/>
          <w:szCs w:val="24"/>
          <w:lang w:val="zh-CN"/>
        </w:rPr>
        <w:t>电源；</w:t>
      </w:r>
    </w:p>
    <w:p w14:paraId="373378BD">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流量计安装位置兼顾工艺与检修要求；</w:t>
      </w:r>
    </w:p>
    <w:p w14:paraId="702D88D5">
      <w:pPr>
        <w:numPr>
          <w:ilvl w:val="3"/>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用于蒸汽场合的差压型流量仪表采用冷凝罐。</w:t>
      </w:r>
    </w:p>
    <w:p w14:paraId="10D1E96C">
      <w:pPr>
        <w:numPr>
          <w:ilvl w:val="2"/>
          <w:numId w:val="9"/>
        </w:numPr>
        <w:tabs>
          <w:tab w:val="left" w:pos="0"/>
        </w:tabs>
        <w:adjustRightInd w:val="0"/>
        <w:snapToGrid w:val="0"/>
        <w:spacing w:before="100" w:after="100" w:line="360" w:lineRule="exact"/>
      </w:pPr>
      <w:r>
        <w:rPr>
          <w:rFonts w:hint="eastAsia" w:ascii="宋体" w:hAnsi="宋体" w:cs="宋体"/>
          <w:b/>
          <w:bCs/>
          <w:sz w:val="24"/>
          <w:szCs w:val="24"/>
        </w:rPr>
        <w:t>精密、敏感的传感器安装技术要求</w:t>
      </w:r>
    </w:p>
    <w:p w14:paraId="012D308A">
      <w:pPr>
        <w:tabs>
          <w:tab w:val="left" w:pos="0"/>
        </w:tabs>
        <w:adjustRightInd w:val="0"/>
        <w:snapToGrid w:val="0"/>
        <w:spacing w:before="100" w:after="100" w:line="360" w:lineRule="exact"/>
        <w:ind w:left="425" w:firstLine="240" w:firstLineChars="100"/>
      </w:pPr>
      <w:r>
        <w:rPr>
          <w:rFonts w:hint="eastAsia" w:ascii="宋体" w:hAnsi="宋体" w:cs="宋体"/>
          <w:sz w:val="24"/>
          <w:szCs w:val="24"/>
        </w:rPr>
        <w:t>23.3.1 安装在管道中的精密、敏感的传感器，须在管道吹扫试压后才能安装。</w:t>
      </w:r>
    </w:p>
    <w:p w14:paraId="08FD0DAD">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控制阀、仪表管路、管件、附件安装技术要求</w:t>
      </w:r>
    </w:p>
    <w:p w14:paraId="49CBA865">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bCs/>
          <w:sz w:val="24"/>
          <w:szCs w:val="22"/>
        </w:rPr>
      </w:pPr>
      <w:r>
        <w:rPr>
          <w:rFonts w:hint="eastAsia" w:ascii="宋体" w:hAnsi="宋体" w:cs="宋体"/>
          <w:sz w:val="24"/>
          <w:szCs w:val="22"/>
        </w:rPr>
        <w:t>阀门气动管路</w:t>
      </w:r>
      <w:r>
        <w:rPr>
          <w:rFonts w:hint="eastAsia" w:ascii="宋体" w:hAnsi="宋体" w:cs="宋体"/>
          <w:bCs/>
          <w:sz w:val="24"/>
          <w:szCs w:val="22"/>
        </w:rPr>
        <w:t>采用φ10*1.0（DN＜</w:t>
      </w:r>
      <w:r>
        <w:rPr>
          <w:rFonts w:ascii="宋体" w:hAnsi="宋体" w:cs="宋体"/>
          <w:bCs/>
          <w:sz w:val="24"/>
          <w:szCs w:val="22"/>
        </w:rPr>
        <w:t>250</w:t>
      </w:r>
      <w:r>
        <w:rPr>
          <w:rFonts w:hint="eastAsia" w:ascii="宋体" w:hAnsi="宋体" w:cs="宋体"/>
          <w:bCs/>
          <w:sz w:val="24"/>
          <w:szCs w:val="22"/>
        </w:rPr>
        <w:t>）、φ1</w:t>
      </w:r>
      <w:r>
        <w:rPr>
          <w:rFonts w:ascii="宋体" w:hAnsi="宋体" w:cs="宋体"/>
          <w:bCs/>
          <w:sz w:val="24"/>
          <w:szCs w:val="22"/>
        </w:rPr>
        <w:t>2</w:t>
      </w:r>
      <w:r>
        <w:rPr>
          <w:rFonts w:hint="eastAsia" w:ascii="宋体" w:hAnsi="宋体" w:cs="宋体"/>
          <w:bCs/>
          <w:sz w:val="24"/>
          <w:szCs w:val="22"/>
        </w:rPr>
        <w:t>*1.</w:t>
      </w:r>
      <w:r>
        <w:rPr>
          <w:rFonts w:ascii="宋体" w:hAnsi="宋体" w:cs="宋体"/>
          <w:bCs/>
          <w:sz w:val="24"/>
          <w:szCs w:val="22"/>
        </w:rPr>
        <w:t>0</w:t>
      </w:r>
      <w:r>
        <w:rPr>
          <w:rFonts w:hint="eastAsia" w:ascii="宋体" w:hAnsi="宋体" w:cs="宋体"/>
          <w:bCs/>
          <w:sz w:val="24"/>
          <w:szCs w:val="22"/>
        </w:rPr>
        <w:t>（2</w:t>
      </w:r>
      <w:r>
        <w:rPr>
          <w:rFonts w:ascii="宋体" w:hAnsi="宋体" w:cs="宋体"/>
          <w:bCs/>
          <w:sz w:val="24"/>
          <w:szCs w:val="22"/>
        </w:rPr>
        <w:t>50</w:t>
      </w:r>
      <w:r>
        <w:rPr>
          <w:rFonts w:hint="eastAsia" w:ascii="宋体" w:hAnsi="宋体" w:cs="宋体"/>
          <w:bCs/>
          <w:sz w:val="24"/>
          <w:szCs w:val="22"/>
        </w:rPr>
        <w:t>≤DN≤300）、D</w:t>
      </w:r>
      <w:r>
        <w:rPr>
          <w:rFonts w:ascii="宋体" w:hAnsi="宋体" w:cs="宋体"/>
          <w:bCs/>
          <w:sz w:val="24"/>
          <w:szCs w:val="22"/>
        </w:rPr>
        <w:t>N15</w:t>
      </w:r>
      <w:r>
        <w:rPr>
          <w:rFonts w:hint="eastAsia" w:ascii="宋体" w:hAnsi="宋体" w:cs="宋体"/>
          <w:bCs/>
          <w:sz w:val="24"/>
          <w:szCs w:val="22"/>
        </w:rPr>
        <w:t>*</w:t>
      </w:r>
      <w:r>
        <w:rPr>
          <w:rFonts w:ascii="宋体" w:hAnsi="宋体" w:cs="宋体"/>
          <w:bCs/>
          <w:sz w:val="24"/>
          <w:szCs w:val="22"/>
        </w:rPr>
        <w:t>2</w:t>
      </w:r>
      <w:r>
        <w:rPr>
          <w:rFonts w:hint="eastAsia" w:ascii="宋体" w:hAnsi="宋体" w:cs="宋体"/>
          <w:bCs/>
          <w:sz w:val="24"/>
          <w:szCs w:val="22"/>
        </w:rPr>
        <w:t>（DN≥3</w:t>
      </w:r>
      <w:r>
        <w:rPr>
          <w:rFonts w:ascii="宋体" w:hAnsi="宋体" w:cs="宋体"/>
          <w:bCs/>
          <w:sz w:val="24"/>
          <w:szCs w:val="22"/>
        </w:rPr>
        <w:t>50</w:t>
      </w:r>
      <w:r>
        <w:rPr>
          <w:rFonts w:hint="eastAsia" w:ascii="宋体" w:hAnsi="宋体" w:cs="宋体"/>
          <w:bCs/>
          <w:sz w:val="24"/>
          <w:szCs w:val="22"/>
        </w:rPr>
        <w:t xml:space="preserve">）不锈钢管； </w:t>
      </w:r>
    </w:p>
    <w:p w14:paraId="5BD66B28">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bCs/>
          <w:sz w:val="24"/>
          <w:szCs w:val="22"/>
        </w:rPr>
      </w:pPr>
      <w:r>
        <w:rPr>
          <w:rFonts w:hint="eastAsia" w:ascii="宋体" w:hAnsi="宋体" w:cs="宋体"/>
          <w:bCs/>
          <w:sz w:val="24"/>
          <w:szCs w:val="22"/>
        </w:rPr>
        <w:t>变送器导压管采用φ14*</w:t>
      </w:r>
      <w:r>
        <w:rPr>
          <w:rFonts w:ascii="宋体" w:hAnsi="宋体" w:cs="宋体"/>
          <w:bCs/>
          <w:sz w:val="24"/>
          <w:szCs w:val="22"/>
        </w:rPr>
        <w:t>2</w:t>
      </w:r>
      <w:r>
        <w:rPr>
          <w:rFonts w:hint="eastAsia" w:ascii="宋体" w:hAnsi="宋体" w:cs="宋体"/>
          <w:bCs/>
          <w:sz w:val="24"/>
          <w:szCs w:val="22"/>
        </w:rPr>
        <w:t>不锈钢管，带一次门截止阀，截止阀压力等级要高于管道压力</w:t>
      </w:r>
      <w:r>
        <w:rPr>
          <w:rFonts w:ascii="宋体" w:hAnsi="宋体" w:cs="宋体"/>
          <w:bCs/>
          <w:sz w:val="24"/>
          <w:szCs w:val="22"/>
        </w:rPr>
        <w:t>1</w:t>
      </w:r>
      <w:r>
        <w:rPr>
          <w:rFonts w:hint="eastAsia" w:ascii="宋体" w:hAnsi="宋体" w:cs="宋体"/>
          <w:bCs/>
          <w:sz w:val="24"/>
          <w:szCs w:val="22"/>
        </w:rPr>
        <w:t>级以上。</w:t>
      </w:r>
    </w:p>
    <w:p w14:paraId="7ACB3065">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电缆桥架和电缆敷设技术要求</w:t>
      </w:r>
    </w:p>
    <w:p w14:paraId="3A6C4973">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bCs/>
          <w:sz w:val="24"/>
          <w:szCs w:val="22"/>
        </w:rPr>
      </w:pPr>
      <w:r>
        <w:rPr>
          <w:rFonts w:hint="eastAsia" w:ascii="宋体" w:hAnsi="宋体" w:cs="宋体"/>
          <w:bCs/>
          <w:sz w:val="24"/>
          <w:szCs w:val="22"/>
        </w:rPr>
        <w:t>穿线管采用镀锌钢管，内径要有</w:t>
      </w:r>
      <w:r>
        <w:rPr>
          <w:rFonts w:ascii="宋体" w:hAnsi="宋体" w:cs="宋体"/>
          <w:bCs/>
          <w:sz w:val="24"/>
          <w:szCs w:val="22"/>
        </w:rPr>
        <w:t>50</w:t>
      </w:r>
      <w:r>
        <w:rPr>
          <w:rFonts w:hint="eastAsia" w:ascii="宋体" w:hAnsi="宋体" w:cs="宋体"/>
          <w:bCs/>
          <w:sz w:val="24"/>
          <w:szCs w:val="22"/>
        </w:rPr>
        <w:t>%的余量，穿线管端口内壁必须倒角处理；</w:t>
      </w:r>
    </w:p>
    <w:p w14:paraId="1DD4EBB1">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bCs/>
          <w:sz w:val="24"/>
          <w:szCs w:val="22"/>
        </w:rPr>
      </w:pPr>
      <w:r>
        <w:rPr>
          <w:rFonts w:hint="eastAsia" w:ascii="宋体" w:hAnsi="宋体" w:cs="宋体"/>
          <w:sz w:val="24"/>
          <w:szCs w:val="22"/>
        </w:rPr>
        <w:t>所有穿线管、接线箱、仪表桥架必须接地；</w:t>
      </w:r>
    </w:p>
    <w:p w14:paraId="3ABED234">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bCs/>
          <w:sz w:val="24"/>
          <w:szCs w:val="22"/>
        </w:rPr>
      </w:pPr>
      <w:r>
        <w:rPr>
          <w:rFonts w:hint="eastAsia" w:ascii="宋体" w:hAnsi="宋体" w:cs="宋体"/>
          <w:sz w:val="24"/>
          <w:szCs w:val="22"/>
        </w:rPr>
        <w:t>末端采用保护软管过渡，长度不得超过1米；</w:t>
      </w:r>
    </w:p>
    <w:p w14:paraId="70E2EB8D">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rPr>
      </w:pPr>
      <w:r>
        <w:rPr>
          <w:rFonts w:hint="eastAsia" w:ascii="宋体" w:hAnsi="宋体" w:cs="宋体"/>
          <w:sz w:val="24"/>
          <w:szCs w:val="22"/>
        </w:rPr>
        <w:t>电缆标识牌内容包含电缆编号、终（起）点，采用激光打印；</w:t>
      </w:r>
    </w:p>
    <w:p w14:paraId="58EA1F13">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rPr>
      </w:pPr>
      <w:r>
        <w:rPr>
          <w:rFonts w:hint="eastAsia" w:ascii="宋体" w:hAnsi="宋体" w:cs="宋体"/>
          <w:sz w:val="24"/>
          <w:szCs w:val="22"/>
        </w:rPr>
        <w:t>电缆信号芯号码管标识内容，端子号、位号；</w:t>
      </w:r>
    </w:p>
    <w:p w14:paraId="67542956">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rPr>
      </w:pPr>
      <w:r>
        <w:rPr>
          <w:rFonts w:hint="eastAsia" w:ascii="宋体" w:hAnsi="宋体" w:cs="宋体"/>
          <w:sz w:val="24"/>
          <w:szCs w:val="22"/>
        </w:rPr>
        <w:t>所有备用电缆必须接入端子排；</w:t>
      </w:r>
    </w:p>
    <w:p w14:paraId="25AE4501">
      <w:pPr>
        <w:pStyle w:val="16"/>
        <w:numPr>
          <w:ilvl w:val="3"/>
          <w:numId w:val="9"/>
        </w:numPr>
        <w:tabs>
          <w:tab w:val="left" w:pos="992"/>
        </w:tabs>
        <w:snapToGrid w:val="0"/>
        <w:spacing w:before="100" w:after="100" w:line="360" w:lineRule="exact"/>
        <w:rPr>
          <w:rFonts w:ascii="宋体" w:hAnsi="宋体" w:cs="宋体"/>
          <w:b w:val="0"/>
          <w:kern w:val="0"/>
          <w:sz w:val="24"/>
          <w:szCs w:val="24"/>
        </w:rPr>
      </w:pPr>
      <w:r>
        <w:rPr>
          <w:rFonts w:hint="eastAsia" w:ascii="宋体" w:hAnsi="宋体" w:cs="宋体"/>
          <w:b w:val="0"/>
          <w:kern w:val="0"/>
          <w:sz w:val="24"/>
          <w:szCs w:val="24"/>
        </w:rPr>
        <w:t>所有现场电缆、管缆的进出两边均按规范作出标识，便于运行过程中的维护；从电缆桥架到仪表安装位置的电缆必须用穿线管敷设。</w:t>
      </w:r>
    </w:p>
    <w:p w14:paraId="7137392D">
      <w:pPr>
        <w:pStyle w:val="7"/>
        <w:snapToGrid w:val="0"/>
        <w:spacing w:before="100" w:after="100" w:line="360" w:lineRule="exact"/>
      </w:pPr>
    </w:p>
    <w:p w14:paraId="3E28D4BB">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变送器、就地压力表安装检定技术要求</w:t>
      </w:r>
    </w:p>
    <w:p w14:paraId="5377C55C">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rPr>
      </w:pPr>
      <w:r>
        <w:rPr>
          <w:rFonts w:hint="eastAsia" w:ascii="宋体" w:hAnsi="宋体" w:cs="宋体"/>
          <w:sz w:val="24"/>
          <w:szCs w:val="22"/>
        </w:rPr>
        <w:t>安装前，必须检定并出具检定报告，安装后贴上检定标签；</w:t>
      </w:r>
    </w:p>
    <w:p w14:paraId="7D17F542">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rPr>
      </w:pPr>
      <w:r>
        <w:rPr>
          <w:rFonts w:hint="eastAsia" w:ascii="宋体" w:hAnsi="宋体" w:cs="宋体"/>
          <w:sz w:val="24"/>
          <w:szCs w:val="22"/>
        </w:rPr>
        <w:t>就地压力表根据规范贴三色标计。</w:t>
      </w:r>
    </w:p>
    <w:p w14:paraId="39E5150D">
      <w:pPr>
        <w:numPr>
          <w:ilvl w:val="2"/>
          <w:numId w:val="9"/>
        </w:numPr>
        <w:tabs>
          <w:tab w:val="left" w:pos="0"/>
        </w:tabs>
        <w:adjustRightInd w:val="0"/>
        <w:snapToGrid w:val="0"/>
        <w:spacing w:before="100" w:after="100" w:line="360" w:lineRule="exact"/>
        <w:rPr>
          <w:rFonts w:ascii="宋体" w:hAnsi="宋体" w:cs="宋体"/>
          <w:b/>
          <w:bCs/>
          <w:sz w:val="24"/>
          <w:szCs w:val="24"/>
        </w:rPr>
      </w:pPr>
      <w:r>
        <w:rPr>
          <w:rFonts w:hint="eastAsia" w:ascii="宋体" w:hAnsi="宋体" w:cs="宋体"/>
          <w:b/>
          <w:bCs/>
          <w:sz w:val="24"/>
          <w:szCs w:val="24"/>
        </w:rPr>
        <w:t>仪表接地</w:t>
      </w:r>
    </w:p>
    <w:p w14:paraId="78B88FE8">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rPr>
      </w:pPr>
      <w:r>
        <w:rPr>
          <w:rFonts w:hint="eastAsia" w:ascii="宋体" w:hAnsi="宋体" w:cs="宋体"/>
          <w:sz w:val="24"/>
          <w:szCs w:val="22"/>
        </w:rPr>
        <w:t>仪表接地采用等电位接地方式，仪表控制系统侧设有工作接地和保护接地两个汇流条，汇总后与电气的接地网络连接；</w:t>
      </w:r>
    </w:p>
    <w:p w14:paraId="19D3FBAA">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rPr>
      </w:pPr>
      <w:r>
        <w:rPr>
          <w:rFonts w:hint="eastAsia" w:ascii="宋体" w:hAnsi="宋体" w:cs="宋体"/>
          <w:sz w:val="24"/>
          <w:szCs w:val="22"/>
        </w:rPr>
        <w:t>现场盘、仪表电缆桥架、仪表设备、仪表接线箱和仪表密封接头的仪表安全接地在现场通过框架直接与电气接地网连接；工作接地应在仪表控制系统侧接至仪表工作接地汇流条上。</w:t>
      </w:r>
    </w:p>
    <w:p w14:paraId="1688BD69">
      <w:pPr>
        <w:numPr>
          <w:ilvl w:val="2"/>
          <w:numId w:val="9"/>
        </w:numPr>
        <w:tabs>
          <w:tab w:val="left" w:pos="0"/>
        </w:tabs>
        <w:adjustRightInd w:val="0"/>
        <w:snapToGrid w:val="0"/>
        <w:spacing w:before="100" w:after="100" w:line="360" w:lineRule="exact"/>
        <w:rPr>
          <w:rFonts w:ascii="宋体" w:hAnsi="宋体" w:cs="宋体"/>
          <w:b/>
          <w:bCs/>
          <w:sz w:val="24"/>
          <w:szCs w:val="24"/>
          <w:lang w:val="zh-CN"/>
        </w:rPr>
      </w:pPr>
      <w:r>
        <w:rPr>
          <w:rFonts w:hint="eastAsia" w:ascii="宋体" w:hAnsi="宋体" w:cs="宋体"/>
          <w:b/>
          <w:bCs/>
          <w:sz w:val="24"/>
          <w:szCs w:val="24"/>
          <w:lang w:val="zh-CN"/>
        </w:rPr>
        <w:t>仪控设备（系统）调试技术要求</w:t>
      </w:r>
    </w:p>
    <w:p w14:paraId="65F4EA52">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lang w:val="zh-CN"/>
        </w:rPr>
      </w:pPr>
      <w:r>
        <w:rPr>
          <w:rFonts w:hint="eastAsia" w:ascii="宋体" w:hAnsi="宋体" w:cs="宋体"/>
          <w:sz w:val="24"/>
          <w:szCs w:val="22"/>
          <w:lang w:val="zh-CN"/>
        </w:rPr>
        <w:t>调节阀0-100%开度调试，开关阀位置反馈调试；</w:t>
      </w:r>
    </w:p>
    <w:p w14:paraId="093DB1EC">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lang w:val="zh-CN"/>
        </w:rPr>
      </w:pPr>
      <w:r>
        <w:rPr>
          <w:rFonts w:hint="eastAsia" w:ascii="宋体" w:hAnsi="宋体" w:cs="宋体"/>
          <w:sz w:val="24"/>
          <w:szCs w:val="22"/>
          <w:lang w:val="zh-CN"/>
        </w:rPr>
        <w:t>流量计、浓度计和变送器等，通电后检查组态参数；</w:t>
      </w:r>
    </w:p>
    <w:p w14:paraId="1EC9E88C">
      <w:pPr>
        <w:pStyle w:val="8"/>
        <w:numPr>
          <w:ilvl w:val="3"/>
          <w:numId w:val="9"/>
        </w:numPr>
        <w:tabs>
          <w:tab w:val="left" w:pos="992"/>
        </w:tabs>
        <w:autoSpaceDE/>
        <w:autoSpaceDN/>
        <w:adjustRightInd/>
        <w:snapToGrid w:val="0"/>
        <w:spacing w:before="100" w:after="100" w:line="360" w:lineRule="exact"/>
        <w:textAlignment w:val="auto"/>
        <w:rPr>
          <w:rFonts w:ascii="宋体" w:hAnsi="宋体" w:cs="宋体"/>
          <w:sz w:val="24"/>
          <w:szCs w:val="22"/>
          <w:lang w:val="zh-CN"/>
        </w:rPr>
      </w:pPr>
      <w:r>
        <w:rPr>
          <w:rFonts w:hint="eastAsia" w:ascii="宋体" w:hAnsi="宋体" w:cs="宋体"/>
          <w:sz w:val="24"/>
          <w:szCs w:val="22"/>
          <w:lang w:val="zh-CN"/>
        </w:rPr>
        <w:t>做好调试记录，经负责人签字确认后才可投入使用。</w:t>
      </w:r>
    </w:p>
    <w:p w14:paraId="2BC44DAB">
      <w:pPr>
        <w:pStyle w:val="8"/>
        <w:numPr>
          <w:ilvl w:val="0"/>
          <w:numId w:val="9"/>
        </w:numPr>
        <w:autoSpaceDE/>
        <w:autoSpaceDN/>
        <w:adjustRightInd/>
        <w:snapToGrid w:val="0"/>
        <w:spacing w:before="100" w:after="100" w:line="360" w:lineRule="exact"/>
        <w:textAlignment w:val="auto"/>
        <w:outlineLvl w:val="0"/>
        <w:rPr>
          <w:rFonts w:ascii="宋体" w:hAnsi="宋体" w:cs="宋体"/>
          <w:b/>
          <w:bCs/>
          <w:color w:val="000000"/>
          <w:spacing w:val="20"/>
          <w:szCs w:val="28"/>
        </w:rPr>
      </w:pPr>
      <w:bookmarkStart w:id="338" w:name="_Toc17225"/>
      <w:bookmarkStart w:id="339" w:name="_Toc25822"/>
      <w:bookmarkStart w:id="340" w:name="_Toc13870"/>
      <w:r>
        <w:rPr>
          <w:rFonts w:hint="eastAsia" w:ascii="宋体" w:hAnsi="宋体" w:cs="宋体"/>
          <w:b/>
          <w:bCs/>
          <w:color w:val="000000"/>
          <w:spacing w:val="20"/>
          <w:szCs w:val="28"/>
        </w:rPr>
        <w:t>工业监控系统</w:t>
      </w:r>
      <w:bookmarkEnd w:id="338"/>
      <w:bookmarkEnd w:id="339"/>
      <w:bookmarkEnd w:id="340"/>
    </w:p>
    <w:p w14:paraId="6C5F0AF0">
      <w:pPr>
        <w:numPr>
          <w:ilvl w:val="1"/>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本工程设置工业电视监视系统，对生产重要部位的运行情况及厂区安全情况进行监视。</w:t>
      </w:r>
      <w:r>
        <w:rPr>
          <w:rFonts w:hint="eastAsia" w:ascii="宋体" w:hAnsi="宋体" w:cs="宋体"/>
          <w:sz w:val="24"/>
          <w:szCs w:val="24"/>
        </w:rPr>
        <w:t>集控大楼中央控制室配置1台服务器，3个24寸的显示屏；</w:t>
      </w:r>
    </w:p>
    <w:p w14:paraId="70F05F65">
      <w:pPr>
        <w:numPr>
          <w:ilvl w:val="1"/>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视频画面需能在现有的集控中心大屏显示，要求与电气智能化监控系统实现通讯；</w:t>
      </w:r>
    </w:p>
    <w:p w14:paraId="0AE7FB41">
      <w:pPr>
        <w:numPr>
          <w:ilvl w:val="1"/>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蒸煮、洗选现场值班室，</w:t>
      </w:r>
      <w:r>
        <w:rPr>
          <w:rFonts w:hint="eastAsia" w:ascii="宋体" w:hAnsi="宋体" w:cs="宋体"/>
          <w:sz w:val="24"/>
          <w:szCs w:val="24"/>
        </w:rPr>
        <w:t>各配置1台网络硬盘录像机和</w:t>
      </w:r>
      <w:r>
        <w:rPr>
          <w:rFonts w:hint="eastAsia" w:ascii="宋体" w:hAnsi="宋体" w:cs="宋体"/>
          <w:sz w:val="24"/>
          <w:szCs w:val="24"/>
          <w:lang w:val="zh-CN"/>
        </w:rPr>
        <w:t>2个</w:t>
      </w:r>
      <w:r>
        <w:rPr>
          <w:rFonts w:ascii="宋体" w:hAnsi="宋体" w:cs="宋体"/>
          <w:sz w:val="24"/>
          <w:szCs w:val="24"/>
          <w:lang w:val="zh-CN"/>
        </w:rPr>
        <w:t>6</w:t>
      </w:r>
      <w:r>
        <w:rPr>
          <w:rFonts w:hint="eastAsia" w:ascii="宋体" w:hAnsi="宋体" w:cs="宋体"/>
          <w:sz w:val="24"/>
          <w:szCs w:val="24"/>
          <w:lang w:val="zh-CN"/>
        </w:rPr>
        <w:t>5寸显示屏显示，</w:t>
      </w:r>
      <w:r>
        <w:rPr>
          <w:rFonts w:hint="eastAsia" w:ascii="宋体" w:hAnsi="宋体" w:cs="宋体"/>
          <w:sz w:val="24"/>
          <w:szCs w:val="24"/>
        </w:rPr>
        <w:t>并预埋穿线管布置电话线和网线</w:t>
      </w:r>
      <w:r>
        <w:rPr>
          <w:rFonts w:hint="eastAsia" w:ascii="宋体" w:hAnsi="宋体" w:cs="宋体"/>
          <w:sz w:val="24"/>
          <w:szCs w:val="24"/>
          <w:lang w:val="zh-CN"/>
        </w:rPr>
        <w:t>；</w:t>
      </w:r>
    </w:p>
    <w:p w14:paraId="2FFB871F">
      <w:pPr>
        <w:numPr>
          <w:ilvl w:val="1"/>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用于通信的交换机为工业级；</w:t>
      </w:r>
    </w:p>
    <w:p w14:paraId="1CBC9761">
      <w:pPr>
        <w:numPr>
          <w:ilvl w:val="1"/>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网线使用六类网线，距离超过50米使用光纤通信；</w:t>
      </w:r>
    </w:p>
    <w:p w14:paraId="50235650">
      <w:pPr>
        <w:numPr>
          <w:ilvl w:val="1"/>
          <w:numId w:val="9"/>
        </w:numPr>
        <w:tabs>
          <w:tab w:val="left" w:pos="992"/>
        </w:tabs>
        <w:autoSpaceDE w:val="0"/>
        <w:autoSpaceDN w:val="0"/>
        <w:snapToGrid w:val="0"/>
        <w:spacing w:before="100" w:after="100" w:line="360" w:lineRule="exact"/>
        <w:rPr>
          <w:rFonts w:ascii="宋体" w:hAnsi="宋体" w:cs="宋体"/>
          <w:sz w:val="24"/>
          <w:szCs w:val="24"/>
          <w:lang w:val="zh-CN"/>
        </w:rPr>
      </w:pPr>
      <w:r>
        <w:rPr>
          <w:rFonts w:hint="eastAsia" w:ascii="宋体" w:hAnsi="宋体" w:cs="宋体"/>
          <w:sz w:val="24"/>
          <w:szCs w:val="24"/>
          <w:lang w:val="zh-CN"/>
        </w:rPr>
        <w:t>服务器硬盘容量设计符合支持回看</w:t>
      </w:r>
      <w:r>
        <w:rPr>
          <w:rFonts w:ascii="宋体" w:hAnsi="宋体" w:cs="宋体"/>
          <w:sz w:val="24"/>
          <w:szCs w:val="24"/>
          <w:lang w:val="zh-CN"/>
        </w:rPr>
        <w:t>1</w:t>
      </w:r>
      <w:r>
        <w:rPr>
          <w:rFonts w:hint="eastAsia" w:ascii="宋体" w:hAnsi="宋体" w:cs="宋体"/>
          <w:sz w:val="24"/>
          <w:szCs w:val="24"/>
          <w:lang w:val="zh-CN"/>
        </w:rPr>
        <w:t>个月以上视频画面的要求；</w:t>
      </w:r>
    </w:p>
    <w:p w14:paraId="262ABBEA">
      <w:pPr>
        <w:numPr>
          <w:ilvl w:val="1"/>
          <w:numId w:val="9"/>
        </w:numPr>
        <w:tabs>
          <w:tab w:val="left" w:pos="992"/>
        </w:tabs>
        <w:autoSpaceDE w:val="0"/>
        <w:autoSpaceDN w:val="0"/>
        <w:snapToGrid w:val="0"/>
        <w:spacing w:before="100" w:after="100" w:line="360" w:lineRule="exact"/>
        <w:rPr>
          <w:rFonts w:ascii="宋体" w:hAnsi="宋体" w:cs="宋体"/>
          <w:color w:val="000000" w:themeColor="text1"/>
          <w:sz w:val="24"/>
          <w:szCs w:val="24"/>
          <w:lang w:val="zh-CN"/>
          <w14:textFill>
            <w14:solidFill>
              <w14:schemeClr w14:val="tx1"/>
            </w14:solidFill>
          </w14:textFill>
        </w:rPr>
      </w:pPr>
      <w:r>
        <w:rPr>
          <w:rFonts w:hint="eastAsia" w:ascii="宋体" w:hAnsi="宋体" w:cs="宋体"/>
          <w:color w:val="000000" w:themeColor="text1"/>
          <w:sz w:val="24"/>
          <w:szCs w:val="24"/>
          <w:lang w:val="zh-CN"/>
          <w14:textFill>
            <w14:solidFill>
              <w14:schemeClr w14:val="tx1"/>
            </w14:solidFill>
          </w14:textFill>
        </w:rPr>
        <w:t>摄像头要求不低于6</w:t>
      </w:r>
      <w:r>
        <w:rPr>
          <w:rFonts w:ascii="宋体" w:hAnsi="宋体" w:cs="宋体"/>
          <w:color w:val="000000" w:themeColor="text1"/>
          <w:sz w:val="24"/>
          <w:szCs w:val="24"/>
          <w:lang w:val="zh-CN"/>
          <w14:textFill>
            <w14:solidFill>
              <w14:schemeClr w14:val="tx1"/>
            </w14:solidFill>
          </w14:textFill>
        </w:rPr>
        <w:t>00</w:t>
      </w:r>
      <w:r>
        <w:rPr>
          <w:rFonts w:hint="eastAsia" w:ascii="宋体" w:hAnsi="宋体" w:cs="宋体"/>
          <w:color w:val="000000" w:themeColor="text1"/>
          <w:sz w:val="24"/>
          <w:szCs w:val="24"/>
          <w:lang w:val="zh-CN"/>
          <w14:textFill>
            <w14:solidFill>
              <w14:schemeClr w14:val="tx1"/>
            </w14:solidFill>
          </w14:textFill>
        </w:rPr>
        <w:t>万像素，满足夜间监控；</w:t>
      </w:r>
    </w:p>
    <w:p w14:paraId="5EB01439">
      <w:pPr>
        <w:numPr>
          <w:ilvl w:val="1"/>
          <w:numId w:val="9"/>
        </w:numPr>
        <w:tabs>
          <w:tab w:val="left" w:pos="992"/>
        </w:tabs>
        <w:autoSpaceDE w:val="0"/>
        <w:autoSpaceDN w:val="0"/>
        <w:snapToGrid w:val="0"/>
        <w:spacing w:before="100" w:after="100" w:line="360" w:lineRule="exact"/>
        <w:rPr>
          <w:rFonts w:eastAsia="等线" w:cs="Arial"/>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lang w:val="zh-CN"/>
          <w14:textFill>
            <w14:solidFill>
              <w14:schemeClr w14:val="tx1"/>
            </w14:solidFill>
          </w14:textFill>
        </w:rPr>
        <w:t>摄像头数量共约</w:t>
      </w:r>
      <w:r>
        <w:rPr>
          <w:rFonts w:ascii="宋体" w:hAnsi="宋体" w:cs="宋体"/>
          <w:color w:val="000000" w:themeColor="text1"/>
          <w:sz w:val="24"/>
          <w:szCs w:val="24"/>
          <w:lang w:val="zh-CN"/>
          <w14:textFill>
            <w14:solidFill>
              <w14:schemeClr w14:val="tx1"/>
            </w14:solidFill>
          </w14:textFill>
        </w:rPr>
        <w:t>110</w:t>
      </w:r>
      <w:r>
        <w:rPr>
          <w:rFonts w:hint="eastAsia" w:ascii="宋体" w:hAnsi="宋体" w:cs="宋体"/>
          <w:color w:val="000000" w:themeColor="text1"/>
          <w:sz w:val="24"/>
          <w:szCs w:val="24"/>
          <w:lang w:val="zh-CN"/>
          <w14:textFill>
            <w14:solidFill>
              <w14:schemeClr w14:val="tx1"/>
            </w14:solidFill>
          </w14:textFill>
        </w:rPr>
        <w:t>个：</w:t>
      </w:r>
      <w:r>
        <w:rPr>
          <w:rFonts w:hint="eastAsia" w:ascii="宋体" w:hAnsi="宋体" w:cs="宋体"/>
          <w:color w:val="000000" w:themeColor="text1"/>
          <w:kern w:val="0"/>
          <w:sz w:val="24"/>
          <w:szCs w:val="24"/>
          <w14:textFill>
            <w14:solidFill>
              <w14:schemeClr w14:val="tx1"/>
            </w14:solidFill>
          </w14:textFill>
        </w:rPr>
        <w:t>备料工艺摄像头约35个，蒸煮工艺摄像头约20个，洗选工艺摄像头约12个，高压室摄像头约2个，电缆夹层约2个，低压室摄像头约9个，变压器室（带红外）约1</w:t>
      </w:r>
      <w:r>
        <w:rPr>
          <w:rFonts w:ascii="宋体" w:hAnsi="宋体" w:cs="宋体"/>
          <w:color w:val="000000" w:themeColor="text1"/>
          <w:kern w:val="0"/>
          <w:sz w:val="24"/>
          <w:szCs w:val="24"/>
          <w14:textFill>
            <w14:solidFill>
              <w14:schemeClr w14:val="tx1"/>
            </w14:solidFill>
          </w14:textFill>
        </w:rPr>
        <w:t>2</w:t>
      </w:r>
      <w:r>
        <w:rPr>
          <w:rFonts w:hint="eastAsia" w:ascii="宋体" w:hAnsi="宋体" w:cs="宋体"/>
          <w:color w:val="000000" w:themeColor="text1"/>
          <w:kern w:val="0"/>
          <w:sz w:val="24"/>
          <w:szCs w:val="24"/>
          <w14:textFill>
            <w14:solidFill>
              <w14:schemeClr w14:val="tx1"/>
            </w14:solidFill>
          </w14:textFill>
        </w:rPr>
        <w:t>个，安保摄像头约12个</w:t>
      </w:r>
      <w:r>
        <w:rPr>
          <w:rFonts w:hint="eastAsia" w:eastAsia="等线" w:cs="Arial"/>
          <w:color w:val="000000" w:themeColor="text1"/>
          <w:kern w:val="0"/>
          <w:sz w:val="24"/>
          <w:szCs w:val="24"/>
          <w14:textFill>
            <w14:solidFill>
              <w14:schemeClr w14:val="tx1"/>
            </w14:solidFill>
          </w14:textFill>
        </w:rPr>
        <w:t>。</w:t>
      </w:r>
    </w:p>
    <w:p w14:paraId="294F80DF">
      <w:pPr>
        <w:numPr>
          <w:ilvl w:val="1"/>
          <w:numId w:val="9"/>
        </w:numPr>
        <w:tabs>
          <w:tab w:val="left" w:pos="992"/>
        </w:tabs>
        <w:autoSpaceDE w:val="0"/>
        <w:autoSpaceDN w:val="0"/>
        <w:snapToGrid w:val="0"/>
        <w:spacing w:before="100" w:after="100" w:line="360" w:lineRule="exact"/>
        <w:rPr>
          <w:rFonts w:eastAsia="等线" w:cs="Arial"/>
          <w:kern w:val="0"/>
          <w:sz w:val="24"/>
          <w:szCs w:val="24"/>
        </w:rPr>
      </w:pPr>
      <w:r>
        <w:rPr>
          <w:rFonts w:hint="eastAsia" w:ascii="宋体" w:hAnsi="宋体" w:cs="宋体"/>
          <w:color w:val="000000" w:themeColor="text1"/>
          <w:kern w:val="0"/>
          <w:sz w:val="24"/>
          <w:szCs w:val="24"/>
          <w14:textFill>
            <w14:solidFill>
              <w14:schemeClr w14:val="tx1"/>
            </w14:solidFill>
          </w14:textFill>
        </w:rPr>
        <w:t>监控系统从UPS取电</w:t>
      </w:r>
      <w:r>
        <w:rPr>
          <w:rFonts w:hint="eastAsia" w:eastAsia="等线" w:cs="Arial"/>
          <w:color w:val="000000" w:themeColor="text1"/>
          <w:kern w:val="0"/>
          <w:sz w:val="24"/>
          <w:szCs w:val="24"/>
          <w14:textFill>
            <w14:solidFill>
              <w14:schemeClr w14:val="tx1"/>
            </w14:solidFill>
          </w14:textFill>
        </w:rPr>
        <w:t>。</w:t>
      </w:r>
    </w:p>
    <w:p w14:paraId="62E310C8">
      <w:pPr>
        <w:pStyle w:val="8"/>
        <w:rPr>
          <w:lang w:val="zh-CN"/>
        </w:rPr>
      </w:pPr>
    </w:p>
    <w:p w14:paraId="37293216">
      <w:pPr>
        <w:numPr>
          <w:ilvl w:val="0"/>
          <w:numId w:val="9"/>
        </w:numPr>
        <w:snapToGrid w:val="0"/>
        <w:spacing w:before="100" w:after="100" w:line="360" w:lineRule="exact"/>
        <w:outlineLvl w:val="0"/>
        <w:rPr>
          <w:rFonts w:ascii="宋体" w:hAnsi="宋体" w:cs="仿宋"/>
          <w:b/>
          <w:szCs w:val="28"/>
        </w:rPr>
      </w:pPr>
      <w:bookmarkStart w:id="341" w:name="_Toc13048"/>
      <w:bookmarkStart w:id="342" w:name="_Toc18753"/>
      <w:bookmarkStart w:id="343" w:name="_Toc13360"/>
      <w:r>
        <w:rPr>
          <w:rFonts w:hint="eastAsia" w:ascii="宋体" w:hAnsi="宋体" w:cs="仿宋"/>
          <w:b/>
          <w:szCs w:val="28"/>
        </w:rPr>
        <w:t>火灾自动报警系统</w:t>
      </w:r>
      <w:bookmarkEnd w:id="341"/>
      <w:bookmarkEnd w:id="342"/>
      <w:bookmarkEnd w:id="343"/>
    </w:p>
    <w:p w14:paraId="3889A368">
      <w:pPr>
        <w:numPr>
          <w:ilvl w:val="1"/>
          <w:numId w:val="9"/>
        </w:numPr>
        <w:snapToGrid w:val="0"/>
        <w:spacing w:before="100" w:after="100" w:line="360" w:lineRule="exact"/>
        <w:rPr>
          <w:rFonts w:ascii="宋体" w:hAnsi="宋体" w:cs="仿宋"/>
          <w:sz w:val="24"/>
        </w:rPr>
      </w:pPr>
      <w:r>
        <w:rPr>
          <w:rFonts w:hint="eastAsia" w:ascii="宋体" w:hAnsi="宋体" w:cs="仿宋"/>
          <w:sz w:val="24"/>
        </w:rPr>
        <w:t>火灾自动报警系统的设计，应符合国家现行标准和行业标准的规定（就高）；</w:t>
      </w:r>
    </w:p>
    <w:p w14:paraId="44891C7D">
      <w:pPr>
        <w:numPr>
          <w:ilvl w:val="1"/>
          <w:numId w:val="9"/>
        </w:numPr>
        <w:snapToGrid w:val="0"/>
        <w:spacing w:before="100" w:after="100" w:line="360" w:lineRule="exact"/>
        <w:rPr>
          <w:rFonts w:ascii="宋体" w:hAnsi="宋体" w:cs="仿宋"/>
          <w:sz w:val="24"/>
        </w:rPr>
      </w:pPr>
      <w:r>
        <w:rPr>
          <w:rFonts w:hint="eastAsia" w:ascii="宋体" w:hAnsi="宋体" w:cs="仿宋"/>
          <w:sz w:val="24"/>
        </w:rPr>
        <w:t>在备料车间、化学浆车间设置火灾报警系统. 火灾自动报警系统采用集中报警系统，由火灾探测器或红外光束感烟探测器、手动报警按钮、声光警报器、消防广播、消防电话、各种模块、火灾报警控制器和消防联动控制设备、消防应急照明等组成；</w:t>
      </w:r>
    </w:p>
    <w:p w14:paraId="4478A131">
      <w:pPr>
        <w:numPr>
          <w:ilvl w:val="1"/>
          <w:numId w:val="9"/>
        </w:numPr>
        <w:snapToGrid w:val="0"/>
        <w:spacing w:before="100" w:after="100" w:line="360" w:lineRule="exact"/>
        <w:rPr>
          <w:rFonts w:ascii="宋体" w:hAnsi="宋体" w:cs="仿宋"/>
          <w:sz w:val="24"/>
        </w:rPr>
      </w:pPr>
      <w:r>
        <w:rPr>
          <w:rFonts w:hint="eastAsia" w:ascii="宋体" w:hAnsi="宋体" w:cs="仿宋"/>
          <w:sz w:val="24"/>
        </w:rPr>
        <w:t>在现有的集控中心设消防控制室，火灾报警控制器和消防联动控制柜布置在消防控制室内。报警系统可以在集控中心原有的系统进行扩展。</w:t>
      </w:r>
    </w:p>
    <w:p w14:paraId="51EA1E75">
      <w:pPr>
        <w:pStyle w:val="8"/>
        <w:numPr>
          <w:ilvl w:val="0"/>
          <w:numId w:val="9"/>
        </w:numPr>
        <w:autoSpaceDE/>
        <w:autoSpaceDN/>
        <w:adjustRightInd/>
        <w:snapToGrid w:val="0"/>
        <w:spacing w:before="100" w:after="100" w:line="360" w:lineRule="exact"/>
        <w:textAlignment w:val="auto"/>
        <w:outlineLvl w:val="0"/>
        <w:rPr>
          <w:rFonts w:ascii="宋体" w:hAnsi="宋体" w:cs="宋体"/>
          <w:b/>
          <w:bCs/>
          <w:color w:val="000000"/>
          <w:spacing w:val="20"/>
          <w:szCs w:val="28"/>
        </w:rPr>
      </w:pPr>
      <w:bookmarkStart w:id="344" w:name="_Toc28180"/>
      <w:bookmarkStart w:id="345" w:name="_Toc11835"/>
      <w:bookmarkStart w:id="346" w:name="_Toc4921"/>
      <w:r>
        <w:rPr>
          <w:rFonts w:hint="eastAsia" w:ascii="宋体" w:hAnsi="宋体" w:cs="宋体"/>
          <w:b/>
          <w:bCs/>
          <w:color w:val="000000"/>
          <w:spacing w:val="20"/>
          <w:szCs w:val="28"/>
        </w:rPr>
        <w:t>臭气检测报警系统（G</w:t>
      </w:r>
      <w:r>
        <w:rPr>
          <w:rFonts w:ascii="宋体" w:hAnsi="宋体" w:cs="宋体"/>
          <w:b/>
          <w:bCs/>
          <w:color w:val="000000"/>
          <w:spacing w:val="20"/>
          <w:szCs w:val="28"/>
        </w:rPr>
        <w:t>DS</w:t>
      </w:r>
      <w:r>
        <w:rPr>
          <w:rFonts w:hint="eastAsia" w:ascii="宋体" w:hAnsi="宋体" w:cs="宋体"/>
          <w:b/>
          <w:bCs/>
          <w:color w:val="000000"/>
          <w:spacing w:val="20"/>
          <w:szCs w:val="28"/>
        </w:rPr>
        <w:t>）</w:t>
      </w:r>
      <w:bookmarkEnd w:id="344"/>
      <w:bookmarkEnd w:id="345"/>
      <w:bookmarkEnd w:id="346"/>
    </w:p>
    <w:p w14:paraId="48DC0A69">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color w:val="000000"/>
          <w:kern w:val="0"/>
          <w:sz w:val="24"/>
          <w:szCs w:val="24"/>
        </w:rPr>
        <w:t>根据工艺需要配置可燃和有毒气体报警系统（GDS），GDS系统需独立设置，不与DCS合并设置；</w:t>
      </w:r>
    </w:p>
    <w:p w14:paraId="7EB1F51C">
      <w:pPr>
        <w:numPr>
          <w:ilvl w:val="1"/>
          <w:numId w:val="9"/>
        </w:numPr>
        <w:snapToGrid w:val="0"/>
        <w:spacing w:before="100" w:after="100" w:line="360" w:lineRule="exact"/>
        <w:rPr>
          <w:rFonts w:ascii="宋体" w:hAnsi="宋体" w:cs="仿宋"/>
          <w:sz w:val="24"/>
        </w:rPr>
      </w:pPr>
      <w:r>
        <w:rPr>
          <w:rFonts w:hint="eastAsia" w:ascii="宋体" w:hAnsi="宋体" w:cs="仿宋"/>
          <w:sz w:val="24"/>
        </w:rPr>
        <w:t>报警信号接入现有集控中心现有的G</w:t>
      </w:r>
      <w:r>
        <w:rPr>
          <w:rFonts w:ascii="宋体" w:hAnsi="宋体" w:cs="仿宋"/>
          <w:sz w:val="24"/>
        </w:rPr>
        <w:t>DS</w:t>
      </w:r>
      <w:r>
        <w:rPr>
          <w:rFonts w:hint="eastAsia" w:ascii="宋体" w:hAnsi="宋体" w:cs="仿宋"/>
          <w:sz w:val="24"/>
        </w:rPr>
        <w:t>控制器。</w:t>
      </w:r>
    </w:p>
    <w:p w14:paraId="42ABCD8E">
      <w:pPr>
        <w:pStyle w:val="8"/>
        <w:numPr>
          <w:ilvl w:val="0"/>
          <w:numId w:val="9"/>
        </w:numPr>
        <w:snapToGrid w:val="0"/>
        <w:spacing w:before="100" w:after="100" w:line="360" w:lineRule="exact"/>
        <w:outlineLvl w:val="0"/>
        <w:rPr>
          <w:b/>
          <w:bCs/>
        </w:rPr>
      </w:pPr>
      <w:r>
        <w:rPr>
          <w:rFonts w:hint="eastAsia" w:ascii="宋体" w:hAnsi="宋体" w:cs="仿宋"/>
          <w:b/>
          <w:bCs/>
        </w:rPr>
        <w:t xml:space="preserve"> </w:t>
      </w:r>
      <w:bookmarkStart w:id="347" w:name="_Toc686"/>
      <w:bookmarkStart w:id="348" w:name="_Toc8079"/>
      <w:bookmarkStart w:id="349" w:name="_Toc22243"/>
      <w:r>
        <w:rPr>
          <w:rFonts w:hint="eastAsia" w:ascii="宋体" w:hAnsi="宋体" w:cs="仿宋"/>
          <w:b/>
          <w:bCs/>
        </w:rPr>
        <w:t>MES信息采集系统</w:t>
      </w:r>
      <w:bookmarkEnd w:id="347"/>
      <w:bookmarkEnd w:id="348"/>
      <w:bookmarkEnd w:id="349"/>
    </w:p>
    <w:p w14:paraId="0F79F6C5">
      <w:pPr>
        <w:numPr>
          <w:ilvl w:val="1"/>
          <w:numId w:val="9"/>
        </w:numPr>
        <w:autoSpaceDE w:val="0"/>
        <w:autoSpaceDN w:val="0"/>
        <w:snapToGrid w:val="0"/>
        <w:spacing w:before="100" w:after="100" w:line="360" w:lineRule="exact"/>
        <w:jc w:val="left"/>
        <w:rPr>
          <w:rFonts w:ascii="宋体" w:hAnsi="宋体" w:cs="宋体"/>
          <w:color w:val="000000"/>
          <w:kern w:val="0"/>
          <w:sz w:val="24"/>
          <w:szCs w:val="24"/>
        </w:rPr>
      </w:pPr>
      <w:r>
        <w:rPr>
          <w:rFonts w:hint="eastAsia" w:ascii="宋体" w:hAnsi="宋体" w:cs="宋体"/>
          <w:sz w:val="24"/>
          <w:szCs w:val="24"/>
          <w:lang w:val="zh-CN"/>
        </w:rPr>
        <w:t>DCS系统应具有与其他系统进行OPC通讯的功能，可以与青山纸业公司数据中心平台（与全厂管理系统（MES））进行通讯，铺设光纤及相应网络设备，电力监控系统数据、</w:t>
      </w:r>
      <w:r>
        <w:rPr>
          <w:rFonts w:hint="eastAsia" w:ascii="宋体" w:hAnsi="宋体" w:cs="宋体"/>
          <w:color w:val="000000"/>
          <w:kern w:val="0"/>
          <w:sz w:val="24"/>
          <w:szCs w:val="24"/>
        </w:rPr>
        <w:t>生产线的生产数据上传至公司现有的MES系统</w:t>
      </w:r>
      <w:r>
        <w:rPr>
          <w:rFonts w:hint="eastAsia" w:ascii="宋体" w:hAnsi="宋体" w:cs="宋体"/>
          <w:sz w:val="24"/>
          <w:szCs w:val="24"/>
          <w:lang w:val="zh-CN"/>
        </w:rPr>
        <w:t>。</w:t>
      </w:r>
    </w:p>
    <w:p w14:paraId="712E2FF1">
      <w:pPr>
        <w:autoSpaceDE w:val="0"/>
        <w:autoSpaceDN w:val="0"/>
        <w:snapToGrid w:val="0"/>
        <w:spacing w:before="100" w:after="100" w:line="360" w:lineRule="exact"/>
        <w:jc w:val="left"/>
        <w:rPr>
          <w:rFonts w:ascii="宋体" w:hAnsi="宋体" w:cs="宋体"/>
          <w:color w:val="000000"/>
          <w:kern w:val="0"/>
          <w:sz w:val="24"/>
          <w:szCs w:val="24"/>
          <w:highlight w:val="yellow"/>
        </w:rPr>
      </w:pPr>
    </w:p>
    <w:p w14:paraId="45D4F644">
      <w:pPr>
        <w:pStyle w:val="8"/>
        <w:numPr>
          <w:ilvl w:val="0"/>
          <w:numId w:val="9"/>
        </w:numPr>
        <w:autoSpaceDE/>
        <w:autoSpaceDN/>
        <w:adjustRightInd/>
        <w:snapToGrid w:val="0"/>
        <w:spacing w:before="100" w:after="100" w:line="360" w:lineRule="exact"/>
        <w:textAlignment w:val="auto"/>
        <w:outlineLvl w:val="0"/>
        <w:rPr>
          <w:rFonts w:ascii="宋体" w:hAnsi="宋体" w:cs="宋体"/>
          <w:b/>
          <w:bCs/>
          <w:color w:val="000000"/>
          <w:spacing w:val="20"/>
          <w:szCs w:val="24"/>
        </w:rPr>
      </w:pPr>
      <w:bookmarkStart w:id="350" w:name="_Toc557"/>
      <w:bookmarkStart w:id="351" w:name="_Toc3535"/>
      <w:bookmarkStart w:id="352" w:name="_Toc594"/>
      <w:r>
        <w:rPr>
          <w:rFonts w:hint="eastAsia" w:ascii="宋体" w:hAnsi="宋体" w:cs="宋体"/>
          <w:b/>
          <w:bCs/>
          <w:color w:val="000000"/>
          <w:spacing w:val="20"/>
          <w:szCs w:val="24"/>
        </w:rPr>
        <w:t>涉及3</w:t>
      </w:r>
      <w:r>
        <w:rPr>
          <w:rFonts w:ascii="宋体" w:hAnsi="宋体" w:cs="宋体"/>
          <w:b/>
          <w:bCs/>
          <w:color w:val="000000"/>
          <w:spacing w:val="20"/>
          <w:szCs w:val="24"/>
        </w:rPr>
        <w:t>#</w:t>
      </w:r>
      <w:r>
        <w:rPr>
          <w:rFonts w:hint="eastAsia" w:ascii="宋体" w:hAnsi="宋体" w:cs="宋体"/>
          <w:b/>
          <w:bCs/>
          <w:color w:val="000000"/>
          <w:spacing w:val="20"/>
          <w:szCs w:val="24"/>
        </w:rPr>
        <w:t>洗选相关的工程</w:t>
      </w:r>
      <w:bookmarkEnd w:id="350"/>
      <w:bookmarkEnd w:id="351"/>
      <w:bookmarkEnd w:id="352"/>
    </w:p>
    <w:p w14:paraId="47BE2267">
      <w:pPr>
        <w:pStyle w:val="8"/>
        <w:numPr>
          <w:ilvl w:val="1"/>
          <w:numId w:val="9"/>
        </w:numPr>
        <w:autoSpaceDE/>
        <w:autoSpaceDN/>
        <w:adjustRightInd/>
        <w:snapToGrid w:val="0"/>
        <w:spacing w:before="100" w:after="100" w:line="360" w:lineRule="exact"/>
        <w:textAlignment w:val="auto"/>
        <w:rPr>
          <w:rFonts w:ascii="宋体" w:hAnsi="宋体" w:cs="宋体"/>
          <w:bCs/>
          <w:color w:val="000000"/>
          <w:spacing w:val="20"/>
          <w:sz w:val="24"/>
          <w:szCs w:val="22"/>
        </w:rPr>
      </w:pPr>
      <w:r>
        <w:rPr>
          <w:rFonts w:hint="eastAsia" w:ascii="宋体" w:hAnsi="宋体" w:cs="宋体"/>
          <w:bCs/>
          <w:color w:val="000000"/>
          <w:spacing w:val="20"/>
          <w:sz w:val="24"/>
          <w:szCs w:val="22"/>
        </w:rPr>
        <w:t>与3</w:t>
      </w:r>
      <w:r>
        <w:rPr>
          <w:rFonts w:ascii="宋体" w:hAnsi="宋体" w:cs="宋体"/>
          <w:bCs/>
          <w:color w:val="000000"/>
          <w:spacing w:val="20"/>
          <w:sz w:val="24"/>
          <w:szCs w:val="22"/>
        </w:rPr>
        <w:t>#</w:t>
      </w:r>
      <w:r>
        <w:rPr>
          <w:rFonts w:hint="eastAsia" w:ascii="宋体" w:hAnsi="宋体" w:cs="宋体"/>
          <w:bCs/>
          <w:color w:val="000000"/>
          <w:spacing w:val="20"/>
          <w:sz w:val="24"/>
          <w:szCs w:val="22"/>
        </w:rPr>
        <w:t>洗选相关的仪表阀门，信号电缆接入3#洗选，由3</w:t>
      </w:r>
      <w:r>
        <w:rPr>
          <w:rFonts w:ascii="宋体" w:hAnsi="宋体" w:cs="宋体"/>
          <w:bCs/>
          <w:color w:val="000000"/>
          <w:spacing w:val="20"/>
          <w:sz w:val="24"/>
          <w:szCs w:val="22"/>
        </w:rPr>
        <w:t>#</w:t>
      </w:r>
      <w:r>
        <w:rPr>
          <w:rFonts w:hint="eastAsia" w:ascii="宋体" w:hAnsi="宋体" w:cs="宋体"/>
          <w:bCs/>
          <w:color w:val="000000"/>
          <w:spacing w:val="20"/>
          <w:sz w:val="24"/>
          <w:szCs w:val="22"/>
        </w:rPr>
        <w:t>洗选D</w:t>
      </w:r>
      <w:r>
        <w:rPr>
          <w:rFonts w:ascii="宋体" w:hAnsi="宋体" w:cs="宋体"/>
          <w:bCs/>
          <w:color w:val="000000"/>
          <w:spacing w:val="20"/>
          <w:sz w:val="24"/>
          <w:szCs w:val="22"/>
        </w:rPr>
        <w:t>CS</w:t>
      </w:r>
      <w:r>
        <w:rPr>
          <w:rFonts w:hint="eastAsia" w:ascii="宋体" w:hAnsi="宋体" w:cs="宋体"/>
          <w:bCs/>
          <w:color w:val="000000"/>
          <w:spacing w:val="20"/>
          <w:sz w:val="24"/>
          <w:szCs w:val="22"/>
        </w:rPr>
        <w:t>系统控制。</w:t>
      </w:r>
    </w:p>
    <w:p w14:paraId="38750A72">
      <w:pPr>
        <w:rPr>
          <w:rFonts w:ascii="宋体" w:hAnsi="宋体"/>
          <w:b/>
          <w:sz w:val="52"/>
          <w:szCs w:val="52"/>
        </w:rPr>
      </w:pPr>
      <w:r>
        <w:rPr>
          <w:rFonts w:hint="eastAsia" w:ascii="宋体" w:hAnsi="宋体"/>
          <w:b/>
          <w:sz w:val="52"/>
          <w:szCs w:val="52"/>
        </w:rPr>
        <w:br w:type="page"/>
      </w:r>
    </w:p>
    <w:p w14:paraId="0A45F017">
      <w:pPr>
        <w:jc w:val="center"/>
        <w:rPr>
          <w:rFonts w:ascii="宋体" w:hAnsi="宋体"/>
          <w:b/>
          <w:sz w:val="52"/>
          <w:szCs w:val="52"/>
        </w:rPr>
      </w:pPr>
    </w:p>
    <w:p w14:paraId="2B23C4C1">
      <w:pPr>
        <w:jc w:val="center"/>
        <w:rPr>
          <w:rFonts w:ascii="宋体" w:hAnsi="宋体"/>
          <w:b/>
          <w:sz w:val="44"/>
          <w:szCs w:val="44"/>
        </w:rPr>
      </w:pPr>
      <w:r>
        <w:rPr>
          <w:rFonts w:hint="eastAsia" w:ascii="宋体" w:hAnsi="宋体"/>
          <w:b/>
          <w:sz w:val="44"/>
          <w:szCs w:val="44"/>
        </w:rPr>
        <w:t>年产50万吨食品包装原纸技改工程变更项目</w:t>
      </w:r>
    </w:p>
    <w:p w14:paraId="266457CF">
      <w:pPr>
        <w:jc w:val="center"/>
        <w:rPr>
          <w:rFonts w:ascii="宋体" w:hAnsi="宋体"/>
          <w:b/>
          <w:sz w:val="44"/>
          <w:szCs w:val="44"/>
        </w:rPr>
      </w:pPr>
      <w:r>
        <w:rPr>
          <w:rFonts w:hint="eastAsia" w:ascii="宋体" w:hAnsi="宋体"/>
          <w:b/>
          <w:sz w:val="44"/>
          <w:szCs w:val="44"/>
        </w:rPr>
        <w:t>（年产20万吨竹浆技改项目）</w:t>
      </w:r>
    </w:p>
    <w:p w14:paraId="2F9C665A">
      <w:pPr>
        <w:jc w:val="center"/>
        <w:rPr>
          <w:rFonts w:ascii="宋体" w:hAnsi="宋体"/>
          <w:b/>
          <w:sz w:val="44"/>
          <w:szCs w:val="44"/>
        </w:rPr>
      </w:pPr>
      <w:r>
        <w:rPr>
          <w:rFonts w:hint="eastAsia" w:ascii="宋体" w:hAnsi="宋体"/>
          <w:b/>
          <w:sz w:val="44"/>
          <w:szCs w:val="44"/>
        </w:rPr>
        <w:t>EPC工程总承包</w:t>
      </w:r>
    </w:p>
    <w:p w14:paraId="45C3EE5B">
      <w:pPr>
        <w:jc w:val="center"/>
        <w:rPr>
          <w:rFonts w:ascii="宋体" w:hAnsi="宋体"/>
          <w:b/>
          <w:sz w:val="44"/>
          <w:szCs w:val="44"/>
          <w:lang w:bidi="he-IL"/>
        </w:rPr>
      </w:pPr>
      <w:r>
        <w:rPr>
          <w:rFonts w:hint="eastAsia" w:ascii="宋体" w:hAnsi="宋体"/>
          <w:b/>
          <w:sz w:val="44"/>
          <w:szCs w:val="44"/>
          <w:lang w:bidi="he-IL"/>
        </w:rPr>
        <w:t>技术协议书</w:t>
      </w:r>
    </w:p>
    <w:p w14:paraId="36713583">
      <w:pPr>
        <w:jc w:val="center"/>
        <w:rPr>
          <w:rFonts w:ascii="宋体" w:hAnsi="宋体"/>
          <w:b/>
          <w:sz w:val="44"/>
          <w:szCs w:val="44"/>
          <w:lang w:bidi="he-IL"/>
        </w:rPr>
      </w:pPr>
      <w:r>
        <w:rPr>
          <w:rFonts w:hint="eastAsia" w:ascii="宋体" w:hAnsi="宋体"/>
          <w:b/>
          <w:sz w:val="44"/>
          <w:szCs w:val="44"/>
          <w:lang w:bidi="he-IL"/>
        </w:rPr>
        <w:t>第六篇</w:t>
      </w:r>
    </w:p>
    <w:p w14:paraId="5B848AD3">
      <w:pPr>
        <w:spacing w:line="480" w:lineRule="auto"/>
        <w:jc w:val="center"/>
        <w:outlineLvl w:val="0"/>
        <w:rPr>
          <w:rFonts w:ascii="宋体" w:hAnsi="宋体" w:eastAsia="等线"/>
          <w:b/>
          <w:sz w:val="44"/>
          <w:szCs w:val="44"/>
        </w:rPr>
      </w:pPr>
      <w:bookmarkStart w:id="353" w:name="_Toc30630"/>
      <w:bookmarkStart w:id="354" w:name="_Toc19300"/>
      <w:bookmarkStart w:id="355" w:name="_Toc370"/>
      <w:r>
        <w:rPr>
          <w:rFonts w:hint="eastAsia" w:ascii="宋体" w:hAnsi="宋体"/>
          <w:b/>
          <w:sz w:val="44"/>
          <w:szCs w:val="44"/>
        </w:rPr>
        <w:t>土建</w:t>
      </w:r>
      <w:bookmarkEnd w:id="353"/>
      <w:bookmarkEnd w:id="354"/>
      <w:bookmarkEnd w:id="355"/>
    </w:p>
    <w:p w14:paraId="7B22F121">
      <w:pPr>
        <w:spacing w:line="480" w:lineRule="auto"/>
        <w:jc w:val="center"/>
        <w:rPr>
          <w:rFonts w:ascii="Times New Roman" w:hAnsi="Times New Roman"/>
          <w:b/>
          <w:sz w:val="52"/>
          <w:szCs w:val="52"/>
        </w:rPr>
      </w:pPr>
    </w:p>
    <w:p w14:paraId="6DCF8D15">
      <w:pPr>
        <w:spacing w:line="480" w:lineRule="auto"/>
        <w:jc w:val="center"/>
        <w:rPr>
          <w:rFonts w:ascii="Times New Roman" w:hAnsi="Times New Roman"/>
          <w:b/>
          <w:sz w:val="52"/>
          <w:szCs w:val="52"/>
        </w:rPr>
      </w:pPr>
    </w:p>
    <w:p w14:paraId="2830E8C2">
      <w:pPr>
        <w:spacing w:line="480" w:lineRule="auto"/>
        <w:jc w:val="center"/>
        <w:rPr>
          <w:rFonts w:ascii="Times New Roman" w:hAnsi="Times New Roman"/>
          <w:b/>
          <w:sz w:val="52"/>
          <w:szCs w:val="52"/>
        </w:rPr>
      </w:pPr>
    </w:p>
    <w:p w14:paraId="40B3765F">
      <w:pPr>
        <w:spacing w:line="480" w:lineRule="auto"/>
        <w:rPr>
          <w:rFonts w:ascii="Times New Roman" w:hAnsi="Times New Roman"/>
          <w:b/>
          <w:sz w:val="52"/>
          <w:szCs w:val="52"/>
        </w:rPr>
      </w:pPr>
    </w:p>
    <w:p w14:paraId="6D112AF3">
      <w:pPr>
        <w:spacing w:line="480" w:lineRule="auto"/>
        <w:rPr>
          <w:rFonts w:ascii="Times New Roman" w:hAnsi="Times New Roman"/>
          <w:b/>
          <w:sz w:val="72"/>
          <w:szCs w:val="72"/>
        </w:rPr>
      </w:pPr>
    </w:p>
    <w:p w14:paraId="5B6B2064">
      <w:pPr>
        <w:spacing w:line="500" w:lineRule="exact"/>
        <w:rPr>
          <w:rFonts w:ascii="Times New Roman" w:hAnsi="Times New Roman"/>
          <w:szCs w:val="28"/>
        </w:rPr>
      </w:pPr>
    </w:p>
    <w:p w14:paraId="3791DDF3">
      <w:pPr>
        <w:spacing w:line="500" w:lineRule="exact"/>
        <w:rPr>
          <w:rFonts w:ascii="Times New Roman" w:hAnsi="Times New Roman"/>
          <w:szCs w:val="28"/>
        </w:rPr>
      </w:pPr>
    </w:p>
    <w:p w14:paraId="607E5C16">
      <w:pPr>
        <w:spacing w:line="500" w:lineRule="exact"/>
        <w:rPr>
          <w:rFonts w:ascii="Times New Roman" w:hAnsi="Times New Roman"/>
          <w:szCs w:val="28"/>
        </w:rPr>
      </w:pPr>
    </w:p>
    <w:p w14:paraId="27D025B4">
      <w:pPr>
        <w:spacing w:line="500" w:lineRule="exact"/>
        <w:rPr>
          <w:rFonts w:ascii="Times New Roman" w:hAnsi="Times New Roman"/>
          <w:szCs w:val="28"/>
        </w:rPr>
      </w:pPr>
    </w:p>
    <w:p w14:paraId="13496B92">
      <w:pPr>
        <w:spacing w:line="500" w:lineRule="exact"/>
        <w:rPr>
          <w:rFonts w:ascii="Times New Roman" w:hAnsi="Times New Roman"/>
          <w:szCs w:val="28"/>
        </w:rPr>
      </w:pPr>
    </w:p>
    <w:p w14:paraId="6D54FABB">
      <w:pPr>
        <w:spacing w:line="500" w:lineRule="exact"/>
        <w:jc w:val="center"/>
        <w:rPr>
          <w:rFonts w:ascii="Times New Roman" w:hAnsi="Times New Roman"/>
          <w:sz w:val="32"/>
          <w:szCs w:val="32"/>
        </w:r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w:t>
      </w:r>
      <w:r>
        <w:rPr>
          <w:rFonts w:ascii="Times New Roman" w:hAnsi="Times New Roman"/>
          <w:sz w:val="32"/>
          <w:szCs w:val="32"/>
        </w:rPr>
        <w:t xml:space="preserve"> </w:t>
      </w:r>
      <w:r>
        <w:rPr>
          <w:rFonts w:hint="eastAsia" w:ascii="Times New Roman" w:hAnsi="Times New Roman"/>
          <w:sz w:val="32"/>
          <w:szCs w:val="32"/>
        </w:rPr>
        <w:t>月</w:t>
      </w:r>
    </w:p>
    <w:p w14:paraId="257A90F7">
      <w:pPr>
        <w:rPr>
          <w:rFonts w:ascii="Times New Roman" w:hAnsi="Times New Roman"/>
          <w:sz w:val="32"/>
          <w:szCs w:val="32"/>
        </w:rPr>
      </w:pPr>
      <w:r>
        <w:rPr>
          <w:rFonts w:hint="eastAsia" w:ascii="Times New Roman" w:hAnsi="Times New Roman"/>
          <w:sz w:val="32"/>
          <w:szCs w:val="32"/>
        </w:rPr>
        <w:br w:type="page"/>
      </w:r>
    </w:p>
    <w:p w14:paraId="170373FD">
      <w:pPr>
        <w:pStyle w:val="2"/>
        <w:numPr>
          <w:ilvl w:val="0"/>
          <w:numId w:val="10"/>
        </w:numPr>
      </w:pPr>
      <w:bookmarkStart w:id="356" w:name="_Toc22332"/>
      <w:bookmarkStart w:id="357" w:name="_Toc7208"/>
      <w:bookmarkStart w:id="358" w:name="_Toc25267"/>
      <w:r>
        <w:rPr>
          <w:rFonts w:hint="eastAsia"/>
        </w:rPr>
        <w:t>设计准则</w:t>
      </w:r>
      <w:bookmarkEnd w:id="356"/>
      <w:bookmarkEnd w:id="357"/>
      <w:bookmarkEnd w:id="358"/>
    </w:p>
    <w:p w14:paraId="2E546BA2">
      <w:pPr>
        <w:pStyle w:val="3"/>
        <w:numPr>
          <w:ilvl w:val="0"/>
          <w:numId w:val="11"/>
        </w:numPr>
        <w:spacing w:before="156" w:after="156" w:line="400" w:lineRule="exact"/>
        <w:ind w:firstLine="281"/>
        <w:rPr>
          <w:rFonts w:ascii="宋体" w:hAnsi="宋体" w:cs="宋体"/>
          <w:kern w:val="2"/>
          <w:sz w:val="24"/>
          <w:szCs w:val="24"/>
        </w:rPr>
      </w:pPr>
      <w:bookmarkStart w:id="359" w:name="_Toc25339"/>
      <w:bookmarkStart w:id="360" w:name="_Toc3349"/>
      <w:bookmarkStart w:id="361" w:name="_Toc5326"/>
      <w:r>
        <w:rPr>
          <w:rStyle w:val="43"/>
          <w:rFonts w:hint="eastAsia"/>
          <w:b/>
        </w:rPr>
        <w:t>设计实施准则</w:t>
      </w:r>
      <w:bookmarkEnd w:id="359"/>
      <w:bookmarkEnd w:id="360"/>
      <w:bookmarkEnd w:id="361"/>
    </w:p>
    <w:p w14:paraId="2373E1B7">
      <w:pPr>
        <w:pStyle w:val="8"/>
        <w:spacing w:before="100" w:after="100" w:line="400" w:lineRule="exact"/>
        <w:ind w:firstLine="480" w:firstLineChars="200"/>
        <w:rPr>
          <w:rFonts w:ascii="宋体" w:hAnsi="宋体" w:cs="宋体"/>
          <w:kern w:val="2"/>
          <w:sz w:val="24"/>
          <w:szCs w:val="24"/>
        </w:rPr>
      </w:pPr>
      <w:bookmarkStart w:id="362" w:name="_Toc23691"/>
      <w:r>
        <w:rPr>
          <w:rFonts w:hint="eastAsia" w:ascii="宋体" w:hAnsi="宋体" w:cs="宋体"/>
          <w:kern w:val="2"/>
          <w:sz w:val="24"/>
          <w:szCs w:val="24"/>
        </w:rPr>
        <w:t>所有的设计方案及图纸均要符合招标方设计要求及已批准的有关资料</w:t>
      </w:r>
      <w:bookmarkEnd w:id="362"/>
      <w:r>
        <w:rPr>
          <w:rFonts w:hint="eastAsia" w:ascii="宋体" w:hAnsi="宋体" w:cs="宋体"/>
          <w:kern w:val="2"/>
          <w:sz w:val="24"/>
          <w:szCs w:val="24"/>
        </w:rPr>
        <w:t>。</w:t>
      </w:r>
    </w:p>
    <w:p w14:paraId="42CEE157">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建筑方案需满足生产运行、设备运维需求，实现功能分区明确、空间配置优化的经济技术指标。</w:t>
      </w:r>
    </w:p>
    <w:p w14:paraId="0F330610">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建筑构筑物应具备防火、防水防潮、保温隔热、防腐降噪等综合性能，符合工业卫生与职业健康标准。</w:t>
      </w:r>
    </w:p>
    <w:p w14:paraId="2496396D">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建筑形态需体现工业特征，与地域环境相协调，严格遵循福建省建筑法规要求。</w:t>
      </w:r>
    </w:p>
    <w:p w14:paraId="6EA51C1B">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优先选用本土可再生建筑材料，推进资源循环利用。</w:t>
      </w:r>
    </w:p>
    <w:p w14:paraId="5A722A3C">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生产车间设计规范：封闭空间须设置通风系统，涉水区域楼面需设计排水坡度。</w:t>
      </w:r>
    </w:p>
    <w:p w14:paraId="73A91AC0">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备料车间建筑构件应平整光滑，避免积尘死角。</w:t>
      </w:r>
    </w:p>
    <w:p w14:paraId="02561305">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化学品储存区域应设置连续闭合式防渗围堰，其有效高度符合要求，围堰内有效容积须满足以下要求：不得小于区域内最大单台储罐的设计容量，同时应具备防止泄漏液体外溢的防护功能。</w:t>
      </w:r>
    </w:p>
    <w:p w14:paraId="2DE8EAAE">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卫生安全设计执行GBZ1工业职业卫生标准要求。</w:t>
      </w:r>
    </w:p>
    <w:p w14:paraId="53CDD25E">
      <w:pPr>
        <w:pStyle w:val="8"/>
        <w:spacing w:before="100" w:after="100" w:line="400" w:lineRule="exact"/>
        <w:rPr>
          <w:rFonts w:ascii="宋体" w:hAnsi="宋体" w:cs="宋体"/>
          <w:kern w:val="2"/>
          <w:sz w:val="24"/>
          <w:szCs w:val="24"/>
        </w:rPr>
      </w:pPr>
      <w:r>
        <w:rPr>
          <w:rFonts w:hint="eastAsia" w:ascii="宋体" w:hAnsi="宋体" w:cs="宋体"/>
          <w:kern w:val="2"/>
          <w:sz w:val="24"/>
          <w:szCs w:val="24"/>
        </w:rPr>
        <w:t>风险区域设备管道须按安全色标准及安全标志规范设置警示系统。</w:t>
      </w:r>
    </w:p>
    <w:p w14:paraId="7F2BF759">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厂区噪声控制须严格遵循《工业企业噪声控制设计规范》与《工业企业设计卫生标准》的现行标准要求。噪声控制工程应与主体工程同步实施。对超标噪声源须采取隔声、吸声、减振等综合治理措施。生产辅助用房等人员常驻区域必须实施隔声处理。</w:t>
      </w:r>
    </w:p>
    <w:p w14:paraId="6DDFD11E">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粉尘排放须满足《大气污染物综合排放标准》要求，产尘作业区应优先采用加湿降尘工艺。高浓度粉尘或有害气体区域应配置独立操作间及强化通风系统。</w:t>
      </w:r>
    </w:p>
    <w:p w14:paraId="3DF8F1EA">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防腐蚀设计依据《工业建筑防腐蚀设计规范》执行，须综合考量介质特性、浓度及腐蚀区域，选用适宜建材和构造。强腐蚀性介质车间应强化通风除尘，涉及强酸强碱的车间须设置防泄漏设施。</w:t>
      </w:r>
    </w:p>
    <w:p w14:paraId="22CA26D0">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滨水区域厂区防洪标准应满足《防洪标准》要求。</w:t>
      </w:r>
    </w:p>
    <w:p w14:paraId="73BED3AD">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卫生防护距离须按《工业企业设计卫生标准》与《造纸及纸制品卫生防护距离 第1部分》设定。原料堆场、危化库应远离居民区，架空线路设计需符合《建筑设计防火规范》等标准要求。</w:t>
      </w:r>
    </w:p>
    <w:p w14:paraId="5C76160D">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总平面布置严格执行《工业企业总平面设计规范》。联合厂房设计需满足《建筑设计防火规范》关于防火分区、疏散通道等规定。</w:t>
      </w:r>
    </w:p>
    <w:p w14:paraId="600E9E2B">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工业建筑节能设计按《工业建筑节能设计统一标准》执行，特殊行业需参照专项标准。动力设施布局应靠近负荷中心，物流通道设计需便捷高效。</w:t>
      </w:r>
    </w:p>
    <w:p w14:paraId="7AF7FFE0">
      <w:pPr>
        <w:pStyle w:val="2"/>
        <w:numPr>
          <w:ilvl w:val="0"/>
          <w:numId w:val="10"/>
        </w:numPr>
        <w:spacing w:line="400" w:lineRule="exact"/>
      </w:pPr>
      <w:bookmarkStart w:id="363" w:name="_Toc20812"/>
      <w:bookmarkStart w:id="364" w:name="_Toc25510"/>
      <w:bookmarkStart w:id="365" w:name="_Toc17567"/>
      <w:r>
        <w:rPr>
          <w:rFonts w:hint="eastAsia"/>
        </w:rPr>
        <w:t>施工管理</w:t>
      </w:r>
      <w:bookmarkEnd w:id="363"/>
      <w:bookmarkEnd w:id="364"/>
      <w:bookmarkEnd w:id="365"/>
    </w:p>
    <w:p w14:paraId="4A1F6A24">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在土建施工管理方面，中标方承担全面且全权的管理责任。中标方应迅速组建一支专业齐全、经验丰富且具备相应资质的项目管理团队，团队成员应涵盖土建施工管理各关键岗位，包括但不限于项目经理、技术负责人、施工员、质检员、安全员等，以确保对施工各环节的专业把控。</w:t>
      </w:r>
    </w:p>
    <w:p w14:paraId="3772C069">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该团队需严格依照经批准的施工进度计划组织施工，确保各项施工任务按时、有序推进。同时，要切实落实全面且细致的质量控制措施，从施工材料的采购、检验，施工工艺的执行，到人员操作等各个环节，全方位保障土建工程的施工质量。</w:t>
      </w:r>
    </w:p>
    <w:p w14:paraId="3F1B4F9D">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在安全管理方面，中标方应建立健全完善的安全管理体系，制定详细且严格的安全管理制度和各类应急预案。</w:t>
      </w:r>
    </w:p>
    <w:p w14:paraId="0FA2C329">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在整个土建施工过程中，中标方必须主动接受并积极配合监理单位的全程监督检查，以及建设行政主管部门依法依规开展的监督管理工作。</w:t>
      </w:r>
    </w:p>
    <w:p w14:paraId="156C7AF4">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招标方拥有对施工单位资质的最终审核权。施工单位需提供《建筑业企业资质证书》《安全生产许可证》等法定证明文件的清晰复印件，每份复印件均应加盖单位公章，确保文件的真实性与有效性。</w:t>
      </w:r>
    </w:p>
    <w:p w14:paraId="78CDD4D2">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在合同履行期间，若发现实际参与土建施工的单位资质与投标文件中承诺的内容存在任何不符情况，招标方有权立即终止合同，并严格按照合同约定条款追究违约方的法律责任，违约方需承担由此给招标方造成的一切损失。</w:t>
      </w:r>
    </w:p>
    <w:p w14:paraId="2B61A259">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对于本土建项目中涉及专业分包的部分，分包单位的资质必须经过招标方书面确认。在项目实施过程中，中标方作为总承包单位，严禁以任何形式进行转包，同时杜绝违法分包行为。中标方需对所有分包行为及分包单位的施工活动承担连带责任，不仅要确保整个土建项目的施工质量、进度符合合同要求和相关法规标准，还要监督分包单位落实安全管理责任，要求其按照上述安全管理要求开展工作，共同保障土建项目施工过程中的人员安全和财产安全。</w:t>
      </w:r>
    </w:p>
    <w:p w14:paraId="7340134C">
      <w:pPr>
        <w:pStyle w:val="3"/>
        <w:numPr>
          <w:ilvl w:val="0"/>
          <w:numId w:val="12"/>
        </w:numPr>
        <w:spacing w:before="156" w:after="156" w:line="400" w:lineRule="exact"/>
        <w:ind w:firstLine="281"/>
      </w:pPr>
      <w:bookmarkStart w:id="366" w:name="_Toc28960"/>
      <w:bookmarkStart w:id="367" w:name="_Toc6398"/>
      <w:bookmarkStart w:id="368" w:name="_Toc19159"/>
      <w:r>
        <w:rPr>
          <w:rFonts w:hint="eastAsia"/>
        </w:rPr>
        <w:t>土建工程实施</w:t>
      </w:r>
      <w:bookmarkEnd w:id="366"/>
      <w:bookmarkEnd w:id="367"/>
      <w:bookmarkEnd w:id="368"/>
    </w:p>
    <w:p w14:paraId="6D7A90B2">
      <w:pPr>
        <w:pStyle w:val="8"/>
        <w:spacing w:before="100" w:after="100" w:line="400" w:lineRule="exact"/>
        <w:ind w:firstLine="480" w:firstLineChars="200"/>
        <w:rPr>
          <w:rFonts w:ascii="宋体" w:hAnsi="宋体" w:cs="宋体"/>
          <w:kern w:val="2"/>
          <w:sz w:val="24"/>
          <w:szCs w:val="24"/>
          <w:highlight w:val="yellow"/>
        </w:rPr>
      </w:pPr>
      <w:r>
        <w:rPr>
          <w:rStyle w:val="44"/>
          <w:rFonts w:hint="eastAsia"/>
        </w:rPr>
        <w:t>投标文件应详细描述各工段建/构筑物的特征。中标方作为总承包方，需全面负责项目范围内包括土建在内的所有施工及管理工作，以确保项目的整体协调和高效推进。</w:t>
      </w:r>
    </w:p>
    <w:p w14:paraId="3B1E05BE">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中标方须在施工前30日内提交完整的施工组织设计文件（含深基坑支护、大体积混凝土浇筑等专项方案），并组织专家论证会审。所有建筑材料进场前应提供质量证明文件及复试报告，钢筋、水泥等主材须实行见证取样制度，检测频次不低于《混凝土结构工程施工质量验收规范》要求。沉降及位移观测应符合相关规定。主体结构施工阶段须按照《混凝土结构工程施工规范》落实模板支撑体系验收制度，拆模时间须经同条件养护试块强度检测确定。涉及装配式构件安装的工程部位，应编制专项吊装方案并执行构件进场验收登记制度。</w:t>
      </w:r>
    </w:p>
    <w:p w14:paraId="43D163A6">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施工过程中应建立三级质量检验制度，严格执行工序交接检查，隐蔽工程验收须留存影像资料并形成四方会签记录（施工/监理/设计/勘察）。钢结构焊缝质量检测须符合《钢结构焊接规范》。装饰装修阶段须实行样板引路制度，各类型饰面工程须经现场1:1实样确认后方可大面施工。</w:t>
      </w:r>
    </w:p>
    <w:p w14:paraId="52B07454">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针对特殊地质条件区域，桩基施工</w:t>
      </w:r>
      <w:r>
        <w:rPr>
          <w:rFonts w:ascii="Segoe UI" w:hAnsi="Segoe UI" w:eastAsia="Segoe UI" w:cs="Segoe UI"/>
          <w:color w:val="0D0D0D"/>
          <w:kern w:val="2"/>
          <w:sz w:val="22"/>
          <w:szCs w:val="22"/>
          <w:shd w:val="clear" w:color="auto" w:fill="FFFFFF"/>
        </w:rPr>
        <w:t>应依据</w:t>
      </w:r>
      <w:r>
        <w:rPr>
          <w:rFonts w:hint="eastAsia" w:ascii="宋体" w:hAnsi="宋体" w:cs="宋体"/>
          <w:kern w:val="2"/>
          <w:sz w:val="24"/>
          <w:szCs w:val="24"/>
        </w:rPr>
        <w:t>《建筑基桩检测技术规范》要求。</w:t>
      </w:r>
    </w:p>
    <w:p w14:paraId="7CAACB5F">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在整个施工进程中，所有涉及的施工技术资料务必同步进行电子档案的创建与整理。待工程完成竣工验收之后的30日内，施工方应将完整且符合相关现行规范以及当地行政主管部门要求的完整竣工资料，正式移交给招标方。</w:t>
      </w:r>
    </w:p>
    <w:p w14:paraId="680DC030">
      <w:pPr>
        <w:pStyle w:val="3"/>
        <w:numPr>
          <w:ilvl w:val="0"/>
          <w:numId w:val="12"/>
        </w:numPr>
        <w:spacing w:before="156" w:after="156" w:line="400" w:lineRule="exact"/>
        <w:ind w:firstLine="281"/>
      </w:pPr>
      <w:bookmarkStart w:id="369" w:name="_Toc30703"/>
      <w:bookmarkStart w:id="370" w:name="_Toc22572"/>
      <w:bookmarkStart w:id="371" w:name="_Toc20612"/>
      <w:r>
        <w:rPr>
          <w:rFonts w:hint="eastAsia"/>
        </w:rPr>
        <w:t>施工技术标准</w:t>
      </w:r>
      <w:bookmarkEnd w:id="369"/>
      <w:bookmarkEnd w:id="370"/>
      <w:bookmarkEnd w:id="371"/>
    </w:p>
    <w:p w14:paraId="1A7D1E39">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工程实施须严格遵循《施工现场管理规定》等现行规范，确保施工秩序、环境保护及材料规范管理。</w:t>
      </w:r>
    </w:p>
    <w:p w14:paraId="6208E2F0">
      <w:pPr>
        <w:pStyle w:val="7"/>
        <w:spacing w:line="400" w:lineRule="exact"/>
        <w:rPr>
          <w:rFonts w:ascii="宋体" w:hAnsi="宋体" w:cs="宋体"/>
          <w:sz w:val="24"/>
          <w:szCs w:val="24"/>
        </w:rPr>
      </w:pPr>
      <w:r>
        <w:rPr>
          <w:rFonts w:hint="eastAsia" w:ascii="宋体" w:hAnsi="宋体" w:cs="宋体"/>
          <w:sz w:val="24"/>
          <w:szCs w:val="24"/>
        </w:rPr>
        <w:t>施工全过程需执行《建筑工程施工质量验收统一标准》体系，重点部位实施三级质量检验制度。结构工程须满足《混凝土结构工程施工质量验收规范》要求，钢结构安装应符合《钢结构工程施工质量验收标准》规定。设备基础施工执行《机械设备安装工程施工及验收通用规范》，管道工程遵循《建筑给水排水及采暖工程施工质量验收规范》。涉及特种作业须持证上岗，高空作业、有限空间作业等高风险工序应落实《建筑施工高处作业安全技术规范》及专项应急预案。施工技术交底应包含工艺流程图、关键节点控制参数及隐蔽工程验收程序，测量放线误差须控制在《工程测量规范》允许范围内。雨季施工应依据《建筑工程雨季施工技术规程》采取防雨排水、边坡稳定等专项措施；冬期施工则需执行《建筑工程冬期施工规程》规定的保温防冻要求。混凝土养护期间，需根据实际环境条件执行温湿度双控标准，雨季重点控制湿度超标导致的裂缝风险，冬期侧重温度保障以防止冻害。大型设备吊装方案需经专家论证，临时用电系统设计应符合《施工现场临时用电安全技术规范》。推行BIM技术进行管线综合排布，装饰工程实施样板引路制度，材料复验须覆盖主体结构用钢筋、水泥等A类物资。施工机械实行"一机一档"管理，危险品存储执行《常用化学危险品贮存通则》，建筑垃圾处置落实"四节一环保"（</w:t>
      </w:r>
      <w:r>
        <w:rPr>
          <w:rFonts w:hint="eastAsia"/>
          <w:sz w:val="24"/>
          <w:szCs w:val="24"/>
        </w:rPr>
        <w:t>节能、节地、节水、节材和环境保护</w:t>
      </w:r>
      <w:r>
        <w:rPr>
          <w:rFonts w:hint="eastAsia" w:ascii="宋体" w:hAnsi="宋体" w:cs="宋体"/>
          <w:sz w:val="24"/>
          <w:szCs w:val="24"/>
        </w:rPr>
        <w:t>）要求。</w:t>
      </w:r>
    </w:p>
    <w:p w14:paraId="790AF483">
      <w:pPr>
        <w:pStyle w:val="3"/>
        <w:numPr>
          <w:ilvl w:val="0"/>
          <w:numId w:val="12"/>
        </w:numPr>
        <w:spacing w:before="156" w:after="156" w:line="400" w:lineRule="exact"/>
        <w:ind w:firstLine="281"/>
      </w:pPr>
      <w:bookmarkStart w:id="372" w:name="_Toc10865"/>
      <w:bookmarkStart w:id="373" w:name="_Toc28049"/>
      <w:bookmarkStart w:id="374" w:name="_Toc11568"/>
      <w:r>
        <w:rPr>
          <w:rFonts w:hint="eastAsia"/>
        </w:rPr>
        <w:t>分包管理</w:t>
      </w:r>
      <w:bookmarkEnd w:id="372"/>
      <w:bookmarkEnd w:id="373"/>
      <w:bookmarkEnd w:id="374"/>
    </w:p>
    <w:p w14:paraId="6051FC5C">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分包单位须具备独立法人资格与相应资质，禁止转包或违法分包行为。</w:t>
      </w:r>
    </w:p>
    <w:p w14:paraId="0D646D00">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中标方作为工程总承包单位应对分包工程的质量、安全、进度承担连带责任。分包单位进场前通常需向监理单位提交营业执照、资质证书、安全生产许可证等相关证明文件的</w:t>
      </w:r>
      <w:r>
        <w:rPr>
          <w:rFonts w:ascii="宋体" w:hAnsi="宋体" w:cs="宋体"/>
          <w:kern w:val="2"/>
          <w:sz w:val="24"/>
          <w:szCs w:val="24"/>
        </w:rPr>
        <w:t>复印件</w:t>
      </w:r>
      <w:r>
        <w:rPr>
          <w:rFonts w:hint="eastAsia" w:ascii="宋体" w:hAnsi="宋体" w:cs="宋体"/>
          <w:kern w:val="2"/>
          <w:sz w:val="24"/>
          <w:szCs w:val="24"/>
        </w:rPr>
        <w:t>及主要管理人员资格证明文件备案，所有证明文件的复印件需加盖本单位公章。总包方须对分包工程实施全过程监管，包括但不限于材料进场验收、隐蔽工程旁站、专项工序交接检查。涉及专业分包的工程，总包方应提前7日向建设单位报送分包实施方案及质量保证措施。若发现转包或超越资质承揽业务，建设单位有权要求限期整改并按约定计取违约金，情节严重者可终止分包合同。所有分包合同须明确约定工程质量保修期限不得低于总包合同约定年限。</w:t>
      </w:r>
    </w:p>
    <w:p w14:paraId="0A56BA39">
      <w:pPr>
        <w:pStyle w:val="3"/>
        <w:numPr>
          <w:ilvl w:val="0"/>
          <w:numId w:val="12"/>
        </w:numPr>
        <w:spacing w:before="156" w:after="156" w:line="400" w:lineRule="exact"/>
        <w:ind w:firstLine="281"/>
      </w:pPr>
      <w:bookmarkStart w:id="375" w:name="_Toc30632"/>
      <w:bookmarkStart w:id="376" w:name="_Toc24615"/>
      <w:bookmarkStart w:id="377" w:name="_Toc17860"/>
      <w:r>
        <w:rPr>
          <w:rFonts w:hint="eastAsia"/>
        </w:rPr>
        <w:t>现场管控</w:t>
      </w:r>
      <w:bookmarkEnd w:id="375"/>
      <w:bookmarkEnd w:id="376"/>
      <w:bookmarkEnd w:id="377"/>
    </w:p>
    <w:p w14:paraId="33BDBC47">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中标方须制定科学施工总平面图，实施安全文明施工管理，编制详实施工方案并落实环保责任制度。</w:t>
      </w:r>
    </w:p>
    <w:p w14:paraId="7E9B4FD7">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施工区域须实行全封闭管理，作业人员进出须通过实名制考勤系统登记。工程车辆行驶路线应避开厂区主干道并设置专用洗车平台，确保出场车辆冲洗率达100%。材料堆场须按品类划分功能区域并设置标准化标识标牌，大宗物资装卸须采用防尘降噪工艺。施工机械进场前应提供特种设备检验合格证明及操作人员资格证件，每日作业前须完成设备安全性能点检并留存记录。施工现场应建立三级安全巡查机制（班组自查、项目周检、公司月检），重点监控深基坑支护、高空作业防护及临时用电系统合规性。扬尘控制须配备PM2.5在线监测装置，噪声排放应符合《建筑施工场界环境噪声排放标准》要求。危化品存储须设置独立库房并落实双人双锁管理制度，废弃物处置需提供具有危废运输资质单位的联单凭证。</w:t>
      </w:r>
    </w:p>
    <w:p w14:paraId="5F2A52EA">
      <w:pPr>
        <w:pStyle w:val="3"/>
        <w:numPr>
          <w:ilvl w:val="0"/>
          <w:numId w:val="12"/>
        </w:numPr>
        <w:spacing w:before="156" w:after="156" w:line="400" w:lineRule="exact"/>
        <w:ind w:firstLine="281"/>
      </w:pPr>
      <w:bookmarkStart w:id="378" w:name="_Toc15577"/>
      <w:bookmarkStart w:id="379" w:name="_Toc13351"/>
      <w:bookmarkStart w:id="380" w:name="_Toc31401"/>
      <w:r>
        <w:rPr>
          <w:rFonts w:hint="eastAsia"/>
        </w:rPr>
        <w:t>工程测量</w:t>
      </w:r>
      <w:bookmarkEnd w:id="378"/>
      <w:bookmarkEnd w:id="379"/>
      <w:bookmarkEnd w:id="380"/>
    </w:p>
    <w:p w14:paraId="4E4EC52E">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施工方负责全流程测量放线及沉降观测，需定期复核基准点并提交完整观测报告。</w:t>
      </w:r>
    </w:p>
    <w:p w14:paraId="448FC97A">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工程测量须采用经校验合格的测量仪器，执行《工程测量规范》规定的精度标准。施工控制网建立应包含平面控制网与高程控制网双系统，关键部位测量须实施"三检制"记录备查。测量数据须实时记录并建立电子档案，保存期不少于工程保修期满后两年。对于超过允许偏差的测量结果，施工方应立即启动偏差分析程序，并在24小时内提交修正方案。沉降观测频次应符合：基础施工阶段每周一次，主体施工阶段每半月一次，竣工后首年每季度一次。涉及地下管线、设备安装的联合测量，须与相关专业单位实施坐标系统一校核。最终测量成果应经监理工程师签认后作为验收依据。</w:t>
      </w:r>
    </w:p>
    <w:p w14:paraId="3198450E">
      <w:pPr>
        <w:pStyle w:val="2"/>
        <w:spacing w:line="400" w:lineRule="exact"/>
      </w:pPr>
      <w:bookmarkStart w:id="381" w:name="_Toc204"/>
      <w:bookmarkStart w:id="382" w:name="_Toc5527"/>
      <w:bookmarkStart w:id="383" w:name="_Toc10413"/>
      <w:r>
        <w:rPr>
          <w:rFonts w:hint="eastAsia" w:ascii="宋体" w:hAnsi="宋体" w:cs="宋体"/>
        </w:rPr>
        <w:t>3</w:t>
      </w:r>
      <w:r>
        <w:t>. 项目管理</w:t>
      </w:r>
      <w:bookmarkEnd w:id="381"/>
      <w:bookmarkEnd w:id="382"/>
      <w:bookmarkEnd w:id="383"/>
    </w:p>
    <w:p w14:paraId="59B04B0F">
      <w:pPr>
        <w:pStyle w:val="3"/>
        <w:spacing w:before="156" w:after="156" w:line="400" w:lineRule="exact"/>
        <w:ind w:firstLine="281"/>
      </w:pPr>
      <w:bookmarkStart w:id="384" w:name="_Toc23129"/>
      <w:bookmarkStart w:id="385" w:name="_Toc5024"/>
      <w:bookmarkStart w:id="386" w:name="_Toc5119"/>
      <w:r>
        <w:rPr>
          <w:rFonts w:hint="eastAsia" w:ascii="宋体" w:hAnsi="宋体" w:cs="宋体"/>
        </w:rPr>
        <w:t>3.1</w:t>
      </w:r>
      <w:r>
        <w:t xml:space="preserve"> 项目管理团队组建与职责</w:t>
      </w:r>
      <w:bookmarkEnd w:id="384"/>
      <w:bookmarkEnd w:id="385"/>
      <w:bookmarkEnd w:id="386"/>
    </w:p>
    <w:p w14:paraId="230EA359">
      <w:pPr>
        <w:adjustRightInd w:val="0"/>
        <w:spacing w:before="100" w:after="100" w:line="400" w:lineRule="exact"/>
        <w:ind w:firstLine="480" w:firstLineChars="200"/>
        <w:rPr>
          <w:rStyle w:val="44"/>
        </w:rPr>
      </w:pPr>
      <w:r>
        <w:rPr>
          <w:rStyle w:val="44"/>
        </w:rPr>
        <w:t>在总承包土建项目管理中，中标方有责任组建</w:t>
      </w:r>
      <w:r>
        <w:rPr>
          <w:rStyle w:val="44"/>
          <w:rFonts w:hint="eastAsia"/>
        </w:rPr>
        <w:t>高效专业协同</w:t>
      </w:r>
      <w:r>
        <w:rPr>
          <w:rStyle w:val="44"/>
        </w:rPr>
        <w:t>的项目管理团队规模</w:t>
      </w:r>
      <w:r>
        <w:rPr>
          <w:rStyle w:val="44"/>
          <w:rFonts w:hint="eastAsia"/>
        </w:rPr>
        <w:t>服务于项目建设。</w:t>
      </w:r>
      <w:r>
        <w:rPr>
          <w:rStyle w:val="44"/>
        </w:rPr>
        <w:t>该团队成员的专业配置涵盖建筑、结构、机电、造价等核心领域，这些专业对于土建部分项目管理而言高度契合且十分必要，能够从多个专业维度确保对项目进行全面、有效的管理。</w:t>
      </w:r>
    </w:p>
    <w:p w14:paraId="007BD3D1">
      <w:pPr>
        <w:adjustRightInd w:val="0"/>
        <w:spacing w:before="100" w:after="100" w:line="400" w:lineRule="exact"/>
        <w:ind w:firstLine="480" w:firstLineChars="200"/>
        <w:rPr>
          <w:rFonts w:cs="宋体"/>
          <w:sz w:val="24"/>
          <w:szCs w:val="24"/>
        </w:rPr>
      </w:pPr>
      <w:r>
        <w:rPr>
          <w:rFonts w:ascii="宋体" w:hAnsi="宋体" w:cs="宋体"/>
          <w:sz w:val="24"/>
          <w:szCs w:val="24"/>
        </w:rPr>
        <w:t>土建项目负责人：土建项目负责人必须具有建设行政主管部门颁发的建筑工程专业一级建造师，注册证书注册时间在有效期内；拟派建造师须提供执业资格证、安全B证。土建项目负责人</w:t>
      </w:r>
      <w:r>
        <w:rPr>
          <w:rFonts w:ascii="Segoe UI" w:hAnsi="Segoe UI" w:cs="Segoe UI"/>
          <w:color w:val="0D0D0D"/>
          <w:sz w:val="24"/>
          <w:shd w:val="clear" w:color="auto" w:fill="FFFFFF"/>
        </w:rPr>
        <w:t>作为项目管理工作中的核心角色，肩负着全面统筹项目全局的重大职责。其主要工作涵盖协调各方资源，依据项目的特点、需求以及内外部环境，合理调配人力、物力与财力等各类资源，确保资源的高效利用；制定项目整体策略与目标，通过深入分析与精准规划，确立科学合理、切实可行的项目发展方向与预期成果；并负责监督项目按既定计划稳步推进，及时发现并解决项目执行过程中出现的各类问题与偏差。</w:t>
      </w:r>
      <w:r>
        <w:rPr>
          <w:rFonts w:ascii="宋体" w:hAnsi="宋体" w:cs="宋体"/>
          <w:sz w:val="24"/>
          <w:szCs w:val="24"/>
        </w:rPr>
        <w:t>土建项目负责人</w:t>
      </w:r>
      <w:r>
        <w:rPr>
          <w:rFonts w:ascii="Segoe UI" w:hAnsi="Segoe UI" w:cs="Segoe UI"/>
          <w:color w:val="0D0D0D"/>
          <w:sz w:val="24"/>
          <w:shd w:val="clear" w:color="auto" w:fill="FFFFFF"/>
        </w:rPr>
        <w:t>凭借其专业能力、领导才能与决策智慧，对项目的整体成败承担着主要责任</w:t>
      </w:r>
      <w:r>
        <w:rPr>
          <w:rFonts w:cs="宋体"/>
          <w:sz w:val="24"/>
          <w:szCs w:val="24"/>
        </w:rPr>
        <w:t>。</w:t>
      </w:r>
    </w:p>
    <w:p w14:paraId="2A654291">
      <w:pPr>
        <w:pStyle w:val="5"/>
        <w:spacing w:line="400" w:lineRule="exact"/>
        <w:ind w:firstLine="480"/>
      </w:pPr>
      <w:r>
        <w:rPr>
          <w:rFonts w:hint="eastAsia"/>
        </w:rPr>
        <w:t>土建</w:t>
      </w:r>
      <w:r>
        <w:t>技术负责人：原则上应具备高级工程师职称。对于在相关领域拥有深厚专业积累、丰富实践经验且取得显著技术成果的人员。</w:t>
      </w:r>
      <w:r>
        <w:rPr>
          <w:rFonts w:hint="eastAsia"/>
        </w:rPr>
        <w:t>土建</w:t>
      </w:r>
      <w:r>
        <w:t>技术负责人需主持过至少两个与本项目在规模、复杂程度、技术要求等方面具有相似特征的项目的技术管理工作，以此确保其具备应对本项目技术管理工作的能力。同时，必须持有省级住房和城乡建设部门颁发的项目负责人安全生产知识考核合格证书，严格落实安全生产相关要求。</w:t>
      </w:r>
    </w:p>
    <w:p w14:paraId="3BC69482">
      <w:pPr>
        <w:pStyle w:val="5"/>
        <w:spacing w:line="400" w:lineRule="exact"/>
        <w:ind w:firstLine="480"/>
      </w:pPr>
      <w:r>
        <w:rPr>
          <w:rFonts w:hint="eastAsia"/>
        </w:rPr>
        <w:t>土建</w:t>
      </w:r>
      <w:r>
        <w:t>技术负责人的核心职责涵盖项目技术方案的全面制定、严格审核以及精准指导。在项目实施过程中，需凭借专业知识和丰富经验，及时、妥善地解决所出现的各类技术难题。通过科学规划与合理把控，确保项目所采用的技术路线不仅在当前项目条件下切实可行，而且具有一定的前瞻性和先进性，为项目的顺利推进与高质量交付提供坚实有力的技术支撑与保障。</w:t>
      </w:r>
    </w:p>
    <w:p w14:paraId="2DF5F69E">
      <w:pPr>
        <w:pStyle w:val="5"/>
        <w:spacing w:line="400" w:lineRule="exact"/>
        <w:ind w:firstLine="480"/>
      </w:pPr>
      <w:r>
        <w:rPr>
          <w:rStyle w:val="21"/>
          <w:rFonts w:hint="eastAsia" w:ascii="Segoe UI" w:hAnsi="Segoe UI" w:cs="Segoe UI"/>
          <w:b w:val="0"/>
          <w:bCs/>
          <w:color w:val="0D0D0D"/>
          <w:shd w:val="clear" w:color="auto" w:fill="FFFFFF"/>
        </w:rPr>
        <w:t>土建</w:t>
      </w:r>
      <w:r>
        <w:rPr>
          <w:rStyle w:val="21"/>
          <w:rFonts w:ascii="Segoe UI" w:hAnsi="Segoe UI" w:cs="Segoe UI"/>
          <w:b w:val="0"/>
          <w:bCs/>
          <w:color w:val="0D0D0D"/>
          <w:shd w:val="clear" w:color="auto" w:fill="FFFFFF"/>
        </w:rPr>
        <w:t>安全负责人</w:t>
      </w:r>
      <w:r>
        <w:rPr>
          <w:rFonts w:ascii="Segoe UI" w:hAnsi="Segoe UI" w:cs="Segoe UI"/>
          <w:color w:val="0D0D0D"/>
          <w:shd w:val="clear" w:color="auto" w:fill="FFFFFF"/>
        </w:rPr>
        <w:t>：要取得</w:t>
      </w:r>
      <w:r>
        <w:rPr>
          <w:rFonts w:hint="eastAsia" w:ascii="Segoe UI" w:hAnsi="Segoe UI" w:cs="Segoe UI"/>
          <w:color w:val="0D0D0D"/>
          <w:shd w:val="clear" w:color="auto" w:fill="FFFFFF"/>
        </w:rPr>
        <w:t>中级</w:t>
      </w:r>
      <w:r>
        <w:rPr>
          <w:rFonts w:ascii="Segoe UI" w:hAnsi="Segoe UI" w:cs="Segoe UI"/>
          <w:color w:val="0D0D0D"/>
          <w:shd w:val="clear" w:color="auto" w:fill="FFFFFF"/>
        </w:rPr>
        <w:t>注册安全工程师执业资格，并具备</w:t>
      </w:r>
      <w:r>
        <w:rPr>
          <w:rFonts w:hint="eastAsia" w:cs="宋体"/>
          <w:color w:val="0D0D0D"/>
          <w:shd w:val="clear" w:color="auto" w:fill="FFFFFF"/>
        </w:rPr>
        <w:t>5</w:t>
      </w:r>
      <w:r>
        <w:rPr>
          <w:rFonts w:ascii="Segoe UI" w:hAnsi="Segoe UI" w:cs="Segoe UI"/>
          <w:color w:val="0D0D0D"/>
          <w:shd w:val="clear" w:color="auto" w:fill="FFFFFF"/>
        </w:rPr>
        <w:t>年以上施工现场安全管理经验。其职责在于制定并执行项目安全管理制度，组织开展安全教育培训活动，对施工现场进行定期与不定期的安全检查，及时排查与处理各类安全隐患，确保项目施工过程中的人员与财产安全。</w:t>
      </w:r>
    </w:p>
    <w:p w14:paraId="3D492929">
      <w:pPr>
        <w:pStyle w:val="15"/>
        <w:widowControl/>
        <w:adjustRightInd w:val="0"/>
        <w:spacing w:before="100" w:beforeAutospacing="0" w:after="100" w:afterAutospacing="0" w:line="400" w:lineRule="exact"/>
        <w:ind w:firstLine="480" w:firstLineChars="200"/>
        <w:jc w:val="both"/>
        <w:rPr>
          <w:kern w:val="2"/>
        </w:rPr>
      </w:pPr>
      <w:r>
        <w:rPr>
          <w:rStyle w:val="21"/>
          <w:rFonts w:ascii="Segoe UI" w:hAnsi="Segoe UI" w:cs="Segoe UI"/>
          <w:b w:val="0"/>
          <w:bCs/>
          <w:color w:val="0D0D0D"/>
          <w:kern w:val="2"/>
          <w:shd w:val="clear" w:color="auto" w:fill="FFFFFF"/>
        </w:rPr>
        <w:t>其他团队成员</w:t>
      </w:r>
      <w:r>
        <w:rPr>
          <w:rFonts w:ascii="Segoe UI" w:hAnsi="Segoe UI" w:cs="Segoe UI"/>
          <w:color w:val="0D0D0D"/>
          <w:kern w:val="2"/>
          <w:shd w:val="clear" w:color="auto" w:fill="FFFFFF"/>
        </w:rPr>
        <w:t>：项目管理团队的主要成员（含施工员、质检员、材料员</w:t>
      </w:r>
      <w:r>
        <w:rPr>
          <w:rFonts w:hint="eastAsia" w:ascii="Segoe UI" w:hAnsi="Segoe UI" w:cs="Segoe UI"/>
          <w:color w:val="0D0D0D"/>
          <w:kern w:val="2"/>
          <w:shd w:val="clear" w:color="auto" w:fill="FFFFFF"/>
        </w:rPr>
        <w:t>、安全员</w:t>
      </w:r>
      <w:r>
        <w:rPr>
          <w:rFonts w:ascii="Segoe UI" w:hAnsi="Segoe UI" w:cs="Segoe UI"/>
          <w:color w:val="0D0D0D"/>
          <w:kern w:val="2"/>
          <w:shd w:val="clear" w:color="auto" w:fill="FFFFFF"/>
        </w:rPr>
        <w:t>等）均须持证上岗，其中特种作业人员必须</w:t>
      </w:r>
      <w:r>
        <w:rPr>
          <w:rFonts w:hint="eastAsia" w:ascii="宋体" w:hAnsi="宋体" w:cs="宋体"/>
          <w:color w:val="0D0D0D"/>
          <w:kern w:val="2"/>
          <w:shd w:val="clear" w:color="auto" w:fill="FFFFFF"/>
        </w:rPr>
        <w:t>100%</w:t>
      </w:r>
      <w:r>
        <w:rPr>
          <w:rFonts w:ascii="Segoe UI" w:hAnsi="Segoe UI" w:cs="Segoe UI"/>
          <w:color w:val="0D0D0D"/>
          <w:kern w:val="2"/>
          <w:shd w:val="clear" w:color="auto" w:fill="FFFFFF"/>
        </w:rPr>
        <w:t>取得相应操作资格证书。各成员需依据自身岗位职能，在各自负责的领域内履行职责。</w:t>
      </w:r>
    </w:p>
    <w:p w14:paraId="0C1139CF">
      <w:pPr>
        <w:pStyle w:val="8"/>
        <w:spacing w:before="100" w:after="100" w:line="400" w:lineRule="exact"/>
        <w:ind w:firstLine="480" w:firstLineChars="200"/>
        <w:rPr>
          <w:kern w:val="2"/>
          <w:sz w:val="24"/>
        </w:rPr>
      </w:pPr>
      <w:r>
        <w:rPr>
          <w:kern w:val="2"/>
          <w:sz w:val="24"/>
        </w:rPr>
        <w:t>团队需实行驻地考勤制度，关键岗位人员每月在岗率不得低于</w:t>
      </w:r>
      <w:r>
        <w:rPr>
          <w:rFonts w:hint="eastAsia" w:ascii="宋体" w:hAnsi="宋体" w:cs="宋体"/>
          <w:sz w:val="24"/>
          <w:szCs w:val="18"/>
        </w:rPr>
        <w:t>22</w:t>
      </w:r>
      <w:r>
        <w:rPr>
          <w:sz w:val="24"/>
          <w:szCs w:val="18"/>
        </w:rPr>
        <w:t>个工作日</w:t>
      </w:r>
      <w:r>
        <w:rPr>
          <w:kern w:val="2"/>
          <w:sz w:val="24"/>
        </w:rPr>
        <w:t>。中标方应按季度向监理单位提交团队成员的履职考核报告，对于考核不达标人员，要及时采取调整、培训或更换等措施，以保证团队的整体工作效能。</w:t>
      </w:r>
    </w:p>
    <w:p w14:paraId="36DBB2A4">
      <w:pPr>
        <w:pStyle w:val="3"/>
        <w:spacing w:before="156" w:after="156" w:line="400" w:lineRule="exact"/>
        <w:ind w:firstLine="281"/>
      </w:pPr>
      <w:bookmarkStart w:id="387" w:name="_Toc28766"/>
      <w:bookmarkStart w:id="388" w:name="_Toc1870"/>
      <w:bookmarkStart w:id="389" w:name="_Toc26636"/>
      <w:r>
        <w:rPr>
          <w:rFonts w:hint="eastAsia" w:ascii="宋体" w:hAnsi="宋体" w:cs="宋体"/>
        </w:rPr>
        <w:t>3.2</w:t>
      </w:r>
      <w:r>
        <w:t xml:space="preserve"> 管理范畴与管控机制</w:t>
      </w:r>
      <w:bookmarkEnd w:id="387"/>
      <w:bookmarkEnd w:id="388"/>
      <w:bookmarkEnd w:id="389"/>
    </w:p>
    <w:p w14:paraId="25E8621E">
      <w:pPr>
        <w:pStyle w:val="15"/>
        <w:widowControl/>
        <w:adjustRightInd w:val="0"/>
        <w:spacing w:before="100" w:beforeAutospacing="0" w:after="100" w:afterAutospacing="0" w:line="400" w:lineRule="exact"/>
        <w:ind w:firstLine="480" w:firstLineChars="200"/>
        <w:jc w:val="both"/>
        <w:rPr>
          <w:kern w:val="2"/>
        </w:rPr>
      </w:pPr>
      <w:r>
        <w:rPr>
          <w:rStyle w:val="21"/>
          <w:b w:val="0"/>
          <w:bCs/>
          <w:kern w:val="2"/>
        </w:rPr>
        <w:t>管理范畴界定</w:t>
      </w:r>
      <w:r>
        <w:rPr>
          <w:rFonts w:ascii="Segoe UI" w:hAnsi="Segoe UI" w:cs="Segoe UI"/>
          <w:color w:val="0D0D0D"/>
          <w:kern w:val="2"/>
          <w:shd w:val="clear" w:color="auto" w:fill="FFFFFF"/>
        </w:rPr>
        <w:t>：项目管理的范围覆盖总承包内的各个单项工程，涉及质量、进度、安全等关键要素，同时还需协助完成消防验收及产权办理等相关工作，确保项目从建设到交付使用的全过程顺利进行。</w:t>
      </w:r>
    </w:p>
    <w:p w14:paraId="6028B91F">
      <w:pPr>
        <w:pStyle w:val="15"/>
        <w:widowControl/>
        <w:adjustRightInd w:val="0"/>
        <w:spacing w:before="100" w:beforeAutospacing="0" w:after="100" w:afterAutospacing="0" w:line="400" w:lineRule="exact"/>
        <w:ind w:firstLine="480" w:firstLineChars="200"/>
        <w:jc w:val="both"/>
        <w:rPr>
          <w:rFonts w:ascii="Segoe UI" w:hAnsi="Segoe UI" w:cs="Segoe UI"/>
          <w:color w:val="0D0D0D"/>
          <w:kern w:val="2"/>
          <w:shd w:val="clear" w:color="auto" w:fill="FFFFFF"/>
        </w:rPr>
      </w:pPr>
      <w:r>
        <w:rPr>
          <w:rStyle w:val="21"/>
          <w:rFonts w:ascii="Segoe UI" w:hAnsi="Segoe UI" w:cs="Segoe UI"/>
          <w:b w:val="0"/>
          <w:bCs/>
          <w:color w:val="0D0D0D"/>
          <w:kern w:val="2"/>
          <w:shd w:val="clear" w:color="auto" w:fill="FFFFFF"/>
        </w:rPr>
        <w:t>组织模式与职责划分</w:t>
      </w:r>
      <w:r>
        <w:rPr>
          <w:rFonts w:ascii="Segoe UI" w:hAnsi="Segoe UI" w:cs="Segoe UI"/>
          <w:color w:val="0D0D0D"/>
          <w:kern w:val="2"/>
          <w:shd w:val="clear" w:color="auto" w:fill="FFFFFF"/>
        </w:rPr>
        <w:t>：项目管理机构应构建矩阵式管理体系，采用项目经理负责制与专业条线垂直管理相结合的组织模式。在这种模式下，明确各层级、各专业人员在质量策划、进度控制、安全监督这三条管理主线上的交叉管理职责，形成分级决策、分层实施的高效管控机制。例如，在质量策划方面，由技术负责人牵头制定整体质量计划，各专业人员根据计划细化本专业的质量标准与控制措施；在进度控制方面，项目经理根据总工期要求制定总体进度计划，各专业条线负责人据此分解出本专业的专项计划，并通过周滚动计划进行细化落实；在安全监督方面，安全负责人制定安全管理制度与流程，各岗位人员在日常工作中严格执行并反馈安全情况。</w:t>
      </w:r>
    </w:p>
    <w:p w14:paraId="41F8CE36">
      <w:pPr>
        <w:pStyle w:val="15"/>
        <w:widowControl/>
        <w:adjustRightInd w:val="0"/>
        <w:snapToGrid w:val="0"/>
        <w:spacing w:before="100" w:beforeAutospacing="0" w:after="100" w:afterAutospacing="0" w:line="400" w:lineRule="exact"/>
        <w:ind w:firstLine="480" w:firstLineChars="200"/>
        <w:jc w:val="both"/>
        <w:rPr>
          <w:kern w:val="2"/>
        </w:rPr>
      </w:pPr>
      <w:r>
        <w:rPr>
          <w:rStyle w:val="21"/>
          <w:rFonts w:ascii="Segoe UI" w:hAnsi="Segoe UI" w:cs="Segoe UI"/>
          <w:b w:val="0"/>
          <w:bCs/>
          <w:color w:val="0D0D0D"/>
          <w:kern w:val="2"/>
          <w:shd w:val="clear" w:color="auto" w:fill="FFFFFF"/>
        </w:rPr>
        <w:t>进度管理细化</w:t>
      </w:r>
      <w:r>
        <w:rPr>
          <w:rFonts w:ascii="Segoe UI" w:hAnsi="Segoe UI" w:cs="Segoe UI"/>
          <w:color w:val="0D0D0D"/>
          <w:kern w:val="2"/>
          <w:shd w:val="clear" w:color="auto" w:fill="FFFFFF"/>
        </w:rPr>
        <w:t>：在进度管理维度，执行三级计划管控体系，即总控计划 - 专项计划 - 周滚动计划。总控计划明确项目的总体进度框架与关键里程碑节点；专项计划针对各专业领域或特定施工阶段进行详细规划；周滚动计划则根据实际进展情况每周进行动态调整。通过周工程例会和月进度报告制度对项目进度实施动态监控，在周工程例会上，各专业条线负责人汇报本周进展及下周计划，共同商讨解决遇到的问题；在月进度报告中，汇总分析一个月来的进度情况、偏差原因及调整措施。对偏差超过10%的节点，须立即启动预警响应程序，深入分析偏差产生的原因，可能涉及资源供应、施工难度、外部干扰等多方面因素，然后制定针对性的调整方案，如调整资源分配、优化施工顺序、加强协调沟通等，确保项目进度始终可控。</w:t>
      </w:r>
    </w:p>
    <w:p w14:paraId="1E713B7B">
      <w:pPr>
        <w:pStyle w:val="15"/>
        <w:widowControl/>
        <w:adjustRightInd w:val="0"/>
        <w:snapToGrid w:val="0"/>
        <w:spacing w:before="100" w:beforeAutospacing="0" w:after="100" w:afterAutospacing="0" w:line="400" w:lineRule="exact"/>
        <w:ind w:firstLine="480" w:firstLineChars="200"/>
        <w:jc w:val="both"/>
        <w:rPr>
          <w:kern w:val="2"/>
        </w:rPr>
      </w:pPr>
      <w:r>
        <w:rPr>
          <w:rStyle w:val="21"/>
          <w:rFonts w:ascii="Segoe UI" w:hAnsi="Segoe UI" w:cs="Segoe UI"/>
          <w:b w:val="0"/>
          <w:bCs/>
          <w:color w:val="0D0D0D"/>
          <w:kern w:val="2"/>
          <w:shd w:val="clear" w:color="auto" w:fill="FFFFFF"/>
        </w:rPr>
        <w:t>质量管理深化</w:t>
      </w:r>
      <w:r>
        <w:rPr>
          <w:rFonts w:ascii="Segoe UI" w:hAnsi="Segoe UI" w:cs="Segoe UI"/>
          <w:color w:val="0D0D0D"/>
          <w:kern w:val="2"/>
          <w:shd w:val="clear" w:color="auto" w:fill="FFFFFF"/>
        </w:rPr>
        <w:t>：质量管理需落实“过程三检制”，但在此基础上，进一步强化各环节的协同与追溯性。在施工材料进场环节，不仅要进行复验，还要建立材料质量追溯档案，记录材料的来源、检验情况、使用部位等信息；在工艺样板引路方面，除了常规的样板制作与推广，还要对样板的实施效果进行评估与反馈，根据反馈结果对后续施工进行调整优化；对于隐蔽工程联合验收，要在验收过程中详细记录验收情况，包括隐蔽部位的详细描述、验收人员签字、验收时间等，建立可追溯的质量责任标识系统，以便在后续出现质量问题时能够准确追溯责任。</w:t>
      </w:r>
    </w:p>
    <w:p w14:paraId="143628B6">
      <w:pPr>
        <w:pStyle w:val="15"/>
        <w:widowControl/>
        <w:adjustRightInd w:val="0"/>
        <w:snapToGrid w:val="0"/>
        <w:spacing w:before="100" w:beforeAutospacing="0" w:after="100" w:afterAutospacing="0" w:line="400" w:lineRule="exact"/>
        <w:ind w:firstLine="480" w:firstLineChars="200"/>
        <w:jc w:val="both"/>
        <w:rPr>
          <w:kern w:val="2"/>
        </w:rPr>
      </w:pPr>
      <w:r>
        <w:rPr>
          <w:rStyle w:val="21"/>
          <w:rFonts w:ascii="Segoe UI" w:hAnsi="Segoe UI" w:cs="Segoe UI"/>
          <w:b w:val="0"/>
          <w:bCs/>
          <w:color w:val="0D0D0D"/>
          <w:kern w:val="2"/>
          <w:shd w:val="clear" w:color="auto" w:fill="FFFFFF"/>
        </w:rPr>
        <w:t>安全管理深化</w:t>
      </w:r>
      <w:r>
        <w:rPr>
          <w:rFonts w:ascii="Segoe UI" w:hAnsi="Segoe UI" w:cs="Segoe UI"/>
          <w:color w:val="0D0D0D"/>
          <w:kern w:val="2"/>
          <w:shd w:val="clear" w:color="auto" w:fill="FFFFFF"/>
        </w:rPr>
        <w:t>：安全管理应实施风险分级管控制度，对危险性较大的分部分项工程（危大工程）实行“一方案一论证”管理。在此基础上，进一步完善风险评估与管控措施。在项目前期，对整个项目进行全面的风险评估，识别出各类潜在安全风险，根据风险的严重程度、发生概率等因素进行分级，针对不同级别的风险制定相应的防控措施。对于危大工程，在编制专项方案后，组织专家进行论证，根据专家意见对方案进行完善，并在施工过程中严格按照方案执行。同时，同步建立隐患排查电子台账，详细记录每次排查的时间、地点、发现的隐患内容、整改责任人、整改期限及整改情况等信息，实施隐患整改闭环管理机制，确保安全隐患得到及时、彻底解决。此外，还需建立与建设单位、监理单位的四方联席会议机制，每月定期组织设计交底会、安全文明施工专项检查等活动，通过这些活动加强各方之间的沟通与协调，及时解决安全管理方面的问题。同时，借助BIM协同平台实现施工全过程的可视化管控，在平台上可以实时查看施工现场的安全状况，如人员分布、设备运行、危险区域等情况，以便及时发现并处理安全隐患。</w:t>
      </w:r>
    </w:p>
    <w:p w14:paraId="7460231A">
      <w:pPr>
        <w:pStyle w:val="15"/>
        <w:widowControl/>
        <w:adjustRightInd w:val="0"/>
        <w:snapToGrid w:val="0"/>
        <w:spacing w:before="100" w:beforeAutospacing="0" w:after="100" w:afterAutospacing="0" w:line="400" w:lineRule="exact"/>
        <w:ind w:firstLine="480" w:firstLineChars="200"/>
        <w:jc w:val="both"/>
        <w:rPr>
          <w:rFonts w:ascii="宋体" w:hAnsi="宋体" w:cs="宋体"/>
          <w:kern w:val="2"/>
          <w:szCs w:val="24"/>
        </w:rPr>
      </w:pPr>
      <w:r>
        <w:rPr>
          <w:rStyle w:val="21"/>
          <w:rFonts w:ascii="Segoe UI" w:hAnsi="Segoe UI" w:cs="Segoe UI"/>
          <w:b w:val="0"/>
          <w:bCs/>
          <w:color w:val="0D0D0D"/>
          <w:kern w:val="2"/>
          <w:shd w:val="clear" w:color="auto" w:fill="FFFFFF"/>
        </w:rPr>
        <w:t>项目履约评价与分包管理</w:t>
      </w:r>
      <w:r>
        <w:rPr>
          <w:rFonts w:ascii="Segoe UI" w:hAnsi="Segoe UI" w:cs="Segoe UI"/>
          <w:color w:val="0D0D0D"/>
          <w:kern w:val="2"/>
          <w:shd w:val="clear" w:color="auto" w:fill="FFFFFF"/>
        </w:rPr>
        <w:t>：建立完善的项目履约评价体系，将季度考核结果与工程款支付紧密挂钩。对分包单位的考核纳入整体项目履约评价范畴，除了关注分包单位自身的质量、进度、安全等方面的表现外，还要考核其与总包单位及其他分包单位之间的协作配合情况。对累计两次考核不达标的分包单位，启动清退程序，同时要求分包单位承担相应的违约责任，如赔偿因延误工期或质量问题造成的损失等。</w:t>
      </w:r>
    </w:p>
    <w:p w14:paraId="0E047904">
      <w:pPr>
        <w:pStyle w:val="2"/>
        <w:spacing w:line="400" w:lineRule="exact"/>
      </w:pPr>
      <w:bookmarkStart w:id="390" w:name="_Toc6092"/>
      <w:bookmarkStart w:id="391" w:name="_Toc19364"/>
      <w:bookmarkStart w:id="392" w:name="_Toc5678"/>
      <w:r>
        <w:rPr>
          <w:rFonts w:hint="eastAsia" w:ascii="宋体" w:hAnsi="宋体" w:cs="宋体"/>
        </w:rPr>
        <w:t>4</w:t>
      </w:r>
      <w:r>
        <w:rPr>
          <w:rFonts w:hint="eastAsia"/>
        </w:rPr>
        <w:t>.工程目标</w:t>
      </w:r>
      <w:bookmarkEnd w:id="390"/>
      <w:bookmarkEnd w:id="391"/>
      <w:bookmarkEnd w:id="392"/>
    </w:p>
    <w:p w14:paraId="164C71FC">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所有进场材料须随附国家认证检测机构出具的合格证明文件，特种设备须经法定监督检验机构核发安全性能证书。工程质量验收须严格遵循下列国家强制性标准：</w:t>
      </w:r>
    </w:p>
    <w:p w14:paraId="307EFAF4">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《建筑工程施工质量验收统一标准》</w:t>
      </w:r>
    </w:p>
    <w:p w14:paraId="0A84195E">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《建筑地基基础工程施工质量验收规范》</w:t>
      </w:r>
    </w:p>
    <w:p w14:paraId="4C3F5D52">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《混凝土结构工程施工质量验收规范》</w:t>
      </w:r>
    </w:p>
    <w:p w14:paraId="268355B4">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《屋面工程质量验收规范》等。</w:t>
      </w:r>
    </w:p>
    <w:p w14:paraId="0BE55C05">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施工现场管理须符合《建设工程绿色施工规范》规定，并满足ISO45001职业健康安全管理体系认证要求。实行工程进度的里程碑节点考核机制，聚焦关键线路的进度把控。在安全文明施工上，需保证所有施工行为、施工现场管理等各个层面都与相关规范要求相符。无论是施工机械的安全操作、施工材料的有序堆放，还是施工区域的环境卫生维护等，都要严格遵循规范执行。</w:t>
      </w:r>
    </w:p>
    <w:p w14:paraId="270D3E9C">
      <w:pPr>
        <w:pStyle w:val="8"/>
        <w:spacing w:before="100" w:after="100" w:line="400" w:lineRule="exact"/>
        <w:ind w:firstLine="480" w:firstLineChars="200"/>
        <w:rPr>
          <w:rFonts w:ascii="宋体" w:hAnsi="宋体" w:cs="宋体"/>
          <w:sz w:val="24"/>
          <w:szCs w:val="24"/>
        </w:rPr>
      </w:pPr>
      <w:r>
        <w:rPr>
          <w:rFonts w:hint="eastAsia" w:ascii="宋体" w:hAnsi="宋体" w:cs="宋体"/>
          <w:sz w:val="24"/>
          <w:szCs w:val="24"/>
        </w:rPr>
        <w:t>在项目实施过程中，针对技术应用与工程质量方面，特作如下明确规定：</w:t>
      </w:r>
    </w:p>
    <w:p w14:paraId="3F67CA33">
      <w:pPr>
        <w:pStyle w:val="8"/>
        <w:spacing w:before="100" w:after="100" w:line="400" w:lineRule="exact"/>
        <w:ind w:firstLine="480" w:firstLineChars="200"/>
        <w:rPr>
          <w:rFonts w:ascii="宋体" w:hAnsi="宋体" w:cs="宋体"/>
          <w:sz w:val="24"/>
          <w:szCs w:val="24"/>
        </w:rPr>
      </w:pPr>
      <w:r>
        <w:rPr>
          <w:rFonts w:hint="eastAsia" w:ascii="宋体" w:hAnsi="宋体" w:cs="宋体"/>
          <w:sz w:val="24"/>
          <w:szCs w:val="24"/>
        </w:rPr>
        <w:t>在技术应用环节，各项目参与方基于项目实际情况，享有充分自主且审慎选择适宜技术的权利。关于 BIM 技术，倡导各参与方在工程设计、施工以及运维阶段积极采用。</w:t>
      </w:r>
    </w:p>
    <w:p w14:paraId="00EBF6FE">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竣工技术资料须同步建立数字化竣工档案，符合《</w:t>
      </w:r>
      <w:r>
        <w:rPr>
          <w:rFonts w:hint="eastAsia" w:ascii="宋体" w:hAnsi="宋体" w:cs="宋体"/>
          <w:bCs/>
          <w:kern w:val="2"/>
          <w:sz w:val="24"/>
          <w:szCs w:val="24"/>
        </w:rPr>
        <w:t>建设工程文件归档规范</w:t>
      </w:r>
      <w:r>
        <w:rPr>
          <w:rFonts w:hint="eastAsia" w:ascii="宋体" w:hAnsi="宋体" w:cs="宋体"/>
          <w:kern w:val="2"/>
          <w:sz w:val="24"/>
          <w:szCs w:val="24"/>
        </w:rPr>
        <w:t>》电子文件管理要求。质量追溯体系实施质量终身责任标牌制度，重要隐蔽工程影像资料保存期限不得低于工程基准设计年限。</w:t>
      </w:r>
    </w:p>
    <w:p w14:paraId="52110BFE">
      <w:pPr>
        <w:pStyle w:val="2"/>
        <w:spacing w:line="400" w:lineRule="exact"/>
      </w:pPr>
      <w:bookmarkStart w:id="393" w:name="_Toc4546"/>
      <w:bookmarkStart w:id="394" w:name="_Toc31493"/>
      <w:bookmarkStart w:id="395" w:name="_Toc20996"/>
      <w:r>
        <w:rPr>
          <w:rFonts w:hint="eastAsia" w:ascii="宋体" w:hAnsi="宋体" w:cs="宋体"/>
        </w:rPr>
        <w:t>5</w:t>
      </w:r>
      <w:r>
        <w:rPr>
          <w:rFonts w:hint="eastAsia"/>
        </w:rPr>
        <w:t>. 工程资料</w:t>
      </w:r>
      <w:bookmarkEnd w:id="393"/>
      <w:bookmarkEnd w:id="394"/>
      <w:bookmarkEnd w:id="395"/>
    </w:p>
    <w:p w14:paraId="307A1A03">
      <w:pPr>
        <w:spacing w:before="100" w:after="100" w:line="400" w:lineRule="exact"/>
        <w:ind w:firstLine="480" w:firstLineChars="200"/>
        <w:rPr>
          <w:rFonts w:ascii="宋体" w:hAnsi="宋体" w:cs="宋体"/>
          <w:sz w:val="24"/>
          <w:szCs w:val="24"/>
        </w:rPr>
      </w:pPr>
      <w:r>
        <w:rPr>
          <w:rFonts w:hint="eastAsia" w:ascii="宋体" w:hAnsi="宋体" w:cs="宋体"/>
          <w:sz w:val="24"/>
          <w:szCs w:val="24"/>
        </w:rPr>
        <w:t>需提供完整的工程资料，涵盖施工组织设计、验收记录等各类图纸资料以及竣工资料。其中，竣工资料应包含从项目筹备至竣工全过程中形成的、反映工程实际情况和建设过程的所有文件。所有分包单位的工程文件，均需先经总承包单位严格审核确认，确保资料的完整性、准确性和合规性后，再提交至监理机构。</w:t>
      </w:r>
    </w:p>
    <w:p w14:paraId="1E0D2207">
      <w:pPr>
        <w:spacing w:before="100" w:after="100" w:line="400" w:lineRule="exact"/>
        <w:ind w:firstLine="480" w:firstLineChars="200"/>
        <w:rPr>
          <w:rFonts w:ascii="宋体" w:hAnsi="宋体" w:cs="宋体"/>
          <w:sz w:val="24"/>
          <w:szCs w:val="24"/>
        </w:rPr>
      </w:pPr>
      <w:r>
        <w:rPr>
          <w:rFonts w:hint="eastAsia" w:ascii="宋体" w:hAnsi="宋体" w:cs="宋体"/>
          <w:sz w:val="24"/>
          <w:szCs w:val="24"/>
        </w:rPr>
        <w:t>工程资料的整理与管理应严格依照《建设工程文件归档规范》的要求执行。在此基础上，建立数字化档案管理系统，确保在资料生成过程中，同步生成符合PDF/A标准的长期保存格式电子文档，以便于资料的长期存储、检索和利用。</w:t>
      </w:r>
    </w:p>
    <w:p w14:paraId="68A0ED06">
      <w:pPr>
        <w:spacing w:before="100" w:after="100" w:line="400" w:lineRule="exact"/>
        <w:ind w:firstLine="480" w:firstLineChars="200"/>
        <w:rPr>
          <w:rFonts w:ascii="宋体" w:hAnsi="宋体" w:cs="宋体"/>
          <w:sz w:val="24"/>
          <w:szCs w:val="24"/>
        </w:rPr>
      </w:pPr>
      <w:r>
        <w:rPr>
          <w:rFonts w:hint="eastAsia" w:ascii="宋体" w:hAnsi="宋体" w:cs="宋体"/>
          <w:sz w:val="24"/>
          <w:szCs w:val="24"/>
        </w:rPr>
        <w:t>在工程档案移交环节，必须办理经建设单位代表签字确认的档案移交清单，明确档案的移交内容、数量和责任，保障工程档案交接工作的严谨性和完整性。</w:t>
      </w:r>
    </w:p>
    <w:p w14:paraId="5CC91FB2">
      <w:pPr>
        <w:pStyle w:val="2"/>
        <w:spacing w:line="400" w:lineRule="exact"/>
      </w:pPr>
      <w:bookmarkStart w:id="396" w:name="_Toc29258"/>
      <w:bookmarkStart w:id="397" w:name="_Toc22367"/>
      <w:bookmarkStart w:id="398" w:name="_Toc10261"/>
      <w:r>
        <w:rPr>
          <w:rFonts w:hint="eastAsia" w:ascii="宋体" w:hAnsi="宋体" w:cs="宋体"/>
        </w:rPr>
        <w:t>6</w:t>
      </w:r>
      <w:r>
        <w:rPr>
          <w:rFonts w:hint="eastAsia"/>
        </w:rPr>
        <w:t>.质量保修</w:t>
      </w:r>
      <w:bookmarkEnd w:id="396"/>
      <w:bookmarkEnd w:id="397"/>
      <w:bookmarkEnd w:id="398"/>
    </w:p>
    <w:p w14:paraId="74468CAD">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保修期限按《建设工程质量管理条例》执行：主体结构按设计年限保修，防水工程5年，供热系统2个周期，管线工程2年，其他项目由双方约定。</w:t>
      </w:r>
    </w:p>
    <w:p w14:paraId="673175AF">
      <w:pPr>
        <w:pStyle w:val="8"/>
        <w:numPr>
          <w:ilvl w:val="0"/>
          <w:numId w:val="13"/>
        </w:numPr>
        <w:spacing w:before="100" w:after="100" w:line="400" w:lineRule="exact"/>
        <w:rPr>
          <w:rFonts w:ascii="宋体" w:hAnsi="宋体" w:cs="宋体"/>
          <w:kern w:val="2"/>
          <w:sz w:val="24"/>
          <w:szCs w:val="24"/>
        </w:rPr>
      </w:pPr>
      <w:r>
        <w:rPr>
          <w:rFonts w:hint="eastAsia" w:ascii="宋体" w:hAnsi="宋体" w:cs="宋体"/>
          <w:kern w:val="2"/>
          <w:sz w:val="24"/>
          <w:szCs w:val="24"/>
        </w:rPr>
        <w:t>地基基础工程：设计使用年限</w:t>
      </w:r>
    </w:p>
    <w:p w14:paraId="602C836D">
      <w:pPr>
        <w:pStyle w:val="8"/>
        <w:numPr>
          <w:ilvl w:val="0"/>
          <w:numId w:val="13"/>
        </w:numPr>
        <w:spacing w:before="100" w:after="100" w:line="400" w:lineRule="exact"/>
        <w:rPr>
          <w:rFonts w:ascii="宋体" w:hAnsi="宋体" w:cs="宋体"/>
          <w:kern w:val="2"/>
          <w:sz w:val="24"/>
          <w:szCs w:val="24"/>
        </w:rPr>
      </w:pPr>
      <w:r>
        <w:rPr>
          <w:rFonts w:hint="eastAsia" w:ascii="宋体" w:hAnsi="宋体" w:cs="宋体"/>
          <w:kern w:val="2"/>
          <w:sz w:val="24"/>
          <w:szCs w:val="24"/>
        </w:rPr>
        <w:t>防水工程：5年质保期</w:t>
      </w:r>
    </w:p>
    <w:p w14:paraId="02BB4857">
      <w:pPr>
        <w:pStyle w:val="8"/>
        <w:numPr>
          <w:ilvl w:val="0"/>
          <w:numId w:val="13"/>
        </w:numPr>
        <w:spacing w:before="100" w:after="100" w:line="400" w:lineRule="exact"/>
        <w:rPr>
          <w:rFonts w:ascii="宋体" w:hAnsi="宋体" w:cs="宋体"/>
          <w:kern w:val="2"/>
          <w:sz w:val="24"/>
          <w:szCs w:val="24"/>
        </w:rPr>
      </w:pPr>
      <w:r>
        <w:rPr>
          <w:rFonts w:hint="eastAsia" w:ascii="宋体" w:hAnsi="宋体" w:cs="宋体"/>
          <w:kern w:val="2"/>
          <w:sz w:val="24"/>
          <w:szCs w:val="24"/>
        </w:rPr>
        <w:t>供冷供热系统：2个周期</w:t>
      </w:r>
    </w:p>
    <w:p w14:paraId="67BF369D">
      <w:pPr>
        <w:pStyle w:val="8"/>
        <w:numPr>
          <w:ilvl w:val="0"/>
          <w:numId w:val="13"/>
        </w:numPr>
        <w:spacing w:before="100" w:after="100" w:line="400" w:lineRule="exact"/>
        <w:rPr>
          <w:rFonts w:ascii="宋体" w:hAnsi="宋体" w:cs="宋体"/>
          <w:kern w:val="2"/>
          <w:sz w:val="24"/>
          <w:szCs w:val="24"/>
        </w:rPr>
      </w:pPr>
      <w:r>
        <w:rPr>
          <w:rFonts w:hint="eastAsia" w:ascii="宋体" w:hAnsi="宋体" w:cs="宋体"/>
          <w:kern w:val="2"/>
          <w:sz w:val="24"/>
          <w:szCs w:val="24"/>
        </w:rPr>
        <w:t>设备安装及装修：2年保修期</w:t>
      </w:r>
    </w:p>
    <w:p w14:paraId="1EF9135D">
      <w:pPr>
        <w:pStyle w:val="8"/>
        <w:spacing w:before="100" w:after="100" w:line="400" w:lineRule="exact"/>
        <w:ind w:firstLine="480" w:firstLineChars="200"/>
        <w:rPr>
          <w:rFonts w:ascii="宋体" w:hAnsi="宋体" w:cs="宋体"/>
          <w:kern w:val="2"/>
          <w:sz w:val="24"/>
          <w:szCs w:val="24"/>
        </w:rPr>
      </w:pPr>
      <w:r>
        <w:rPr>
          <w:rFonts w:hint="eastAsia" w:ascii="宋体" w:hAnsi="宋体" w:cs="宋体"/>
          <w:kern w:val="2"/>
          <w:sz w:val="24"/>
          <w:szCs w:val="24"/>
        </w:rPr>
        <w:t>建设单位应在保修期满前30日组织四方责任主体开展质量回访，形成加盖公章的《工程质量保修期满确认书》纳入工程档案。</w:t>
      </w:r>
    </w:p>
    <w:p w14:paraId="52695102">
      <w:pPr>
        <w:rPr>
          <w:rFonts w:ascii="宋体" w:hAnsi="宋体" w:cs="宋体"/>
          <w:sz w:val="24"/>
          <w:szCs w:val="24"/>
        </w:rPr>
      </w:pPr>
    </w:p>
    <w:p w14:paraId="5584A6AA">
      <w:pPr>
        <w:rPr>
          <w:rFonts w:ascii="宋体" w:hAnsi="宋体" w:cs="宋体"/>
          <w:sz w:val="24"/>
          <w:szCs w:val="24"/>
        </w:rPr>
      </w:pPr>
    </w:p>
    <w:p w14:paraId="22C34899">
      <w:pPr>
        <w:pStyle w:val="8"/>
        <w:rPr>
          <w:rFonts w:ascii="宋体" w:hAnsi="宋体" w:cs="宋体"/>
          <w:kern w:val="2"/>
          <w:sz w:val="24"/>
          <w:szCs w:val="24"/>
        </w:rPr>
      </w:pPr>
    </w:p>
    <w:p w14:paraId="3354D9D0">
      <w:pPr>
        <w:pStyle w:val="8"/>
        <w:rPr>
          <w:rFonts w:ascii="Times New Roman" w:hAnsi="Times New Roman"/>
          <w:sz w:val="32"/>
          <w:szCs w:val="32"/>
        </w:rPr>
        <w:sectPr>
          <w:headerReference r:id="rId7" w:type="default"/>
          <w:pgSz w:w="11906" w:h="16838"/>
          <w:pgMar w:top="1440" w:right="1417" w:bottom="1440" w:left="1417" w:header="964" w:footer="992" w:gutter="0"/>
          <w:cols w:space="720" w:num="1"/>
          <w:docGrid w:type="lines" w:linePitch="312" w:charSpace="0"/>
        </w:sectPr>
      </w:pPr>
    </w:p>
    <w:p w14:paraId="24BE88F1">
      <w:pPr>
        <w:jc w:val="center"/>
        <w:rPr>
          <w:rFonts w:ascii="宋体" w:hAnsi="宋体"/>
          <w:b/>
          <w:sz w:val="52"/>
          <w:szCs w:val="52"/>
        </w:rPr>
      </w:pPr>
    </w:p>
    <w:p w14:paraId="7E13D748">
      <w:pPr>
        <w:jc w:val="center"/>
        <w:rPr>
          <w:rFonts w:ascii="宋体" w:hAnsi="宋体"/>
          <w:b/>
          <w:sz w:val="44"/>
          <w:szCs w:val="44"/>
        </w:rPr>
      </w:pPr>
      <w:r>
        <w:rPr>
          <w:rFonts w:hint="eastAsia" w:ascii="宋体" w:hAnsi="宋体"/>
          <w:b/>
          <w:sz w:val="44"/>
          <w:szCs w:val="44"/>
        </w:rPr>
        <w:t>年产50万吨食品包装原纸技改工程变更项目</w:t>
      </w:r>
    </w:p>
    <w:p w14:paraId="42366E0D">
      <w:pPr>
        <w:jc w:val="center"/>
        <w:rPr>
          <w:rFonts w:ascii="宋体" w:hAnsi="宋体"/>
          <w:b/>
          <w:sz w:val="44"/>
          <w:szCs w:val="44"/>
        </w:rPr>
      </w:pPr>
      <w:r>
        <w:rPr>
          <w:rFonts w:hint="eastAsia" w:ascii="宋体" w:hAnsi="宋体"/>
          <w:b/>
          <w:sz w:val="44"/>
          <w:szCs w:val="44"/>
        </w:rPr>
        <w:t>（年产20万吨竹浆技改项目）</w:t>
      </w:r>
    </w:p>
    <w:p w14:paraId="7E44F3CB">
      <w:pPr>
        <w:jc w:val="center"/>
        <w:rPr>
          <w:rFonts w:ascii="宋体" w:hAnsi="宋体"/>
          <w:b/>
          <w:sz w:val="44"/>
          <w:szCs w:val="44"/>
        </w:rPr>
      </w:pPr>
      <w:r>
        <w:rPr>
          <w:rFonts w:hint="eastAsia" w:ascii="宋体" w:hAnsi="宋体"/>
          <w:b/>
          <w:sz w:val="44"/>
          <w:szCs w:val="44"/>
        </w:rPr>
        <w:t>EPC工程总承包</w:t>
      </w:r>
    </w:p>
    <w:p w14:paraId="7C76A523">
      <w:pPr>
        <w:jc w:val="center"/>
        <w:rPr>
          <w:rFonts w:ascii="宋体" w:hAnsi="宋体"/>
          <w:b/>
          <w:sz w:val="44"/>
          <w:szCs w:val="44"/>
          <w:lang w:bidi="he-IL"/>
        </w:rPr>
      </w:pPr>
      <w:r>
        <w:rPr>
          <w:rFonts w:hint="eastAsia" w:ascii="宋体" w:hAnsi="宋体"/>
          <w:b/>
          <w:sz w:val="44"/>
          <w:szCs w:val="44"/>
          <w:lang w:bidi="he-IL"/>
        </w:rPr>
        <w:t>技术协议书</w:t>
      </w:r>
    </w:p>
    <w:p w14:paraId="6413DA98">
      <w:pPr>
        <w:jc w:val="center"/>
        <w:rPr>
          <w:rFonts w:ascii="宋体" w:hAnsi="宋体"/>
          <w:b/>
          <w:sz w:val="44"/>
          <w:szCs w:val="44"/>
          <w:lang w:bidi="he-IL"/>
        </w:rPr>
      </w:pPr>
      <w:r>
        <w:rPr>
          <w:rFonts w:hint="eastAsia" w:ascii="宋体" w:hAnsi="宋体"/>
          <w:b/>
          <w:sz w:val="44"/>
          <w:szCs w:val="44"/>
          <w:lang w:bidi="he-IL"/>
        </w:rPr>
        <w:t>第七篇</w:t>
      </w:r>
    </w:p>
    <w:p w14:paraId="49069ED6">
      <w:pPr>
        <w:spacing w:line="480" w:lineRule="auto"/>
        <w:jc w:val="center"/>
        <w:outlineLvl w:val="0"/>
        <w:rPr>
          <w:rFonts w:ascii="宋体" w:hAnsi="宋体" w:cs="宋体"/>
          <w:b/>
          <w:sz w:val="44"/>
          <w:szCs w:val="44"/>
        </w:rPr>
      </w:pPr>
      <w:bookmarkStart w:id="399" w:name="_Toc22512"/>
      <w:bookmarkStart w:id="400" w:name="_Toc86"/>
      <w:bookmarkStart w:id="401" w:name="_Toc18425"/>
      <w:r>
        <w:rPr>
          <w:rFonts w:hint="eastAsia" w:ascii="宋体" w:hAnsi="宋体" w:cs="宋体"/>
          <w:b/>
          <w:sz w:val="44"/>
          <w:szCs w:val="44"/>
        </w:rPr>
        <w:t>公共部分</w:t>
      </w:r>
      <w:bookmarkEnd w:id="399"/>
      <w:bookmarkEnd w:id="400"/>
      <w:bookmarkEnd w:id="401"/>
    </w:p>
    <w:p w14:paraId="2320FE74">
      <w:pPr>
        <w:spacing w:line="480" w:lineRule="auto"/>
        <w:jc w:val="center"/>
        <w:rPr>
          <w:rFonts w:ascii="Times New Roman" w:hAnsi="Times New Roman"/>
          <w:b/>
          <w:sz w:val="52"/>
          <w:szCs w:val="52"/>
        </w:rPr>
      </w:pPr>
    </w:p>
    <w:p w14:paraId="33428F75">
      <w:pPr>
        <w:spacing w:line="480" w:lineRule="auto"/>
        <w:jc w:val="center"/>
        <w:rPr>
          <w:rFonts w:ascii="Times New Roman" w:hAnsi="Times New Roman"/>
          <w:b/>
          <w:sz w:val="52"/>
          <w:szCs w:val="52"/>
        </w:rPr>
      </w:pPr>
    </w:p>
    <w:p w14:paraId="742D7349">
      <w:pPr>
        <w:spacing w:line="480" w:lineRule="auto"/>
        <w:jc w:val="center"/>
        <w:rPr>
          <w:rFonts w:ascii="Times New Roman" w:hAnsi="Times New Roman"/>
          <w:b/>
          <w:sz w:val="52"/>
          <w:szCs w:val="52"/>
        </w:rPr>
      </w:pPr>
    </w:p>
    <w:p w14:paraId="0C46AB4D">
      <w:pPr>
        <w:spacing w:line="480" w:lineRule="auto"/>
        <w:rPr>
          <w:rFonts w:ascii="Times New Roman" w:hAnsi="Times New Roman"/>
          <w:b/>
          <w:sz w:val="52"/>
          <w:szCs w:val="52"/>
        </w:rPr>
      </w:pPr>
    </w:p>
    <w:p w14:paraId="1935D93C">
      <w:pPr>
        <w:spacing w:line="480" w:lineRule="auto"/>
        <w:rPr>
          <w:rFonts w:ascii="Times New Roman" w:hAnsi="Times New Roman"/>
          <w:b/>
          <w:sz w:val="72"/>
          <w:szCs w:val="72"/>
        </w:rPr>
      </w:pPr>
    </w:p>
    <w:p w14:paraId="71C82D1F">
      <w:pPr>
        <w:spacing w:line="500" w:lineRule="exact"/>
        <w:rPr>
          <w:rFonts w:ascii="Times New Roman" w:hAnsi="Times New Roman"/>
          <w:szCs w:val="28"/>
        </w:rPr>
      </w:pPr>
    </w:p>
    <w:p w14:paraId="40E8139E">
      <w:pPr>
        <w:spacing w:line="500" w:lineRule="exact"/>
        <w:rPr>
          <w:rFonts w:ascii="Times New Roman" w:hAnsi="Times New Roman"/>
          <w:szCs w:val="28"/>
        </w:rPr>
      </w:pPr>
    </w:p>
    <w:p w14:paraId="28CC329C">
      <w:pPr>
        <w:spacing w:line="500" w:lineRule="exact"/>
        <w:rPr>
          <w:rFonts w:ascii="Times New Roman" w:hAnsi="Times New Roman"/>
          <w:szCs w:val="28"/>
        </w:rPr>
      </w:pPr>
    </w:p>
    <w:p w14:paraId="1A4C4A2A">
      <w:pPr>
        <w:spacing w:line="500" w:lineRule="exact"/>
        <w:rPr>
          <w:rFonts w:ascii="Times New Roman" w:hAnsi="Times New Roman"/>
          <w:szCs w:val="28"/>
        </w:rPr>
      </w:pPr>
    </w:p>
    <w:p w14:paraId="4AB31882">
      <w:pPr>
        <w:spacing w:line="500" w:lineRule="exact"/>
        <w:rPr>
          <w:rFonts w:ascii="Times New Roman" w:hAnsi="Times New Roman"/>
          <w:szCs w:val="28"/>
        </w:rPr>
      </w:pPr>
    </w:p>
    <w:p w14:paraId="59E19411">
      <w:pPr>
        <w:spacing w:line="500" w:lineRule="exact"/>
        <w:jc w:val="center"/>
        <w:rPr>
          <w:rFonts w:ascii="Times New Roman" w:hAnsi="Times New Roman"/>
          <w:sz w:val="32"/>
          <w:szCs w:val="32"/>
        </w:r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w:t>
      </w:r>
      <w:r>
        <w:rPr>
          <w:rFonts w:ascii="Times New Roman" w:hAnsi="Times New Roman"/>
          <w:sz w:val="32"/>
          <w:szCs w:val="32"/>
        </w:rPr>
        <w:t xml:space="preserve"> </w:t>
      </w:r>
      <w:r>
        <w:rPr>
          <w:rFonts w:hint="eastAsia" w:ascii="Times New Roman" w:hAnsi="Times New Roman"/>
          <w:sz w:val="32"/>
          <w:szCs w:val="32"/>
        </w:rPr>
        <w:t>月</w:t>
      </w:r>
    </w:p>
    <w:p w14:paraId="7E302FF9">
      <w:pPr>
        <w:pStyle w:val="17"/>
        <w:ind w:left="560"/>
        <w:sectPr>
          <w:headerReference r:id="rId8" w:type="default"/>
          <w:pgSz w:w="11906" w:h="16838"/>
          <w:pgMar w:top="1440" w:right="1417" w:bottom="1440" w:left="1417" w:header="964" w:footer="992" w:gutter="0"/>
          <w:cols w:space="720" w:num="1"/>
          <w:docGrid w:type="lines" w:linePitch="312" w:charSpace="0"/>
        </w:sectPr>
      </w:pPr>
    </w:p>
    <w:p w14:paraId="2D56CDDA">
      <w:pPr>
        <w:pStyle w:val="2"/>
      </w:pPr>
      <w:bookmarkStart w:id="402" w:name="_Toc24148"/>
      <w:bookmarkStart w:id="403" w:name="_Toc29000"/>
      <w:bookmarkStart w:id="404" w:name="_Ref21514"/>
      <w:bookmarkStart w:id="405" w:name="_Toc17063"/>
      <w:r>
        <w:rPr>
          <w:rFonts w:hint="eastAsia"/>
        </w:rPr>
        <w:t>一 总平面布置</w:t>
      </w:r>
      <w:bookmarkEnd w:id="402"/>
      <w:bookmarkEnd w:id="403"/>
      <w:bookmarkEnd w:id="404"/>
      <w:bookmarkEnd w:id="405"/>
    </w:p>
    <w:p w14:paraId="44A4BF32">
      <w:pPr>
        <w:pStyle w:val="5"/>
        <w:ind w:firstLine="480"/>
      </w:pPr>
      <w:r>
        <w:rPr>
          <w:rFonts w:hint="eastAsia"/>
        </w:rPr>
        <w:t>1.总平面布置范围</w:t>
      </w:r>
    </w:p>
    <w:p w14:paraId="0A891593">
      <w:pPr>
        <w:pStyle w:val="23"/>
        <w:ind w:firstLine="720"/>
        <w:rPr>
          <w:rFonts w:hint="default" w:eastAsia="等线" w:cs="仿宋"/>
          <w:lang w:val="en-US"/>
        </w:rPr>
      </w:pPr>
      <w:r>
        <w:t>总平面布置包括的内容有：备料工段、蒸煮工段、洗选工段。</w:t>
      </w:r>
    </w:p>
    <w:p w14:paraId="7DECD617">
      <w:pPr>
        <w:pStyle w:val="5"/>
        <w:ind w:firstLine="480"/>
      </w:pPr>
      <w:r>
        <w:rPr>
          <w:rFonts w:hint="eastAsia"/>
        </w:rPr>
        <w:t>2.总平面布置的基本原则</w:t>
      </w:r>
    </w:p>
    <w:p w14:paraId="58E8BB19">
      <w:pPr>
        <w:pStyle w:val="23"/>
        <w:ind w:firstLine="720"/>
        <w:rPr>
          <w:rFonts w:hint="default"/>
        </w:rPr>
      </w:pPr>
      <w:r>
        <w:t>满足生产工艺流程和物料搬运的要求，使原材料﹑成品的物流路线短捷顺畅；</w:t>
      </w:r>
    </w:p>
    <w:p w14:paraId="62567F52">
      <w:pPr>
        <w:pStyle w:val="23"/>
        <w:ind w:firstLine="720"/>
        <w:rPr>
          <w:rFonts w:hint="default"/>
        </w:rPr>
      </w:pPr>
      <w:r>
        <w:t>尽量做到分区明确，人货分流，运输通畅。在布置上尽可能紧凑合理；</w:t>
      </w:r>
    </w:p>
    <w:p w14:paraId="0A5C1C14">
      <w:pPr>
        <w:pStyle w:val="23"/>
        <w:ind w:firstLine="720"/>
        <w:rPr>
          <w:rFonts w:hint="default"/>
        </w:rPr>
      </w:pPr>
      <w:r>
        <w:t>满足安全﹑防火等规范要求。</w:t>
      </w:r>
    </w:p>
    <w:p w14:paraId="07A5DC02">
      <w:pPr>
        <w:pStyle w:val="5"/>
        <w:ind w:firstLine="480"/>
      </w:pPr>
      <w:r>
        <w:rPr>
          <w:rFonts w:hint="eastAsia"/>
        </w:rPr>
        <w:t>3.厂区道路、消防道路、绿化</w:t>
      </w:r>
    </w:p>
    <w:p w14:paraId="344437ED">
      <w:pPr>
        <w:pStyle w:val="23"/>
        <w:ind w:left="720" w:firstLine="0" w:firstLineChars="0"/>
        <w:rPr>
          <w:rFonts w:hint="default"/>
        </w:rPr>
      </w:pPr>
      <w:r>
        <w:t>厂区道路采用混凝土路面，道路转弯半径设计为9m，以满足厂区运输及消防要求；</w:t>
      </w:r>
    </w:p>
    <w:p w14:paraId="6BAB3C7C">
      <w:pPr>
        <w:pStyle w:val="23"/>
        <w:ind w:firstLine="720"/>
        <w:rPr>
          <w:rFonts w:hint="default"/>
        </w:rPr>
      </w:pPr>
      <w:r>
        <w:t>厂区内的每个工段四周均设有消防车道；</w:t>
      </w:r>
    </w:p>
    <w:p w14:paraId="32ABA454">
      <w:pPr>
        <w:pStyle w:val="23"/>
        <w:ind w:left="720" w:firstLine="0" w:firstLineChars="0"/>
        <w:rPr>
          <w:rFonts w:hint="default"/>
        </w:rPr>
      </w:pPr>
      <w:r>
        <w:t>厂区绿化布置在满足生产工艺流程的前提下，重点美化主要人流路线、办公区和车间主要出入口，并避免增加人、货流路线及工程管线的长度。布局方式采用集中和分散相结合的绿化形式；</w:t>
      </w:r>
    </w:p>
    <w:p w14:paraId="38FBA0D3">
      <w:pPr>
        <w:pStyle w:val="23"/>
        <w:ind w:left="720" w:firstLine="0" w:firstLineChars="0"/>
        <w:rPr>
          <w:rFonts w:hint="default"/>
        </w:rPr>
      </w:pPr>
      <w:r>
        <w:t>主要道路两侧利用乔木、灌木及草本植物组成道路两侧绿带，减少尘土飞扬，充分发挥绿化对道路及其两侧建筑的遮荫、美化等方面的作用，达到调节气温和湿度、吸收有害气体、净化空气和减弱噪声影响等目的。管线用地上的绿化：种植乔、灌木并满足有关间距要求，架空管线下，铺设草坪，种植花卉。</w:t>
      </w:r>
    </w:p>
    <w:p w14:paraId="510FD17C">
      <w:pPr>
        <w:pStyle w:val="5"/>
        <w:ind w:firstLine="480"/>
      </w:pPr>
      <w:r>
        <w:rPr>
          <w:rFonts w:hint="eastAsia"/>
        </w:rPr>
        <w:t>4. 竖向布置</w:t>
      </w:r>
    </w:p>
    <w:p w14:paraId="4478916A">
      <w:pPr>
        <w:spacing w:line="520" w:lineRule="exact"/>
        <w:ind w:left="840" w:leftChars="300" w:firstLine="240" w:firstLineChars="100"/>
        <w:rPr>
          <w:rFonts w:ascii="宋体" w:hAnsi="宋体" w:cs="仿宋"/>
          <w:sz w:val="24"/>
          <w:lang w:val="zh-CN"/>
        </w:rPr>
      </w:pPr>
      <w:r>
        <w:rPr>
          <w:rFonts w:hint="eastAsia" w:ascii="宋体" w:hAnsi="宋体" w:cs="仿宋"/>
          <w:sz w:val="24"/>
          <w:lang w:val="zh-CN"/>
        </w:rPr>
        <w:t>本工程场地地势平坦故场地竖向设计采用平坡式布置，场地平整后标高与原厂区标高相一致。场地雨水经收集后，再与老厂的排水系统衔接。</w:t>
      </w:r>
    </w:p>
    <w:p w14:paraId="5913B8FC">
      <w:pPr>
        <w:pStyle w:val="5"/>
        <w:ind w:firstLine="480"/>
      </w:pPr>
      <w:r>
        <w:rPr>
          <w:rFonts w:hint="eastAsia"/>
        </w:rPr>
        <w:t>5. 总图管廊及其他室外管线工程</w:t>
      </w:r>
    </w:p>
    <w:p w14:paraId="17F25587">
      <w:pPr>
        <w:numPr>
          <w:ilvl w:val="4"/>
          <w:numId w:val="0"/>
        </w:numPr>
        <w:spacing w:line="460" w:lineRule="exact"/>
        <w:ind w:left="985" w:leftChars="300" w:hanging="145"/>
        <w:rPr>
          <w:rFonts w:ascii="宋体" w:hAnsi="宋体" w:cs="仿宋"/>
          <w:sz w:val="24"/>
          <w:highlight w:val="yellow"/>
        </w:rPr>
      </w:pPr>
      <w:r>
        <w:rPr>
          <w:rFonts w:hint="eastAsia" w:ascii="宋体" w:hAnsi="宋体" w:cs="仿宋"/>
          <w:sz w:val="24"/>
        </w:rPr>
        <w:t>（</w:t>
      </w:r>
      <w:r>
        <w:rPr>
          <w:rFonts w:ascii="宋体" w:hAnsi="宋体" w:cs="仿宋"/>
          <w:sz w:val="24"/>
        </w:rPr>
        <w:t>1</w:t>
      </w:r>
      <w:r>
        <w:rPr>
          <w:rFonts w:hint="eastAsia" w:ascii="宋体" w:hAnsi="宋体" w:cs="仿宋"/>
          <w:sz w:val="24"/>
        </w:rPr>
        <w:t>）</w:t>
      </w:r>
      <w:r>
        <w:rPr>
          <w:rFonts w:hint="eastAsia" w:ascii="宋体" w:hAnsi="宋体" w:cs="仿宋"/>
          <w:sz w:val="24"/>
          <w:lang w:val="zh-CN"/>
        </w:rPr>
        <w:t>建设内容包含本期总图管廊及相关的、与老系统相连接的管廊、管线（</w:t>
      </w:r>
      <w:r>
        <w:rPr>
          <w:rFonts w:hint="eastAsia" w:ascii="宋体" w:hAnsi="宋体" w:cs="仿宋"/>
          <w:sz w:val="24"/>
        </w:rPr>
        <w:t>包括</w:t>
      </w:r>
      <w:r>
        <w:rPr>
          <w:rFonts w:hint="eastAsia" w:ascii="宋体" w:hAnsi="宋体" w:cs="仿宋"/>
          <w:color w:val="000000"/>
          <w:sz w:val="24"/>
        </w:rPr>
        <w:t>轻污水、冷凝水回水、清水、黑液、白液、白水、排污、臭气、蒸汽、</w:t>
      </w:r>
      <w:r>
        <w:rPr>
          <w:rFonts w:hint="eastAsia" w:ascii="宋体" w:hAnsi="宋体" w:cs="仿宋"/>
          <w:sz w:val="24"/>
          <w:lang w:val="zh-CN"/>
        </w:rPr>
        <w:t>压缩空气</w:t>
      </w:r>
      <w:r>
        <w:rPr>
          <w:rFonts w:hint="eastAsia" w:ascii="宋体" w:hAnsi="宋体" w:cs="仿宋"/>
          <w:color w:val="000000"/>
          <w:sz w:val="24"/>
        </w:rPr>
        <w:t>等</w:t>
      </w:r>
      <w:r>
        <w:rPr>
          <w:rFonts w:hint="eastAsia" w:ascii="宋体" w:hAnsi="宋体" w:cs="仿宋"/>
          <w:sz w:val="24"/>
          <w:lang w:val="zh-CN"/>
        </w:rPr>
        <w:t>）。</w:t>
      </w:r>
      <w:r>
        <w:rPr>
          <w:rFonts w:hint="eastAsia" w:ascii="宋体" w:hAnsi="宋体" w:cs="仿宋"/>
          <w:sz w:val="24"/>
        </w:rPr>
        <w:t>详见附件竹浆技改项目公共管网示意图。</w:t>
      </w:r>
    </w:p>
    <w:p w14:paraId="0C0417BC">
      <w:pPr>
        <w:pStyle w:val="8"/>
        <w:spacing w:line="460" w:lineRule="exact"/>
        <w:ind w:left="984" w:leftChars="299" w:hanging="147"/>
        <w:rPr>
          <w:rFonts w:ascii="宋体" w:hAnsi="宋体" w:cs="仿宋"/>
          <w:sz w:val="24"/>
        </w:rPr>
      </w:pPr>
      <w:r>
        <w:rPr>
          <w:rFonts w:hint="eastAsia" w:ascii="宋体" w:hAnsi="宋体" w:cs="仿宋"/>
          <w:sz w:val="24"/>
        </w:rPr>
        <w:t>（2）新建厂区实施雨污分流系统，雨水应通过雨水口外排，不得进入污水管网系统，严禁雨污混流。堆场初期雨水收集量为216m</w:t>
      </w:r>
      <w:r>
        <w:rPr>
          <w:rFonts w:hint="eastAsia" w:ascii="宋体" w:hAnsi="宋体" w:cs="仿宋"/>
          <w:sz w:val="24"/>
          <w:vertAlign w:val="superscript"/>
        </w:rPr>
        <w:t>3</w:t>
      </w:r>
      <w:r>
        <w:rPr>
          <w:rFonts w:hint="eastAsia" w:ascii="宋体" w:hAnsi="宋体" w:cs="仿宋"/>
          <w:sz w:val="24"/>
        </w:rPr>
        <w:t>/d，初期雨水池大小不低于216 m</w:t>
      </w:r>
      <w:r>
        <w:rPr>
          <w:rFonts w:hint="eastAsia" w:ascii="宋体" w:hAnsi="宋体" w:cs="仿宋"/>
          <w:sz w:val="24"/>
          <w:vertAlign w:val="superscript"/>
        </w:rPr>
        <w:t>3</w:t>
      </w:r>
      <w:r>
        <w:rPr>
          <w:rFonts w:hint="eastAsia" w:ascii="宋体" w:hAnsi="宋体" w:cs="仿宋"/>
          <w:sz w:val="24"/>
        </w:rPr>
        <w:t>。污水输送系统采用明管化建设，便于巡检与维护。</w:t>
      </w:r>
    </w:p>
    <w:p w14:paraId="5870CFE6">
      <w:pPr>
        <w:pStyle w:val="8"/>
        <w:spacing w:line="460" w:lineRule="exact"/>
        <w:ind w:left="984" w:leftChars="299" w:hanging="147"/>
        <w:rPr>
          <w:rFonts w:ascii="宋体" w:hAnsi="宋体" w:cs="仿宋"/>
          <w:sz w:val="24"/>
        </w:rPr>
      </w:pPr>
      <w:r>
        <w:rPr>
          <w:rFonts w:hint="eastAsia" w:ascii="宋体" w:hAnsi="宋体" w:cs="仿宋"/>
          <w:sz w:val="24"/>
        </w:rPr>
        <w:t>（3）蒸煮、洗选污水排放须通过专用管道外排，外排污水管道应采用封闭式明管输送，禁止使用地沟形式。</w:t>
      </w:r>
    </w:p>
    <w:p w14:paraId="6DDA63A3">
      <w:pPr>
        <w:pStyle w:val="8"/>
        <w:spacing w:line="460" w:lineRule="exact"/>
        <w:ind w:left="984" w:leftChars="299" w:hanging="147"/>
        <w:rPr>
          <w:rFonts w:ascii="宋体" w:hAnsi="宋体" w:cs="仿宋"/>
          <w:sz w:val="24"/>
        </w:rPr>
      </w:pPr>
      <w:r>
        <w:rPr>
          <w:rFonts w:hint="eastAsia" w:ascii="宋体" w:hAnsi="宋体" w:cs="仿宋"/>
          <w:sz w:val="24"/>
        </w:rPr>
        <w:t>（4）a.重点防渗区：废水收集池、废水收集沟等区域须高标准防渗。</w:t>
      </w:r>
    </w:p>
    <w:p w14:paraId="68E624D4">
      <w:pPr>
        <w:spacing w:line="460" w:lineRule="exact"/>
        <w:ind w:left="1400" w:leftChars="500"/>
        <w:rPr>
          <w:rFonts w:ascii="宋体" w:hAnsi="宋体" w:cs="仿宋"/>
          <w:kern w:val="0"/>
          <w:sz w:val="24"/>
          <w:szCs w:val="20"/>
        </w:rPr>
      </w:pPr>
      <w:r>
        <w:rPr>
          <w:rFonts w:hint="eastAsia" w:ascii="宋体" w:hAnsi="宋体" w:cs="仿宋"/>
          <w:kern w:val="0"/>
          <w:sz w:val="24"/>
          <w:szCs w:val="20"/>
        </w:rPr>
        <w:t>b.一般防渗区：蒸煮车间、洗选车间等区域按规范防渗。</w:t>
      </w:r>
    </w:p>
    <w:p w14:paraId="1E64C235">
      <w:pPr>
        <w:spacing w:line="460" w:lineRule="exact"/>
        <w:ind w:left="1400" w:leftChars="500"/>
        <w:rPr>
          <w:rFonts w:ascii="宋体" w:hAnsi="宋体" w:cs="仿宋"/>
          <w:kern w:val="0"/>
          <w:sz w:val="24"/>
          <w:szCs w:val="20"/>
        </w:rPr>
      </w:pPr>
      <w:r>
        <w:rPr>
          <w:rFonts w:hint="eastAsia" w:ascii="宋体" w:hAnsi="宋体" w:cs="仿宋"/>
          <w:kern w:val="0"/>
          <w:sz w:val="24"/>
          <w:szCs w:val="20"/>
        </w:rPr>
        <w:t>c.除重点防渗区和一般防渗区外的区域为简单防渗区，采用一般地面硬化处理。</w:t>
      </w:r>
    </w:p>
    <w:p w14:paraId="0E2512B9">
      <w:pPr>
        <w:pStyle w:val="8"/>
        <w:spacing w:line="460" w:lineRule="exact"/>
        <w:ind w:left="984" w:leftChars="299" w:hanging="147"/>
        <w:rPr>
          <w:rFonts w:ascii="宋体" w:hAnsi="宋体" w:cs="仿宋"/>
          <w:sz w:val="24"/>
        </w:rPr>
      </w:pPr>
      <w:r>
        <w:rPr>
          <w:rFonts w:hint="eastAsia" w:ascii="宋体" w:hAnsi="宋体" w:cs="仿宋"/>
          <w:sz w:val="24"/>
        </w:rPr>
        <w:t>（5）危险废物：废机油、废油桶等危废暂存于现有危废暂存间，定期交由资质单位规范处置。</w:t>
      </w:r>
    </w:p>
    <w:p w14:paraId="5FC72978">
      <w:pPr>
        <w:pStyle w:val="8"/>
        <w:spacing w:line="460" w:lineRule="exact"/>
        <w:ind w:left="984" w:leftChars="299" w:hanging="147"/>
        <w:rPr>
          <w:rFonts w:ascii="宋体" w:hAnsi="宋体" w:cs="仿宋"/>
          <w:sz w:val="24"/>
        </w:rPr>
      </w:pPr>
    </w:p>
    <w:p w14:paraId="3DDECAFE">
      <w:pPr>
        <w:pStyle w:val="2"/>
      </w:pPr>
      <w:bookmarkStart w:id="406" w:name="_Toc19238"/>
      <w:bookmarkStart w:id="407" w:name="_Toc1460"/>
      <w:bookmarkStart w:id="408" w:name="_Toc6161"/>
      <w:r>
        <w:rPr>
          <w:rFonts w:hint="eastAsia"/>
        </w:rPr>
        <w:t>二 采暖、通风、空调、制冷、防排烟工程</w:t>
      </w:r>
      <w:bookmarkEnd w:id="406"/>
      <w:bookmarkEnd w:id="407"/>
      <w:bookmarkEnd w:id="408"/>
    </w:p>
    <w:p w14:paraId="34BE591B">
      <w:pPr>
        <w:spacing w:line="520" w:lineRule="exact"/>
        <w:ind w:firstLine="480" w:firstLineChars="200"/>
      </w:pPr>
      <w:r>
        <w:rPr>
          <w:rFonts w:hint="eastAsia" w:ascii="宋体" w:hAnsi="宋体" w:cs="仿宋"/>
          <w:sz w:val="24"/>
        </w:rPr>
        <w:t>暖通设计是以当地气象资料为基础，根据工艺要求及国家制定的各类设计标准的要求对各生产线车间温湿度要求而进行设计。设计范围包括工艺通风、车间通风及空调与制冷系统等内容。</w:t>
      </w:r>
    </w:p>
    <w:p w14:paraId="36FE689D">
      <w:pPr>
        <w:pStyle w:val="5"/>
        <w:ind w:firstLine="480"/>
      </w:pPr>
      <w:r>
        <w:rPr>
          <w:rFonts w:hint="eastAsia"/>
        </w:rPr>
        <w:t>1.采暖通风</w:t>
      </w:r>
    </w:p>
    <w:p w14:paraId="556A7BA0">
      <w:pPr>
        <w:spacing w:line="520" w:lineRule="exact"/>
        <w:ind w:left="480" w:firstLine="240" w:firstLineChars="100"/>
        <w:rPr>
          <w:rFonts w:ascii="宋体" w:hAnsi="宋体" w:cs="仿宋"/>
          <w:sz w:val="24"/>
        </w:rPr>
      </w:pPr>
      <w:r>
        <w:rPr>
          <w:rFonts w:hint="eastAsia" w:ascii="宋体" w:hAnsi="宋体" w:cs="仿宋"/>
          <w:sz w:val="24"/>
        </w:rPr>
        <w:t>根据车间及工艺特性，车间通风系统优先采用自然通风。自然通风无法满足工艺生产要求时，配置机械通风系统；</w:t>
      </w:r>
    </w:p>
    <w:p w14:paraId="7D1F1D45">
      <w:pPr>
        <w:spacing w:line="520" w:lineRule="exact"/>
        <w:ind w:left="480" w:firstLine="240" w:firstLineChars="100"/>
        <w:rPr>
          <w:highlight w:val="yellow"/>
        </w:rPr>
      </w:pPr>
      <w:r>
        <w:rPr>
          <w:rFonts w:hint="eastAsia" w:ascii="宋体" w:hAnsi="宋体" w:cs="仿宋"/>
          <w:sz w:val="24"/>
        </w:rPr>
        <w:t>夏季车间通风以消除车间内的余热和余湿为目的；夏季送室外的自然风为车间降温，满足车间工作区温度不高于室外温度3～5℃。</w:t>
      </w:r>
    </w:p>
    <w:p w14:paraId="086B7FC4">
      <w:pPr>
        <w:pStyle w:val="5"/>
        <w:ind w:firstLine="480"/>
      </w:pPr>
      <w:r>
        <w:rPr>
          <w:rFonts w:hint="eastAsia"/>
        </w:rPr>
        <w:t>2. 空调</w:t>
      </w:r>
    </w:p>
    <w:p w14:paraId="151322EA">
      <w:pPr>
        <w:spacing w:line="520" w:lineRule="exact"/>
        <w:ind w:left="480" w:firstLine="240" w:firstLineChars="100"/>
        <w:rPr>
          <w:rFonts w:ascii="宋体" w:hAnsi="宋体" w:cs="仿宋"/>
          <w:sz w:val="24"/>
        </w:rPr>
      </w:pPr>
      <w:r>
        <w:rPr>
          <w:rFonts w:hint="eastAsia" w:ascii="宋体" w:hAnsi="宋体" w:cs="仿宋"/>
          <w:sz w:val="24"/>
        </w:rPr>
        <w:t>空调室内设计参数见室内设计参数表，为达到目标参数，对相应空调区域设置空调系统，设计原则与方案：</w:t>
      </w:r>
    </w:p>
    <w:p w14:paraId="6F3FB31C">
      <w:pPr>
        <w:spacing w:line="520" w:lineRule="exact"/>
        <w:ind w:firstLine="720" w:firstLineChars="300"/>
        <w:rPr>
          <w:rFonts w:ascii="宋体" w:hAnsi="宋体" w:cs="仿宋"/>
          <w:sz w:val="24"/>
        </w:rPr>
      </w:pPr>
      <w:r>
        <w:rPr>
          <w:rFonts w:hint="eastAsia" w:ascii="宋体" w:hAnsi="宋体" w:cs="仿宋"/>
          <w:sz w:val="24"/>
        </w:rPr>
        <w:t>配电室、机柜室等仪电房间设单冷型空调；办公室、控制室等设置冷暖型空调；</w:t>
      </w:r>
    </w:p>
    <w:p w14:paraId="4A42D754">
      <w:pPr>
        <w:spacing w:line="520" w:lineRule="exact"/>
        <w:ind w:left="480" w:firstLine="240" w:firstLineChars="100"/>
        <w:rPr>
          <w:rFonts w:ascii="宋体" w:hAnsi="宋体" w:cs="仿宋"/>
          <w:sz w:val="24"/>
        </w:rPr>
      </w:pPr>
      <w:r>
        <w:rPr>
          <w:rFonts w:hint="eastAsia" w:ascii="宋体" w:hAnsi="宋体" w:cs="仿宋"/>
          <w:sz w:val="24"/>
        </w:rPr>
        <w:t>负荷小、用点较分散车间，空调系统采用风冷或水冷单元式空调，如制浆生产线各工段；</w:t>
      </w:r>
    </w:p>
    <w:p w14:paraId="7ED45EDD">
      <w:pPr>
        <w:spacing w:line="520" w:lineRule="exact"/>
        <w:ind w:firstLine="720" w:firstLineChars="300"/>
        <w:rPr>
          <w:rFonts w:ascii="宋体" w:hAnsi="宋体" w:cs="仿宋"/>
          <w:sz w:val="24"/>
        </w:rPr>
      </w:pPr>
      <w:r>
        <w:rPr>
          <w:rFonts w:hint="eastAsia" w:ascii="宋体" w:hAnsi="宋体" w:cs="仿宋"/>
          <w:sz w:val="24"/>
        </w:rPr>
        <w:t>负荷较大，用点多且比较集中的车间，空调系统采用水冷集中式空调；</w:t>
      </w:r>
    </w:p>
    <w:p w14:paraId="217BA5CB">
      <w:pPr>
        <w:spacing w:line="520" w:lineRule="exact"/>
        <w:ind w:firstLine="720" w:firstLineChars="300"/>
        <w:rPr>
          <w:rFonts w:ascii="宋体" w:hAnsi="宋体" w:cs="仿宋"/>
          <w:sz w:val="24"/>
        </w:rPr>
      </w:pPr>
      <w:r>
        <w:rPr>
          <w:rFonts w:hint="eastAsia" w:ascii="宋体" w:hAnsi="宋体" w:cs="仿宋"/>
          <w:sz w:val="24"/>
        </w:rPr>
        <w:t>一般办公、会议、值班等房间采用风冷热泵型分体空调。</w:t>
      </w:r>
    </w:p>
    <w:p w14:paraId="56612434">
      <w:pPr>
        <w:spacing w:line="520" w:lineRule="exact"/>
        <w:jc w:val="center"/>
        <w:rPr>
          <w:rFonts w:ascii="宋体" w:hAnsi="宋体" w:cs="仿宋"/>
          <w:sz w:val="24"/>
        </w:rPr>
      </w:pPr>
      <w:r>
        <w:rPr>
          <w:rFonts w:hint="eastAsia" w:ascii="宋体" w:hAnsi="宋体" w:cs="仿宋"/>
          <w:sz w:val="24"/>
        </w:rPr>
        <w:t>室内设计参数表</w:t>
      </w:r>
    </w:p>
    <w:tbl>
      <w:tblPr>
        <w:tblStyle w:val="18"/>
        <w:tblW w:w="8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185"/>
        <w:gridCol w:w="1276"/>
        <w:gridCol w:w="992"/>
        <w:gridCol w:w="1225"/>
        <w:gridCol w:w="1326"/>
      </w:tblGrid>
      <w:tr w14:paraId="40D2E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51" w:type="dxa"/>
            <w:vMerge w:val="restart"/>
            <w:vAlign w:val="center"/>
          </w:tcPr>
          <w:p w14:paraId="40189B01">
            <w:pPr>
              <w:widowControl/>
              <w:spacing w:line="360" w:lineRule="auto"/>
              <w:jc w:val="center"/>
              <w:rPr>
                <w:rFonts w:ascii="宋体" w:hAnsi="宋体" w:cs="仿宋"/>
                <w:kern w:val="0"/>
                <w:sz w:val="24"/>
              </w:rPr>
            </w:pPr>
            <w:r>
              <w:rPr>
                <w:rFonts w:hint="eastAsia" w:ascii="宋体" w:hAnsi="宋体" w:cs="仿宋"/>
                <w:kern w:val="0"/>
                <w:sz w:val="24"/>
              </w:rPr>
              <w:t>序号</w:t>
            </w:r>
          </w:p>
        </w:tc>
        <w:tc>
          <w:tcPr>
            <w:tcW w:w="1984" w:type="dxa"/>
            <w:vMerge w:val="restart"/>
            <w:vAlign w:val="center"/>
          </w:tcPr>
          <w:p w14:paraId="0D3CDBDC">
            <w:pPr>
              <w:widowControl/>
              <w:spacing w:line="360" w:lineRule="auto"/>
              <w:jc w:val="center"/>
              <w:rPr>
                <w:rFonts w:ascii="宋体" w:hAnsi="宋体" w:cs="仿宋"/>
                <w:kern w:val="0"/>
                <w:sz w:val="24"/>
              </w:rPr>
            </w:pPr>
            <w:r>
              <w:rPr>
                <w:rFonts w:hint="eastAsia" w:ascii="宋体" w:hAnsi="宋体" w:cs="仿宋"/>
                <w:kern w:val="0"/>
                <w:sz w:val="24"/>
              </w:rPr>
              <w:t>房间名称</w:t>
            </w:r>
          </w:p>
        </w:tc>
        <w:tc>
          <w:tcPr>
            <w:tcW w:w="2461" w:type="dxa"/>
            <w:gridSpan w:val="2"/>
          </w:tcPr>
          <w:p w14:paraId="0B16E37F">
            <w:pPr>
              <w:widowControl/>
              <w:spacing w:line="360" w:lineRule="auto"/>
              <w:jc w:val="center"/>
              <w:rPr>
                <w:rFonts w:ascii="宋体" w:hAnsi="宋体" w:cs="仿宋"/>
                <w:kern w:val="0"/>
                <w:sz w:val="24"/>
              </w:rPr>
            </w:pPr>
            <w:r>
              <w:rPr>
                <w:rFonts w:hint="eastAsia" w:ascii="宋体" w:hAnsi="宋体" w:cs="仿宋"/>
                <w:kern w:val="0"/>
                <w:sz w:val="24"/>
              </w:rPr>
              <w:t>夏  季</w:t>
            </w:r>
          </w:p>
        </w:tc>
        <w:tc>
          <w:tcPr>
            <w:tcW w:w="2217" w:type="dxa"/>
            <w:gridSpan w:val="2"/>
          </w:tcPr>
          <w:p w14:paraId="16DEBE3E">
            <w:pPr>
              <w:widowControl/>
              <w:spacing w:line="360" w:lineRule="auto"/>
              <w:jc w:val="center"/>
              <w:rPr>
                <w:rFonts w:ascii="宋体" w:hAnsi="宋体" w:cs="仿宋"/>
                <w:kern w:val="0"/>
                <w:sz w:val="24"/>
              </w:rPr>
            </w:pPr>
            <w:r>
              <w:rPr>
                <w:rFonts w:hint="eastAsia" w:ascii="宋体" w:hAnsi="宋体" w:cs="仿宋"/>
                <w:kern w:val="0"/>
                <w:sz w:val="24"/>
              </w:rPr>
              <w:t>冬  季</w:t>
            </w:r>
          </w:p>
        </w:tc>
        <w:tc>
          <w:tcPr>
            <w:tcW w:w="1326" w:type="dxa"/>
          </w:tcPr>
          <w:p w14:paraId="46A36FF8">
            <w:pPr>
              <w:widowControl/>
              <w:spacing w:line="360" w:lineRule="auto"/>
              <w:jc w:val="center"/>
              <w:rPr>
                <w:rFonts w:ascii="宋体" w:hAnsi="宋体" w:cs="仿宋"/>
                <w:kern w:val="0"/>
                <w:sz w:val="24"/>
              </w:rPr>
            </w:pPr>
            <w:r>
              <w:rPr>
                <w:rFonts w:hint="eastAsia" w:ascii="宋体" w:hAnsi="宋体" w:cs="仿宋"/>
                <w:kern w:val="0"/>
                <w:sz w:val="24"/>
              </w:rPr>
              <w:t>备注</w:t>
            </w:r>
          </w:p>
        </w:tc>
      </w:tr>
      <w:tr w14:paraId="4359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851" w:type="dxa"/>
            <w:vMerge w:val="continue"/>
          </w:tcPr>
          <w:p w14:paraId="1C74C989">
            <w:pPr>
              <w:widowControl/>
              <w:spacing w:line="360" w:lineRule="auto"/>
              <w:jc w:val="center"/>
              <w:rPr>
                <w:rFonts w:ascii="宋体" w:hAnsi="宋体" w:cs="仿宋"/>
                <w:kern w:val="0"/>
                <w:sz w:val="24"/>
              </w:rPr>
            </w:pPr>
          </w:p>
        </w:tc>
        <w:tc>
          <w:tcPr>
            <w:tcW w:w="1984" w:type="dxa"/>
            <w:vMerge w:val="continue"/>
          </w:tcPr>
          <w:p w14:paraId="2760D2F9">
            <w:pPr>
              <w:widowControl/>
              <w:spacing w:line="360" w:lineRule="auto"/>
              <w:jc w:val="center"/>
              <w:rPr>
                <w:rFonts w:ascii="宋体" w:hAnsi="宋体" w:cs="仿宋"/>
                <w:kern w:val="0"/>
                <w:sz w:val="24"/>
              </w:rPr>
            </w:pPr>
          </w:p>
        </w:tc>
        <w:tc>
          <w:tcPr>
            <w:tcW w:w="1185" w:type="dxa"/>
          </w:tcPr>
          <w:p w14:paraId="2EC2AB3D">
            <w:pPr>
              <w:widowControl/>
              <w:spacing w:line="360" w:lineRule="auto"/>
              <w:jc w:val="center"/>
              <w:rPr>
                <w:rFonts w:ascii="宋体" w:hAnsi="宋体" w:cs="仿宋"/>
                <w:kern w:val="0"/>
                <w:sz w:val="24"/>
              </w:rPr>
            </w:pPr>
            <w:r>
              <w:rPr>
                <w:rFonts w:hint="eastAsia" w:ascii="宋体" w:hAnsi="宋体" w:cs="仿宋"/>
                <w:kern w:val="0"/>
                <w:sz w:val="24"/>
              </w:rPr>
              <w:t>温度（℃）</w:t>
            </w:r>
          </w:p>
        </w:tc>
        <w:tc>
          <w:tcPr>
            <w:tcW w:w="1276" w:type="dxa"/>
          </w:tcPr>
          <w:p w14:paraId="66480EDF">
            <w:pPr>
              <w:widowControl/>
              <w:spacing w:line="360" w:lineRule="auto"/>
              <w:jc w:val="center"/>
              <w:rPr>
                <w:rFonts w:ascii="宋体" w:hAnsi="宋体" w:cs="仿宋"/>
                <w:kern w:val="0"/>
                <w:sz w:val="24"/>
              </w:rPr>
            </w:pPr>
            <w:r>
              <w:rPr>
                <w:rFonts w:hint="eastAsia" w:ascii="宋体" w:hAnsi="宋体" w:cs="仿宋"/>
                <w:kern w:val="0"/>
                <w:sz w:val="24"/>
              </w:rPr>
              <w:t>相对湿度（％）</w:t>
            </w:r>
          </w:p>
        </w:tc>
        <w:tc>
          <w:tcPr>
            <w:tcW w:w="992" w:type="dxa"/>
          </w:tcPr>
          <w:p w14:paraId="03D8E9DE">
            <w:pPr>
              <w:widowControl/>
              <w:spacing w:line="360" w:lineRule="auto"/>
              <w:jc w:val="center"/>
              <w:rPr>
                <w:rFonts w:ascii="宋体" w:hAnsi="宋体" w:cs="仿宋"/>
                <w:kern w:val="0"/>
                <w:sz w:val="24"/>
              </w:rPr>
            </w:pPr>
            <w:r>
              <w:rPr>
                <w:rFonts w:hint="eastAsia" w:ascii="宋体" w:hAnsi="宋体" w:cs="仿宋"/>
                <w:kern w:val="0"/>
                <w:sz w:val="24"/>
              </w:rPr>
              <w:t>温度（℃）</w:t>
            </w:r>
          </w:p>
        </w:tc>
        <w:tc>
          <w:tcPr>
            <w:tcW w:w="1225" w:type="dxa"/>
          </w:tcPr>
          <w:p w14:paraId="23129447">
            <w:pPr>
              <w:widowControl/>
              <w:spacing w:line="360" w:lineRule="auto"/>
              <w:jc w:val="center"/>
              <w:rPr>
                <w:rFonts w:ascii="宋体" w:hAnsi="宋体" w:cs="仿宋"/>
                <w:kern w:val="0"/>
                <w:sz w:val="24"/>
              </w:rPr>
            </w:pPr>
            <w:r>
              <w:rPr>
                <w:rFonts w:hint="eastAsia" w:ascii="宋体" w:hAnsi="宋体" w:cs="仿宋"/>
                <w:kern w:val="0"/>
                <w:sz w:val="24"/>
              </w:rPr>
              <w:t>相对湿度（％）</w:t>
            </w:r>
          </w:p>
        </w:tc>
        <w:tc>
          <w:tcPr>
            <w:tcW w:w="1326" w:type="dxa"/>
          </w:tcPr>
          <w:p w14:paraId="7A9240C8">
            <w:pPr>
              <w:widowControl/>
              <w:spacing w:line="360" w:lineRule="auto"/>
              <w:jc w:val="left"/>
              <w:rPr>
                <w:rFonts w:ascii="宋体" w:hAnsi="宋体" w:cs="仿宋"/>
                <w:kern w:val="0"/>
                <w:sz w:val="24"/>
              </w:rPr>
            </w:pPr>
          </w:p>
        </w:tc>
      </w:tr>
      <w:tr w14:paraId="3F2D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51" w:type="dxa"/>
          </w:tcPr>
          <w:p w14:paraId="2524358A">
            <w:pPr>
              <w:widowControl/>
              <w:spacing w:line="360" w:lineRule="auto"/>
              <w:jc w:val="center"/>
              <w:rPr>
                <w:rFonts w:ascii="宋体" w:hAnsi="宋体" w:cs="仿宋"/>
                <w:kern w:val="0"/>
                <w:sz w:val="24"/>
              </w:rPr>
            </w:pPr>
            <w:r>
              <w:rPr>
                <w:rFonts w:hint="eastAsia" w:ascii="宋体" w:hAnsi="宋体" w:cs="仿宋"/>
                <w:kern w:val="0"/>
                <w:sz w:val="24"/>
              </w:rPr>
              <w:t>1</w:t>
            </w:r>
          </w:p>
        </w:tc>
        <w:tc>
          <w:tcPr>
            <w:tcW w:w="1984" w:type="dxa"/>
          </w:tcPr>
          <w:p w14:paraId="66599C6C">
            <w:pPr>
              <w:widowControl/>
              <w:spacing w:line="360" w:lineRule="auto"/>
              <w:jc w:val="left"/>
              <w:rPr>
                <w:rFonts w:ascii="宋体" w:hAnsi="宋体" w:cs="仿宋"/>
                <w:kern w:val="0"/>
                <w:sz w:val="24"/>
              </w:rPr>
            </w:pPr>
            <w:r>
              <w:rPr>
                <w:rFonts w:hint="eastAsia" w:ascii="宋体" w:hAnsi="宋体" w:cs="仿宋"/>
                <w:kern w:val="0"/>
                <w:sz w:val="24"/>
              </w:rPr>
              <w:t>车间操作区</w:t>
            </w:r>
          </w:p>
        </w:tc>
        <w:tc>
          <w:tcPr>
            <w:tcW w:w="1185" w:type="dxa"/>
          </w:tcPr>
          <w:p w14:paraId="0DCA2F09">
            <w:pPr>
              <w:widowControl/>
              <w:spacing w:line="360" w:lineRule="auto"/>
              <w:rPr>
                <w:rFonts w:ascii="宋体" w:hAnsi="宋体" w:cs="仿宋"/>
                <w:kern w:val="0"/>
                <w:sz w:val="24"/>
              </w:rPr>
            </w:pPr>
            <w:r>
              <w:rPr>
                <w:rFonts w:hint="eastAsia" w:ascii="宋体" w:hAnsi="宋体" w:cs="仿宋"/>
                <w:kern w:val="0"/>
                <w:sz w:val="24"/>
              </w:rPr>
              <w:t>室外+3</w:t>
            </w:r>
          </w:p>
        </w:tc>
        <w:tc>
          <w:tcPr>
            <w:tcW w:w="1276" w:type="dxa"/>
          </w:tcPr>
          <w:p w14:paraId="5DEF19DE">
            <w:pPr>
              <w:widowControl/>
              <w:spacing w:line="360" w:lineRule="auto"/>
              <w:jc w:val="center"/>
              <w:rPr>
                <w:rFonts w:ascii="宋体" w:hAnsi="宋体" w:cs="仿宋"/>
                <w:kern w:val="0"/>
                <w:sz w:val="24"/>
              </w:rPr>
            </w:pPr>
            <w:r>
              <w:rPr>
                <w:rFonts w:hint="eastAsia" w:ascii="宋体" w:hAnsi="宋体" w:cs="仿宋"/>
                <w:kern w:val="0"/>
                <w:sz w:val="24"/>
              </w:rPr>
              <w:t>-</w:t>
            </w:r>
          </w:p>
        </w:tc>
        <w:tc>
          <w:tcPr>
            <w:tcW w:w="992" w:type="dxa"/>
          </w:tcPr>
          <w:p w14:paraId="21C4B04A">
            <w:pPr>
              <w:widowControl/>
              <w:spacing w:line="360" w:lineRule="auto"/>
              <w:jc w:val="center"/>
              <w:rPr>
                <w:rFonts w:ascii="宋体" w:hAnsi="宋体" w:cs="仿宋"/>
                <w:kern w:val="0"/>
                <w:sz w:val="24"/>
              </w:rPr>
            </w:pPr>
            <w:r>
              <w:rPr>
                <w:rFonts w:hint="eastAsia" w:ascii="宋体" w:hAnsi="宋体" w:cs="仿宋"/>
                <w:kern w:val="0"/>
                <w:sz w:val="24"/>
              </w:rPr>
              <w:t>≥5</w:t>
            </w:r>
          </w:p>
        </w:tc>
        <w:tc>
          <w:tcPr>
            <w:tcW w:w="1225" w:type="dxa"/>
          </w:tcPr>
          <w:p w14:paraId="79CB2D8A">
            <w:pPr>
              <w:widowControl/>
              <w:spacing w:line="360" w:lineRule="auto"/>
              <w:jc w:val="center"/>
              <w:rPr>
                <w:rFonts w:ascii="宋体" w:hAnsi="宋体" w:cs="仿宋"/>
                <w:kern w:val="0"/>
                <w:sz w:val="24"/>
              </w:rPr>
            </w:pPr>
            <w:r>
              <w:rPr>
                <w:rFonts w:hint="eastAsia" w:ascii="宋体" w:hAnsi="宋体" w:cs="仿宋"/>
                <w:kern w:val="0"/>
                <w:sz w:val="24"/>
              </w:rPr>
              <w:t>-</w:t>
            </w:r>
          </w:p>
        </w:tc>
        <w:tc>
          <w:tcPr>
            <w:tcW w:w="1326" w:type="dxa"/>
          </w:tcPr>
          <w:p w14:paraId="07B67E73">
            <w:pPr>
              <w:widowControl/>
              <w:spacing w:line="360" w:lineRule="auto"/>
              <w:jc w:val="left"/>
              <w:rPr>
                <w:rFonts w:ascii="宋体" w:hAnsi="宋体" w:cs="仿宋"/>
                <w:kern w:val="0"/>
                <w:sz w:val="24"/>
              </w:rPr>
            </w:pPr>
            <w:r>
              <w:rPr>
                <w:rFonts w:hint="eastAsia" w:ascii="宋体" w:hAnsi="宋体" w:cs="仿宋"/>
                <w:kern w:val="0"/>
                <w:sz w:val="24"/>
              </w:rPr>
              <w:t>-</w:t>
            </w:r>
          </w:p>
        </w:tc>
      </w:tr>
      <w:tr w14:paraId="5E086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51" w:type="dxa"/>
          </w:tcPr>
          <w:p w14:paraId="2E1A664C">
            <w:pPr>
              <w:widowControl/>
              <w:spacing w:line="360" w:lineRule="auto"/>
              <w:jc w:val="center"/>
              <w:rPr>
                <w:rFonts w:ascii="宋体" w:hAnsi="宋体" w:cs="仿宋"/>
                <w:kern w:val="0"/>
                <w:sz w:val="24"/>
              </w:rPr>
            </w:pPr>
            <w:r>
              <w:rPr>
                <w:rFonts w:hint="eastAsia" w:ascii="宋体" w:hAnsi="宋体" w:cs="仿宋"/>
                <w:kern w:val="0"/>
                <w:sz w:val="24"/>
              </w:rPr>
              <w:t>2</w:t>
            </w:r>
          </w:p>
        </w:tc>
        <w:tc>
          <w:tcPr>
            <w:tcW w:w="1984" w:type="dxa"/>
          </w:tcPr>
          <w:p w14:paraId="30AA27CC">
            <w:pPr>
              <w:widowControl/>
              <w:spacing w:line="360" w:lineRule="auto"/>
              <w:jc w:val="left"/>
              <w:rPr>
                <w:rFonts w:ascii="宋体" w:hAnsi="宋体" w:cs="仿宋"/>
                <w:kern w:val="0"/>
                <w:sz w:val="24"/>
              </w:rPr>
            </w:pPr>
            <w:r>
              <w:rPr>
                <w:rFonts w:hint="eastAsia" w:ascii="宋体" w:hAnsi="宋体" w:cs="仿宋"/>
                <w:kern w:val="0"/>
                <w:sz w:val="24"/>
              </w:rPr>
              <w:t>办公室</w:t>
            </w:r>
          </w:p>
        </w:tc>
        <w:tc>
          <w:tcPr>
            <w:tcW w:w="1185" w:type="dxa"/>
          </w:tcPr>
          <w:p w14:paraId="60570164">
            <w:pPr>
              <w:widowControl/>
              <w:spacing w:line="360" w:lineRule="auto"/>
              <w:jc w:val="center"/>
              <w:rPr>
                <w:rFonts w:ascii="宋体" w:hAnsi="宋体" w:cs="仿宋"/>
                <w:kern w:val="0"/>
                <w:sz w:val="24"/>
              </w:rPr>
            </w:pPr>
            <w:r>
              <w:rPr>
                <w:rFonts w:hint="eastAsia" w:ascii="宋体" w:hAnsi="宋体" w:cs="仿宋"/>
                <w:kern w:val="0"/>
                <w:sz w:val="24"/>
              </w:rPr>
              <w:t>24~28</w:t>
            </w:r>
          </w:p>
        </w:tc>
        <w:tc>
          <w:tcPr>
            <w:tcW w:w="1276" w:type="dxa"/>
          </w:tcPr>
          <w:p w14:paraId="739058D9">
            <w:pPr>
              <w:widowControl/>
              <w:spacing w:line="360" w:lineRule="auto"/>
              <w:jc w:val="center"/>
              <w:rPr>
                <w:rFonts w:ascii="宋体" w:hAnsi="宋体" w:cs="仿宋"/>
                <w:kern w:val="0"/>
                <w:sz w:val="24"/>
              </w:rPr>
            </w:pPr>
            <w:r>
              <w:rPr>
                <w:rFonts w:hint="eastAsia" w:ascii="宋体" w:hAnsi="宋体" w:cs="仿宋"/>
                <w:kern w:val="0"/>
                <w:sz w:val="24"/>
              </w:rPr>
              <w:t>≤65</w:t>
            </w:r>
          </w:p>
        </w:tc>
        <w:tc>
          <w:tcPr>
            <w:tcW w:w="992" w:type="dxa"/>
          </w:tcPr>
          <w:p w14:paraId="7ABCC92B">
            <w:pPr>
              <w:widowControl/>
              <w:spacing w:line="360" w:lineRule="auto"/>
              <w:jc w:val="center"/>
              <w:rPr>
                <w:rFonts w:ascii="宋体" w:hAnsi="宋体" w:cs="仿宋"/>
                <w:kern w:val="0"/>
                <w:sz w:val="24"/>
              </w:rPr>
            </w:pPr>
            <w:r>
              <w:rPr>
                <w:rFonts w:hint="eastAsia" w:ascii="宋体" w:hAnsi="宋体" w:cs="仿宋"/>
                <w:kern w:val="0"/>
                <w:sz w:val="24"/>
              </w:rPr>
              <w:t>18~22</w:t>
            </w:r>
          </w:p>
        </w:tc>
        <w:tc>
          <w:tcPr>
            <w:tcW w:w="1225" w:type="dxa"/>
          </w:tcPr>
          <w:p w14:paraId="542413EC">
            <w:pPr>
              <w:widowControl/>
              <w:spacing w:line="360" w:lineRule="auto"/>
              <w:jc w:val="center"/>
              <w:rPr>
                <w:rFonts w:ascii="宋体" w:hAnsi="宋体" w:cs="仿宋"/>
                <w:kern w:val="0"/>
                <w:sz w:val="24"/>
              </w:rPr>
            </w:pPr>
            <w:r>
              <w:rPr>
                <w:rFonts w:hint="eastAsia" w:ascii="宋体" w:hAnsi="宋体" w:cs="仿宋"/>
                <w:kern w:val="0"/>
                <w:sz w:val="24"/>
              </w:rPr>
              <w:t>-</w:t>
            </w:r>
          </w:p>
        </w:tc>
        <w:tc>
          <w:tcPr>
            <w:tcW w:w="1326" w:type="dxa"/>
          </w:tcPr>
          <w:p w14:paraId="34685694">
            <w:pPr>
              <w:widowControl/>
              <w:spacing w:line="360" w:lineRule="auto"/>
              <w:jc w:val="left"/>
              <w:rPr>
                <w:rFonts w:ascii="宋体" w:hAnsi="宋体" w:cs="仿宋"/>
                <w:b/>
                <w:kern w:val="0"/>
                <w:sz w:val="24"/>
              </w:rPr>
            </w:pPr>
            <w:r>
              <w:rPr>
                <w:rFonts w:hint="eastAsia" w:ascii="宋体" w:hAnsi="宋体" w:cs="仿宋"/>
                <w:b/>
                <w:kern w:val="0"/>
                <w:sz w:val="24"/>
              </w:rPr>
              <w:t>-</w:t>
            </w:r>
          </w:p>
        </w:tc>
      </w:tr>
      <w:tr w14:paraId="2A7D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0DC15311">
            <w:pPr>
              <w:widowControl/>
              <w:spacing w:line="360" w:lineRule="auto"/>
              <w:jc w:val="center"/>
              <w:rPr>
                <w:rFonts w:ascii="宋体" w:hAnsi="宋体" w:cs="仿宋"/>
                <w:kern w:val="0"/>
                <w:sz w:val="24"/>
              </w:rPr>
            </w:pPr>
            <w:r>
              <w:rPr>
                <w:rFonts w:hint="eastAsia" w:ascii="宋体" w:hAnsi="宋体" w:cs="仿宋"/>
                <w:kern w:val="0"/>
                <w:sz w:val="24"/>
              </w:rPr>
              <w:t>3</w:t>
            </w:r>
          </w:p>
        </w:tc>
        <w:tc>
          <w:tcPr>
            <w:tcW w:w="1984" w:type="dxa"/>
          </w:tcPr>
          <w:p w14:paraId="1090552E">
            <w:pPr>
              <w:widowControl/>
              <w:spacing w:line="360" w:lineRule="auto"/>
              <w:jc w:val="left"/>
              <w:rPr>
                <w:rFonts w:ascii="宋体" w:hAnsi="宋体" w:cs="仿宋"/>
                <w:kern w:val="0"/>
                <w:sz w:val="24"/>
              </w:rPr>
            </w:pPr>
            <w:r>
              <w:rPr>
                <w:rFonts w:hint="eastAsia" w:ascii="宋体" w:hAnsi="宋体" w:cs="仿宋"/>
                <w:kern w:val="0"/>
                <w:sz w:val="24"/>
              </w:rPr>
              <w:t>检验室</w:t>
            </w:r>
          </w:p>
        </w:tc>
        <w:tc>
          <w:tcPr>
            <w:tcW w:w="1185" w:type="dxa"/>
          </w:tcPr>
          <w:p w14:paraId="06D9AC50">
            <w:pPr>
              <w:widowControl/>
              <w:spacing w:line="360" w:lineRule="auto"/>
              <w:jc w:val="center"/>
              <w:rPr>
                <w:rFonts w:ascii="宋体" w:hAnsi="宋体" w:cs="仿宋"/>
                <w:kern w:val="0"/>
                <w:sz w:val="24"/>
              </w:rPr>
            </w:pPr>
            <w:r>
              <w:rPr>
                <w:rFonts w:hint="eastAsia" w:ascii="宋体" w:hAnsi="宋体" w:cs="仿宋"/>
                <w:kern w:val="0"/>
                <w:sz w:val="24"/>
              </w:rPr>
              <w:t>24~28</w:t>
            </w:r>
          </w:p>
        </w:tc>
        <w:tc>
          <w:tcPr>
            <w:tcW w:w="1276" w:type="dxa"/>
          </w:tcPr>
          <w:p w14:paraId="49A3CE1E">
            <w:pPr>
              <w:widowControl/>
              <w:spacing w:line="360" w:lineRule="auto"/>
              <w:jc w:val="center"/>
              <w:rPr>
                <w:rFonts w:ascii="宋体" w:hAnsi="宋体" w:cs="仿宋"/>
                <w:kern w:val="0"/>
                <w:sz w:val="24"/>
              </w:rPr>
            </w:pPr>
            <w:r>
              <w:rPr>
                <w:rFonts w:hint="eastAsia" w:ascii="宋体" w:hAnsi="宋体" w:cs="仿宋"/>
                <w:kern w:val="0"/>
                <w:sz w:val="24"/>
              </w:rPr>
              <w:t>≤65</w:t>
            </w:r>
          </w:p>
        </w:tc>
        <w:tc>
          <w:tcPr>
            <w:tcW w:w="992" w:type="dxa"/>
          </w:tcPr>
          <w:p w14:paraId="1B26DB2B">
            <w:pPr>
              <w:widowControl/>
              <w:spacing w:line="360" w:lineRule="auto"/>
              <w:jc w:val="center"/>
              <w:rPr>
                <w:rFonts w:ascii="宋体" w:hAnsi="宋体" w:cs="仿宋"/>
                <w:kern w:val="0"/>
                <w:sz w:val="24"/>
              </w:rPr>
            </w:pPr>
            <w:r>
              <w:rPr>
                <w:rFonts w:hint="eastAsia" w:ascii="宋体" w:hAnsi="宋体" w:cs="仿宋"/>
                <w:kern w:val="0"/>
                <w:sz w:val="24"/>
              </w:rPr>
              <w:t>18~22</w:t>
            </w:r>
          </w:p>
        </w:tc>
        <w:tc>
          <w:tcPr>
            <w:tcW w:w="1225" w:type="dxa"/>
          </w:tcPr>
          <w:p w14:paraId="04A51A69">
            <w:pPr>
              <w:widowControl/>
              <w:spacing w:line="360" w:lineRule="auto"/>
              <w:jc w:val="center"/>
              <w:rPr>
                <w:rFonts w:ascii="宋体" w:hAnsi="宋体" w:cs="仿宋"/>
                <w:kern w:val="0"/>
                <w:sz w:val="24"/>
              </w:rPr>
            </w:pPr>
            <w:r>
              <w:rPr>
                <w:rFonts w:hint="eastAsia" w:ascii="宋体" w:hAnsi="宋体" w:cs="仿宋"/>
                <w:kern w:val="0"/>
                <w:sz w:val="24"/>
              </w:rPr>
              <w:t>-</w:t>
            </w:r>
          </w:p>
        </w:tc>
        <w:tc>
          <w:tcPr>
            <w:tcW w:w="1326" w:type="dxa"/>
          </w:tcPr>
          <w:p w14:paraId="7CCC0139">
            <w:pPr>
              <w:widowControl/>
              <w:spacing w:line="360" w:lineRule="auto"/>
              <w:jc w:val="left"/>
              <w:rPr>
                <w:rFonts w:ascii="宋体" w:hAnsi="宋体" w:cs="仿宋"/>
                <w:kern w:val="0"/>
                <w:sz w:val="24"/>
              </w:rPr>
            </w:pPr>
            <w:r>
              <w:rPr>
                <w:rFonts w:hint="eastAsia" w:ascii="宋体" w:hAnsi="宋体" w:cs="仿宋"/>
                <w:kern w:val="0"/>
                <w:sz w:val="24"/>
              </w:rPr>
              <w:t>-</w:t>
            </w:r>
          </w:p>
        </w:tc>
      </w:tr>
      <w:tr w14:paraId="061D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150D2B25">
            <w:pPr>
              <w:widowControl/>
              <w:spacing w:line="360" w:lineRule="auto"/>
              <w:jc w:val="center"/>
              <w:rPr>
                <w:rFonts w:ascii="宋体" w:hAnsi="宋体" w:cs="仿宋"/>
                <w:kern w:val="0"/>
                <w:sz w:val="24"/>
              </w:rPr>
            </w:pPr>
            <w:r>
              <w:rPr>
                <w:rFonts w:hint="eastAsia" w:ascii="宋体" w:hAnsi="宋体" w:cs="仿宋"/>
                <w:kern w:val="0"/>
                <w:sz w:val="24"/>
              </w:rPr>
              <w:t>4</w:t>
            </w:r>
          </w:p>
        </w:tc>
        <w:tc>
          <w:tcPr>
            <w:tcW w:w="1984" w:type="dxa"/>
          </w:tcPr>
          <w:p w14:paraId="294D4F14">
            <w:pPr>
              <w:widowControl/>
              <w:spacing w:line="360" w:lineRule="auto"/>
              <w:jc w:val="left"/>
              <w:rPr>
                <w:rFonts w:ascii="宋体" w:hAnsi="宋体" w:cs="仿宋"/>
                <w:kern w:val="0"/>
                <w:sz w:val="24"/>
              </w:rPr>
            </w:pPr>
            <w:r>
              <w:rPr>
                <w:rFonts w:hint="eastAsia" w:ascii="宋体" w:hAnsi="宋体" w:cs="仿宋"/>
                <w:kern w:val="0"/>
                <w:sz w:val="24"/>
              </w:rPr>
              <w:t>仪表控制室</w:t>
            </w:r>
          </w:p>
        </w:tc>
        <w:tc>
          <w:tcPr>
            <w:tcW w:w="1185" w:type="dxa"/>
          </w:tcPr>
          <w:p w14:paraId="3945A4B1">
            <w:pPr>
              <w:widowControl/>
              <w:spacing w:line="360" w:lineRule="auto"/>
              <w:jc w:val="center"/>
              <w:rPr>
                <w:rFonts w:ascii="宋体" w:hAnsi="宋体" w:cs="仿宋"/>
                <w:kern w:val="0"/>
                <w:sz w:val="24"/>
              </w:rPr>
            </w:pPr>
            <w:r>
              <w:rPr>
                <w:rFonts w:hint="eastAsia" w:ascii="宋体" w:hAnsi="宋体" w:cs="仿宋"/>
                <w:kern w:val="0"/>
                <w:sz w:val="24"/>
              </w:rPr>
              <w:t>24~28</w:t>
            </w:r>
          </w:p>
        </w:tc>
        <w:tc>
          <w:tcPr>
            <w:tcW w:w="1276" w:type="dxa"/>
          </w:tcPr>
          <w:p w14:paraId="292D967C">
            <w:pPr>
              <w:widowControl/>
              <w:spacing w:line="360" w:lineRule="auto"/>
              <w:jc w:val="center"/>
              <w:rPr>
                <w:rFonts w:ascii="宋体" w:hAnsi="宋体" w:cs="仿宋"/>
                <w:kern w:val="0"/>
                <w:sz w:val="24"/>
              </w:rPr>
            </w:pPr>
            <w:r>
              <w:rPr>
                <w:rFonts w:hint="eastAsia" w:ascii="宋体" w:hAnsi="宋体" w:cs="仿宋"/>
                <w:kern w:val="0"/>
                <w:sz w:val="24"/>
              </w:rPr>
              <w:t>≤65</w:t>
            </w:r>
          </w:p>
        </w:tc>
        <w:tc>
          <w:tcPr>
            <w:tcW w:w="992" w:type="dxa"/>
          </w:tcPr>
          <w:p w14:paraId="010D350D">
            <w:pPr>
              <w:widowControl/>
              <w:spacing w:line="360" w:lineRule="auto"/>
              <w:jc w:val="center"/>
              <w:rPr>
                <w:rFonts w:ascii="宋体" w:hAnsi="宋体" w:cs="仿宋"/>
                <w:kern w:val="0"/>
                <w:sz w:val="24"/>
              </w:rPr>
            </w:pPr>
            <w:r>
              <w:rPr>
                <w:rFonts w:hint="eastAsia" w:ascii="宋体" w:hAnsi="宋体" w:cs="仿宋"/>
                <w:kern w:val="0"/>
                <w:sz w:val="24"/>
              </w:rPr>
              <w:t>18~22</w:t>
            </w:r>
          </w:p>
        </w:tc>
        <w:tc>
          <w:tcPr>
            <w:tcW w:w="1225" w:type="dxa"/>
          </w:tcPr>
          <w:p w14:paraId="019324F3">
            <w:pPr>
              <w:widowControl/>
              <w:spacing w:line="360" w:lineRule="auto"/>
              <w:jc w:val="center"/>
              <w:rPr>
                <w:rFonts w:ascii="宋体" w:hAnsi="宋体" w:cs="仿宋"/>
                <w:kern w:val="0"/>
                <w:sz w:val="24"/>
              </w:rPr>
            </w:pPr>
            <w:r>
              <w:rPr>
                <w:rFonts w:hint="eastAsia" w:ascii="宋体" w:hAnsi="宋体" w:cs="仿宋"/>
                <w:kern w:val="0"/>
                <w:sz w:val="24"/>
              </w:rPr>
              <w:t>-</w:t>
            </w:r>
          </w:p>
        </w:tc>
        <w:tc>
          <w:tcPr>
            <w:tcW w:w="1326" w:type="dxa"/>
          </w:tcPr>
          <w:p w14:paraId="606A209F">
            <w:pPr>
              <w:widowControl/>
              <w:spacing w:line="360" w:lineRule="auto"/>
              <w:jc w:val="left"/>
              <w:rPr>
                <w:rFonts w:ascii="宋体" w:hAnsi="宋体" w:cs="仿宋"/>
                <w:kern w:val="0"/>
                <w:sz w:val="24"/>
              </w:rPr>
            </w:pPr>
            <w:r>
              <w:rPr>
                <w:rFonts w:hint="eastAsia" w:ascii="宋体" w:hAnsi="宋体" w:cs="仿宋"/>
                <w:kern w:val="0"/>
                <w:sz w:val="24"/>
              </w:rPr>
              <w:t>微正压</w:t>
            </w:r>
          </w:p>
        </w:tc>
      </w:tr>
      <w:tr w14:paraId="411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59F6C7B6">
            <w:pPr>
              <w:widowControl/>
              <w:spacing w:line="360" w:lineRule="auto"/>
              <w:jc w:val="center"/>
              <w:rPr>
                <w:rFonts w:ascii="宋体" w:hAnsi="宋体" w:cs="仿宋"/>
                <w:kern w:val="0"/>
                <w:sz w:val="24"/>
              </w:rPr>
            </w:pPr>
            <w:r>
              <w:rPr>
                <w:rFonts w:hint="eastAsia" w:ascii="宋体" w:hAnsi="宋体" w:cs="仿宋"/>
                <w:kern w:val="0"/>
                <w:sz w:val="24"/>
              </w:rPr>
              <w:t>5</w:t>
            </w:r>
          </w:p>
        </w:tc>
        <w:tc>
          <w:tcPr>
            <w:tcW w:w="1984" w:type="dxa"/>
          </w:tcPr>
          <w:p w14:paraId="11B45765">
            <w:pPr>
              <w:widowControl/>
              <w:spacing w:line="360" w:lineRule="auto"/>
              <w:jc w:val="left"/>
              <w:rPr>
                <w:rFonts w:ascii="宋体" w:hAnsi="宋体" w:cs="仿宋"/>
                <w:kern w:val="0"/>
                <w:sz w:val="24"/>
              </w:rPr>
            </w:pPr>
            <w:r>
              <w:rPr>
                <w:rFonts w:hint="eastAsia" w:ascii="宋体" w:hAnsi="宋体" w:cs="仿宋"/>
                <w:kern w:val="0"/>
                <w:sz w:val="24"/>
              </w:rPr>
              <w:t>仪表机柜室</w:t>
            </w:r>
          </w:p>
        </w:tc>
        <w:tc>
          <w:tcPr>
            <w:tcW w:w="1185" w:type="dxa"/>
          </w:tcPr>
          <w:p w14:paraId="4DD00AB2">
            <w:pPr>
              <w:widowControl/>
              <w:spacing w:line="360" w:lineRule="auto"/>
              <w:jc w:val="center"/>
              <w:rPr>
                <w:rFonts w:ascii="宋体" w:hAnsi="宋体" w:cs="仿宋"/>
                <w:kern w:val="0"/>
                <w:sz w:val="24"/>
              </w:rPr>
            </w:pPr>
            <w:r>
              <w:rPr>
                <w:rFonts w:hint="eastAsia" w:ascii="宋体" w:hAnsi="宋体" w:cs="仿宋"/>
                <w:kern w:val="0"/>
                <w:sz w:val="24"/>
              </w:rPr>
              <w:t>22~26</w:t>
            </w:r>
          </w:p>
        </w:tc>
        <w:tc>
          <w:tcPr>
            <w:tcW w:w="1276" w:type="dxa"/>
          </w:tcPr>
          <w:p w14:paraId="0669B02F">
            <w:pPr>
              <w:widowControl/>
              <w:spacing w:line="360" w:lineRule="auto"/>
              <w:jc w:val="center"/>
              <w:rPr>
                <w:rFonts w:ascii="宋体" w:hAnsi="宋体" w:cs="仿宋"/>
                <w:kern w:val="0"/>
                <w:sz w:val="24"/>
              </w:rPr>
            </w:pPr>
            <w:r>
              <w:rPr>
                <w:rFonts w:hint="eastAsia" w:ascii="宋体" w:hAnsi="宋体" w:cs="仿宋"/>
                <w:kern w:val="0"/>
                <w:sz w:val="24"/>
              </w:rPr>
              <w:t>≤75</w:t>
            </w:r>
          </w:p>
        </w:tc>
        <w:tc>
          <w:tcPr>
            <w:tcW w:w="992" w:type="dxa"/>
          </w:tcPr>
          <w:p w14:paraId="6D055B7B">
            <w:pPr>
              <w:widowControl/>
              <w:spacing w:line="360" w:lineRule="auto"/>
              <w:jc w:val="center"/>
              <w:rPr>
                <w:rFonts w:ascii="宋体" w:hAnsi="宋体" w:cs="仿宋"/>
                <w:kern w:val="0"/>
                <w:sz w:val="24"/>
              </w:rPr>
            </w:pPr>
            <w:r>
              <w:rPr>
                <w:rFonts w:hint="eastAsia" w:ascii="宋体" w:hAnsi="宋体" w:cs="仿宋"/>
                <w:kern w:val="0"/>
                <w:sz w:val="24"/>
              </w:rPr>
              <w:t>≤26</w:t>
            </w:r>
          </w:p>
        </w:tc>
        <w:tc>
          <w:tcPr>
            <w:tcW w:w="1225" w:type="dxa"/>
          </w:tcPr>
          <w:p w14:paraId="0B13B98A">
            <w:pPr>
              <w:widowControl/>
              <w:spacing w:line="360" w:lineRule="auto"/>
              <w:jc w:val="center"/>
              <w:rPr>
                <w:rFonts w:ascii="宋体" w:hAnsi="宋体" w:cs="仿宋"/>
                <w:kern w:val="0"/>
                <w:sz w:val="24"/>
              </w:rPr>
            </w:pPr>
            <w:r>
              <w:rPr>
                <w:rFonts w:hint="eastAsia" w:ascii="宋体" w:hAnsi="宋体" w:cs="仿宋"/>
                <w:kern w:val="0"/>
                <w:sz w:val="24"/>
              </w:rPr>
              <w:t>-</w:t>
            </w:r>
          </w:p>
        </w:tc>
        <w:tc>
          <w:tcPr>
            <w:tcW w:w="1326" w:type="dxa"/>
          </w:tcPr>
          <w:p w14:paraId="31AB8F2D">
            <w:pPr>
              <w:widowControl/>
              <w:spacing w:line="360" w:lineRule="auto"/>
              <w:jc w:val="left"/>
              <w:rPr>
                <w:rFonts w:ascii="宋体" w:hAnsi="宋体" w:cs="仿宋"/>
                <w:kern w:val="0"/>
                <w:sz w:val="24"/>
              </w:rPr>
            </w:pPr>
            <w:r>
              <w:rPr>
                <w:rFonts w:hint="eastAsia" w:ascii="宋体" w:hAnsi="宋体" w:cs="仿宋"/>
                <w:kern w:val="0"/>
                <w:sz w:val="24"/>
              </w:rPr>
              <w:t>微正压</w:t>
            </w:r>
          </w:p>
        </w:tc>
      </w:tr>
      <w:tr w14:paraId="1782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3B2202B1">
            <w:pPr>
              <w:widowControl/>
              <w:spacing w:line="360" w:lineRule="auto"/>
              <w:jc w:val="center"/>
              <w:rPr>
                <w:rFonts w:ascii="宋体" w:hAnsi="宋体" w:cs="仿宋"/>
                <w:kern w:val="0"/>
                <w:sz w:val="24"/>
              </w:rPr>
            </w:pPr>
            <w:r>
              <w:rPr>
                <w:rFonts w:hint="eastAsia" w:ascii="宋体" w:hAnsi="宋体" w:cs="仿宋"/>
                <w:kern w:val="0"/>
                <w:sz w:val="24"/>
              </w:rPr>
              <w:t>6</w:t>
            </w:r>
          </w:p>
        </w:tc>
        <w:tc>
          <w:tcPr>
            <w:tcW w:w="1984" w:type="dxa"/>
          </w:tcPr>
          <w:p w14:paraId="1BFC55CC">
            <w:pPr>
              <w:widowControl/>
              <w:spacing w:line="360" w:lineRule="auto"/>
              <w:jc w:val="left"/>
              <w:rPr>
                <w:rFonts w:ascii="宋体" w:hAnsi="宋体" w:cs="仿宋"/>
                <w:kern w:val="0"/>
                <w:sz w:val="24"/>
              </w:rPr>
            </w:pPr>
            <w:r>
              <w:rPr>
                <w:rFonts w:hint="eastAsia" w:ascii="宋体" w:hAnsi="宋体" w:cs="仿宋"/>
                <w:kern w:val="0"/>
                <w:sz w:val="24"/>
              </w:rPr>
              <w:t>高压配电室</w:t>
            </w:r>
          </w:p>
        </w:tc>
        <w:tc>
          <w:tcPr>
            <w:tcW w:w="1185" w:type="dxa"/>
          </w:tcPr>
          <w:p w14:paraId="362418D6">
            <w:pPr>
              <w:widowControl/>
              <w:spacing w:line="360" w:lineRule="auto"/>
              <w:jc w:val="center"/>
              <w:rPr>
                <w:rFonts w:ascii="宋体" w:hAnsi="宋体" w:cs="仿宋"/>
                <w:kern w:val="0"/>
                <w:sz w:val="24"/>
              </w:rPr>
            </w:pPr>
            <w:r>
              <w:rPr>
                <w:rFonts w:hint="eastAsia" w:ascii="宋体" w:hAnsi="宋体" w:cs="仿宋"/>
                <w:kern w:val="0"/>
                <w:sz w:val="24"/>
              </w:rPr>
              <w:t>26~30</w:t>
            </w:r>
          </w:p>
        </w:tc>
        <w:tc>
          <w:tcPr>
            <w:tcW w:w="1276" w:type="dxa"/>
          </w:tcPr>
          <w:p w14:paraId="4300187E">
            <w:pPr>
              <w:widowControl/>
              <w:spacing w:line="360" w:lineRule="auto"/>
              <w:jc w:val="center"/>
              <w:rPr>
                <w:rFonts w:ascii="宋体" w:hAnsi="宋体" w:cs="仿宋"/>
                <w:kern w:val="0"/>
                <w:sz w:val="24"/>
              </w:rPr>
            </w:pPr>
            <w:r>
              <w:rPr>
                <w:rFonts w:hint="eastAsia" w:ascii="宋体" w:hAnsi="宋体" w:cs="仿宋"/>
                <w:kern w:val="0"/>
                <w:sz w:val="24"/>
              </w:rPr>
              <w:t>≤75</w:t>
            </w:r>
          </w:p>
        </w:tc>
        <w:tc>
          <w:tcPr>
            <w:tcW w:w="992" w:type="dxa"/>
          </w:tcPr>
          <w:p w14:paraId="6D38AB45">
            <w:pPr>
              <w:widowControl/>
              <w:spacing w:line="360" w:lineRule="auto"/>
              <w:jc w:val="center"/>
              <w:rPr>
                <w:rFonts w:ascii="宋体" w:hAnsi="宋体" w:cs="仿宋"/>
                <w:kern w:val="0"/>
                <w:sz w:val="24"/>
              </w:rPr>
            </w:pPr>
            <w:r>
              <w:rPr>
                <w:rFonts w:hint="eastAsia" w:ascii="宋体" w:hAnsi="宋体" w:cs="仿宋"/>
                <w:kern w:val="0"/>
                <w:sz w:val="24"/>
              </w:rPr>
              <w:t>≤30</w:t>
            </w:r>
          </w:p>
        </w:tc>
        <w:tc>
          <w:tcPr>
            <w:tcW w:w="1225" w:type="dxa"/>
          </w:tcPr>
          <w:p w14:paraId="671DD5A6">
            <w:pPr>
              <w:widowControl/>
              <w:spacing w:line="360" w:lineRule="auto"/>
              <w:jc w:val="center"/>
              <w:rPr>
                <w:rFonts w:ascii="宋体" w:hAnsi="宋体" w:cs="仿宋"/>
                <w:kern w:val="0"/>
                <w:sz w:val="24"/>
              </w:rPr>
            </w:pPr>
            <w:r>
              <w:rPr>
                <w:rFonts w:hint="eastAsia" w:ascii="宋体" w:hAnsi="宋体" w:cs="仿宋"/>
                <w:kern w:val="0"/>
                <w:sz w:val="24"/>
              </w:rPr>
              <w:t>-</w:t>
            </w:r>
          </w:p>
        </w:tc>
        <w:tc>
          <w:tcPr>
            <w:tcW w:w="1326" w:type="dxa"/>
          </w:tcPr>
          <w:p w14:paraId="6D9DF797">
            <w:pPr>
              <w:widowControl/>
              <w:spacing w:line="360" w:lineRule="auto"/>
              <w:jc w:val="left"/>
              <w:rPr>
                <w:rFonts w:ascii="宋体" w:hAnsi="宋体" w:cs="仿宋"/>
                <w:kern w:val="0"/>
                <w:sz w:val="24"/>
              </w:rPr>
            </w:pPr>
            <w:r>
              <w:rPr>
                <w:rFonts w:hint="eastAsia" w:ascii="宋体" w:hAnsi="宋体" w:cs="仿宋"/>
                <w:kern w:val="0"/>
                <w:sz w:val="24"/>
              </w:rPr>
              <w:t>微正压</w:t>
            </w:r>
          </w:p>
        </w:tc>
      </w:tr>
      <w:tr w14:paraId="400D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Pr>
          <w:p w14:paraId="1918900B">
            <w:pPr>
              <w:widowControl/>
              <w:spacing w:line="360" w:lineRule="auto"/>
              <w:jc w:val="center"/>
              <w:rPr>
                <w:rFonts w:ascii="宋体" w:hAnsi="宋体" w:cs="仿宋"/>
                <w:kern w:val="0"/>
                <w:sz w:val="24"/>
              </w:rPr>
            </w:pPr>
            <w:r>
              <w:rPr>
                <w:rFonts w:hint="eastAsia" w:ascii="宋体" w:hAnsi="宋体" w:cs="仿宋"/>
                <w:kern w:val="0"/>
                <w:sz w:val="24"/>
              </w:rPr>
              <w:t>7</w:t>
            </w:r>
          </w:p>
        </w:tc>
        <w:tc>
          <w:tcPr>
            <w:tcW w:w="1984" w:type="dxa"/>
          </w:tcPr>
          <w:p w14:paraId="2AE5FA94">
            <w:pPr>
              <w:widowControl/>
              <w:spacing w:line="360" w:lineRule="auto"/>
              <w:jc w:val="left"/>
              <w:rPr>
                <w:rFonts w:ascii="宋体" w:hAnsi="宋体" w:cs="仿宋"/>
                <w:kern w:val="0"/>
                <w:sz w:val="24"/>
              </w:rPr>
            </w:pPr>
            <w:r>
              <w:rPr>
                <w:rFonts w:hint="eastAsia" w:ascii="宋体" w:hAnsi="宋体" w:cs="仿宋"/>
                <w:kern w:val="0"/>
                <w:sz w:val="24"/>
              </w:rPr>
              <w:t>低压配电室</w:t>
            </w:r>
          </w:p>
        </w:tc>
        <w:tc>
          <w:tcPr>
            <w:tcW w:w="1185" w:type="dxa"/>
          </w:tcPr>
          <w:p w14:paraId="268A0184">
            <w:pPr>
              <w:widowControl/>
              <w:spacing w:line="360" w:lineRule="auto"/>
              <w:jc w:val="center"/>
              <w:rPr>
                <w:rFonts w:ascii="宋体" w:hAnsi="宋体" w:cs="仿宋"/>
                <w:kern w:val="0"/>
                <w:sz w:val="24"/>
              </w:rPr>
            </w:pPr>
            <w:r>
              <w:rPr>
                <w:rFonts w:hint="eastAsia" w:ascii="宋体" w:hAnsi="宋体" w:cs="仿宋"/>
                <w:kern w:val="0"/>
                <w:sz w:val="24"/>
              </w:rPr>
              <w:t>24~28</w:t>
            </w:r>
          </w:p>
        </w:tc>
        <w:tc>
          <w:tcPr>
            <w:tcW w:w="1276" w:type="dxa"/>
          </w:tcPr>
          <w:p w14:paraId="2F5A699B">
            <w:pPr>
              <w:widowControl/>
              <w:spacing w:line="360" w:lineRule="auto"/>
              <w:jc w:val="center"/>
              <w:rPr>
                <w:rFonts w:ascii="宋体" w:hAnsi="宋体" w:cs="仿宋"/>
                <w:kern w:val="0"/>
                <w:sz w:val="24"/>
              </w:rPr>
            </w:pPr>
            <w:r>
              <w:rPr>
                <w:rFonts w:hint="eastAsia" w:ascii="宋体" w:hAnsi="宋体" w:cs="仿宋"/>
                <w:kern w:val="0"/>
                <w:sz w:val="24"/>
              </w:rPr>
              <w:t>≤75</w:t>
            </w:r>
          </w:p>
        </w:tc>
        <w:tc>
          <w:tcPr>
            <w:tcW w:w="992" w:type="dxa"/>
          </w:tcPr>
          <w:p w14:paraId="4387F7A8">
            <w:pPr>
              <w:widowControl/>
              <w:spacing w:line="360" w:lineRule="auto"/>
              <w:jc w:val="center"/>
              <w:rPr>
                <w:rFonts w:ascii="宋体" w:hAnsi="宋体" w:cs="仿宋"/>
                <w:kern w:val="0"/>
                <w:sz w:val="24"/>
              </w:rPr>
            </w:pPr>
            <w:r>
              <w:rPr>
                <w:rFonts w:hint="eastAsia" w:ascii="宋体" w:hAnsi="宋体" w:cs="仿宋"/>
                <w:kern w:val="0"/>
                <w:sz w:val="24"/>
              </w:rPr>
              <w:t>≤28</w:t>
            </w:r>
          </w:p>
        </w:tc>
        <w:tc>
          <w:tcPr>
            <w:tcW w:w="1225" w:type="dxa"/>
          </w:tcPr>
          <w:p w14:paraId="290262C8">
            <w:pPr>
              <w:widowControl/>
              <w:spacing w:line="360" w:lineRule="auto"/>
              <w:jc w:val="center"/>
              <w:rPr>
                <w:rFonts w:ascii="宋体" w:hAnsi="宋体" w:cs="仿宋"/>
                <w:kern w:val="0"/>
                <w:sz w:val="24"/>
              </w:rPr>
            </w:pPr>
            <w:r>
              <w:rPr>
                <w:rFonts w:hint="eastAsia" w:ascii="宋体" w:hAnsi="宋体" w:cs="仿宋"/>
                <w:kern w:val="0"/>
                <w:sz w:val="24"/>
              </w:rPr>
              <w:t>-</w:t>
            </w:r>
          </w:p>
        </w:tc>
        <w:tc>
          <w:tcPr>
            <w:tcW w:w="1326" w:type="dxa"/>
          </w:tcPr>
          <w:p w14:paraId="1B8A412E">
            <w:pPr>
              <w:widowControl/>
              <w:spacing w:line="360" w:lineRule="auto"/>
              <w:jc w:val="left"/>
              <w:rPr>
                <w:rFonts w:ascii="宋体" w:hAnsi="宋体" w:cs="仿宋"/>
                <w:kern w:val="0"/>
                <w:sz w:val="24"/>
              </w:rPr>
            </w:pPr>
            <w:r>
              <w:rPr>
                <w:rFonts w:hint="eastAsia" w:ascii="宋体" w:hAnsi="宋体" w:cs="仿宋"/>
                <w:kern w:val="0"/>
                <w:sz w:val="24"/>
              </w:rPr>
              <w:t>微正压</w:t>
            </w:r>
          </w:p>
        </w:tc>
      </w:tr>
    </w:tbl>
    <w:p w14:paraId="3C992E9A">
      <w:pPr>
        <w:pStyle w:val="8"/>
      </w:pPr>
    </w:p>
    <w:p w14:paraId="1500690F">
      <w:pPr>
        <w:pStyle w:val="5"/>
        <w:ind w:firstLine="480"/>
      </w:pPr>
      <w:r>
        <w:rPr>
          <w:rFonts w:hint="eastAsia"/>
        </w:rPr>
        <w:t>3.防排烟</w:t>
      </w:r>
    </w:p>
    <w:p w14:paraId="4D1D7176">
      <w:pPr>
        <w:spacing w:line="520" w:lineRule="exact"/>
        <w:ind w:firstLine="480" w:firstLineChars="200"/>
        <w:rPr>
          <w:rFonts w:ascii="宋体" w:hAnsi="宋体" w:cs="仿宋"/>
          <w:sz w:val="24"/>
        </w:rPr>
      </w:pPr>
      <w:r>
        <w:rPr>
          <w:rFonts w:hint="eastAsia" w:ascii="宋体" w:hAnsi="宋体" w:cs="仿宋"/>
          <w:sz w:val="24"/>
        </w:rPr>
        <w:t>防排烟系统设计遵循《建筑设计防火规范》（GB50016）和《建筑防排烟系统技术标准》（GB51251），具体设计方案及原则如下：</w:t>
      </w:r>
    </w:p>
    <w:p w14:paraId="3D5DA2DF">
      <w:pPr>
        <w:spacing w:line="520" w:lineRule="exact"/>
        <w:ind w:firstLine="480" w:firstLineChars="200"/>
        <w:rPr>
          <w:rFonts w:ascii="宋体" w:hAnsi="宋体" w:cs="仿宋"/>
          <w:sz w:val="24"/>
        </w:rPr>
      </w:pPr>
      <w:r>
        <w:rPr>
          <w:rFonts w:hint="eastAsia" w:ascii="宋体" w:hAnsi="宋体" w:cs="仿宋"/>
          <w:sz w:val="24"/>
        </w:rPr>
        <w:t>对车间中不具备自然排烟条件的防烟楼梯间设置机械加压送风防烟设施；</w:t>
      </w:r>
    </w:p>
    <w:p w14:paraId="50E99E5E">
      <w:pPr>
        <w:spacing w:line="520" w:lineRule="exact"/>
        <w:ind w:firstLine="480" w:firstLineChars="200"/>
        <w:rPr>
          <w:rFonts w:ascii="宋体" w:hAnsi="宋体" w:cs="仿宋"/>
          <w:sz w:val="24"/>
        </w:rPr>
      </w:pPr>
      <w:r>
        <w:rPr>
          <w:rFonts w:hint="eastAsia" w:ascii="宋体" w:hAnsi="宋体" w:cs="仿宋"/>
          <w:sz w:val="24"/>
        </w:rPr>
        <w:t>优先采用自然排烟，自然排烟无法达到要求时，采用机械排烟；</w:t>
      </w:r>
    </w:p>
    <w:p w14:paraId="7F9D0DDD">
      <w:pPr>
        <w:spacing w:line="520" w:lineRule="exact"/>
        <w:ind w:firstLine="480" w:firstLineChars="200"/>
        <w:rPr>
          <w:rFonts w:ascii="宋体" w:hAnsi="宋体" w:cs="仿宋"/>
          <w:sz w:val="24"/>
        </w:rPr>
      </w:pPr>
      <w:r>
        <w:rPr>
          <w:rFonts w:hint="eastAsia" w:ascii="宋体" w:hAnsi="宋体" w:cs="仿宋"/>
          <w:sz w:val="24"/>
        </w:rPr>
        <w:t>同一个防烟分区采用一种排烟方式；</w:t>
      </w:r>
    </w:p>
    <w:p w14:paraId="66885DAD">
      <w:pPr>
        <w:spacing w:line="520" w:lineRule="exact"/>
        <w:ind w:firstLine="480" w:firstLineChars="200"/>
        <w:rPr>
          <w:rFonts w:ascii="宋体" w:hAnsi="宋体" w:cs="仿宋"/>
          <w:sz w:val="24"/>
        </w:rPr>
      </w:pPr>
      <w:r>
        <w:rPr>
          <w:rFonts w:hint="eastAsia" w:ascii="宋体" w:hAnsi="宋体" w:cs="仿宋"/>
          <w:sz w:val="24"/>
        </w:rPr>
        <w:t>防排烟设计计算遵循《建筑防排烟系统技术标准》（GB51251）；</w:t>
      </w:r>
    </w:p>
    <w:p w14:paraId="20256238">
      <w:pPr>
        <w:spacing w:line="520" w:lineRule="exact"/>
        <w:ind w:firstLine="480" w:firstLineChars="200"/>
        <w:rPr>
          <w:rFonts w:ascii="宋体" w:hAnsi="宋体" w:cs="仿宋"/>
          <w:sz w:val="24"/>
        </w:rPr>
      </w:pPr>
      <w:r>
        <w:rPr>
          <w:rFonts w:hint="eastAsia" w:ascii="宋体" w:hAnsi="宋体" w:cs="仿宋"/>
          <w:sz w:val="24"/>
        </w:rPr>
        <w:t>排烟设备能在280℃的环境条件下连续工作不少于30min。</w:t>
      </w:r>
    </w:p>
    <w:p w14:paraId="295FFEE6">
      <w:pPr>
        <w:spacing w:line="520" w:lineRule="exact"/>
        <w:ind w:firstLine="480" w:firstLineChars="200"/>
        <w:rPr>
          <w:rFonts w:ascii="宋体" w:hAnsi="宋体" w:cs="仿宋"/>
          <w:sz w:val="24"/>
        </w:rPr>
      </w:pPr>
      <w:r>
        <w:rPr>
          <w:rFonts w:hint="eastAsia" w:ascii="宋体" w:hAnsi="宋体" w:cs="仿宋"/>
          <w:sz w:val="24"/>
        </w:rPr>
        <w:t>其他防火措施：</w:t>
      </w:r>
    </w:p>
    <w:p w14:paraId="412A2DAA">
      <w:pPr>
        <w:spacing w:line="520" w:lineRule="exact"/>
        <w:ind w:firstLine="480" w:firstLineChars="200"/>
        <w:rPr>
          <w:rFonts w:ascii="宋体" w:hAnsi="宋体" w:cs="仿宋"/>
          <w:sz w:val="24"/>
        </w:rPr>
      </w:pPr>
      <w:r>
        <w:rPr>
          <w:rFonts w:hint="eastAsia" w:ascii="宋体" w:hAnsi="宋体" w:cs="仿宋"/>
          <w:sz w:val="24"/>
        </w:rPr>
        <w:t>通风管道采用镀锌钢板不燃材料；</w:t>
      </w:r>
    </w:p>
    <w:p w14:paraId="630D3D15">
      <w:pPr>
        <w:spacing w:line="520" w:lineRule="exact"/>
        <w:ind w:firstLine="480" w:firstLineChars="200"/>
        <w:rPr>
          <w:rFonts w:ascii="宋体" w:hAnsi="宋体" w:cs="仿宋"/>
          <w:sz w:val="24"/>
        </w:rPr>
      </w:pPr>
      <w:r>
        <w:rPr>
          <w:rFonts w:hint="eastAsia" w:ascii="宋体" w:hAnsi="宋体" w:cs="仿宋"/>
          <w:sz w:val="24"/>
        </w:rPr>
        <w:t>暖通冷、热水管道、蒸汽及凝结水管道采用离心玻璃棉管壳保温，为A级不燃材料；空调送风、回风管、空调冷凝水管保温材料为难燃B1级柔性闭孔海绵橡塑泡沫，氧指数不小于32%；</w:t>
      </w:r>
    </w:p>
    <w:p w14:paraId="4C45ADA7">
      <w:pPr>
        <w:spacing w:line="520" w:lineRule="exact"/>
        <w:ind w:firstLine="480" w:firstLineChars="200"/>
        <w:rPr>
          <w:rFonts w:ascii="宋体" w:hAnsi="宋体" w:cs="仿宋"/>
          <w:sz w:val="24"/>
        </w:rPr>
      </w:pPr>
      <w:r>
        <w:rPr>
          <w:rFonts w:hint="eastAsia" w:ascii="宋体" w:hAnsi="宋体" w:cs="仿宋"/>
          <w:sz w:val="24"/>
        </w:rPr>
        <w:t>通风、空调风管穿越通风、空调机房及重要的或火灾危险性大的房间隔墙和楼板处均设置70℃防火阀；</w:t>
      </w:r>
    </w:p>
    <w:p w14:paraId="49169690">
      <w:pPr>
        <w:spacing w:line="520" w:lineRule="exact"/>
        <w:ind w:firstLine="480" w:firstLineChars="200"/>
        <w:rPr>
          <w:rFonts w:ascii="宋体" w:hAnsi="宋体" w:cs="仿宋"/>
          <w:sz w:val="24"/>
        </w:rPr>
      </w:pPr>
      <w:r>
        <w:rPr>
          <w:rFonts w:hint="eastAsia" w:ascii="宋体" w:hAnsi="宋体" w:cs="仿宋"/>
          <w:sz w:val="24"/>
        </w:rPr>
        <w:t>当管道（线）穿过防火墙时，采用不燃烧材料将孔洞周围的空隙紧密填塞。</w:t>
      </w:r>
    </w:p>
    <w:p w14:paraId="5DA52C5A">
      <w:pPr>
        <w:pStyle w:val="35"/>
        <w:numPr>
          <w:ilvl w:val="0"/>
          <w:numId w:val="0"/>
        </w:numPr>
        <w:jc w:val="left"/>
        <w:rPr>
          <w:rFonts w:ascii="宋体" w:hAnsi="宋体" w:cs="仿宋"/>
          <w:sz w:val="24"/>
        </w:rPr>
      </w:pPr>
    </w:p>
    <w:p w14:paraId="1519EFCA">
      <w:pPr>
        <w:pStyle w:val="2"/>
      </w:pPr>
      <w:bookmarkStart w:id="409" w:name="_Toc10519"/>
      <w:bookmarkStart w:id="410" w:name="_Toc28994"/>
      <w:bookmarkStart w:id="411" w:name="_Toc5262"/>
      <w:bookmarkStart w:id="412" w:name="_Toc142184261"/>
      <w:bookmarkStart w:id="413" w:name="_Toc438214238"/>
      <w:bookmarkStart w:id="414" w:name="_Toc7632"/>
      <w:bookmarkStart w:id="415" w:name="_Toc38369157"/>
      <w:r>
        <w:rPr>
          <w:rFonts w:hint="eastAsia"/>
        </w:rPr>
        <w:t>三 节能、节水措施</w:t>
      </w:r>
      <w:bookmarkEnd w:id="409"/>
      <w:bookmarkEnd w:id="410"/>
      <w:bookmarkEnd w:id="411"/>
    </w:p>
    <w:p w14:paraId="1FD54307">
      <w:pPr>
        <w:pStyle w:val="3"/>
        <w:spacing w:before="156" w:after="156"/>
        <w:ind w:firstLine="281"/>
      </w:pPr>
      <w:bookmarkStart w:id="416" w:name="_Toc10219"/>
      <w:bookmarkStart w:id="417" w:name="_Toc30294"/>
      <w:bookmarkStart w:id="418" w:name="_Toc15235"/>
      <w:r>
        <w:rPr>
          <w:rFonts w:hint="eastAsia" w:ascii="宋体" w:hAnsi="宋体" w:cs="宋体"/>
        </w:rPr>
        <w:t xml:space="preserve">1 </w:t>
      </w:r>
      <w:r>
        <w:rPr>
          <w:rFonts w:hint="eastAsia"/>
        </w:rPr>
        <w:t>节能措施</w:t>
      </w:r>
      <w:bookmarkEnd w:id="412"/>
      <w:bookmarkEnd w:id="413"/>
      <w:bookmarkEnd w:id="414"/>
      <w:bookmarkEnd w:id="415"/>
      <w:bookmarkEnd w:id="416"/>
      <w:bookmarkEnd w:id="417"/>
      <w:bookmarkEnd w:id="418"/>
    </w:p>
    <w:p w14:paraId="20F7F776">
      <w:pPr>
        <w:spacing w:line="520" w:lineRule="exact"/>
        <w:ind w:firstLine="480" w:firstLineChars="200"/>
        <w:rPr>
          <w:rFonts w:ascii="宋体" w:hAnsi="宋体" w:cs="仿宋"/>
          <w:sz w:val="24"/>
        </w:rPr>
      </w:pPr>
      <w:r>
        <w:rPr>
          <w:rFonts w:hint="eastAsia" w:ascii="宋体" w:hAnsi="宋体" w:cs="仿宋"/>
          <w:sz w:val="24"/>
        </w:rPr>
        <w:t>根据国家、行业及地方政府对项目建设的要求，本项目拟采用国外先进技术和引进关键设备，国内配套设备部分均采用节能设备，力求从各个方面降低能耗物耗，执行国家节能政策，取得更好的经济效益。</w:t>
      </w:r>
    </w:p>
    <w:p w14:paraId="532A03B0">
      <w:pPr>
        <w:pStyle w:val="5"/>
        <w:ind w:firstLine="480"/>
      </w:pPr>
      <w:r>
        <w:rPr>
          <w:rFonts w:hint="eastAsia"/>
        </w:rPr>
        <w:t>1.1用能标准</w:t>
      </w:r>
    </w:p>
    <w:p w14:paraId="3CB10ED6">
      <w:pPr>
        <w:spacing w:line="520" w:lineRule="exact"/>
        <w:ind w:firstLine="480" w:firstLineChars="200"/>
        <w:rPr>
          <w:rFonts w:ascii="宋体" w:hAnsi="宋体" w:cs="仿宋"/>
          <w:sz w:val="24"/>
        </w:rPr>
      </w:pPr>
      <w:r>
        <w:rPr>
          <w:rFonts w:hint="eastAsia" w:ascii="宋体" w:hAnsi="宋体" w:cs="仿宋"/>
          <w:sz w:val="24"/>
        </w:rPr>
        <w:t>根据国家发展和改革委员会2015年4月15颁布的《制浆造纸行业清洁生产评价指标体系》规定：</w:t>
      </w:r>
    </w:p>
    <w:p w14:paraId="414195D5">
      <w:pPr>
        <w:spacing w:line="520" w:lineRule="exact"/>
        <w:ind w:firstLine="480" w:firstLineChars="200"/>
        <w:rPr>
          <w:rFonts w:ascii="宋体" w:hAnsi="宋体" w:cs="仿宋"/>
          <w:sz w:val="24"/>
        </w:rPr>
      </w:pPr>
      <w:r>
        <w:rPr>
          <w:rFonts w:hint="eastAsia" w:ascii="宋体" w:hAnsi="宋体" w:cs="仿宋"/>
          <w:sz w:val="24"/>
        </w:rPr>
        <w:t>单位产品能源消耗限额根据《制浆造纸单位产品能源消耗限额》（GB31825-2015）标准的规定。</w:t>
      </w:r>
    </w:p>
    <w:p w14:paraId="5F1E3673">
      <w:pPr>
        <w:pStyle w:val="5"/>
        <w:ind w:firstLine="480"/>
      </w:pPr>
      <w:bookmarkStart w:id="419" w:name="_Toc432492011"/>
      <w:r>
        <w:rPr>
          <w:rFonts w:hint="eastAsia"/>
        </w:rPr>
        <w:t>1.2节能设计标准及规范</w:t>
      </w:r>
      <w:bookmarkEnd w:id="419"/>
    </w:p>
    <w:p w14:paraId="34B80935">
      <w:pPr>
        <w:pStyle w:val="23"/>
        <w:ind w:firstLine="720"/>
        <w:rPr>
          <w:rFonts w:hint="default"/>
        </w:rPr>
      </w:pPr>
      <w:r>
        <w:t>《中华人民共和国节约能源法》（2016年7月修正版）；</w:t>
      </w:r>
    </w:p>
    <w:p w14:paraId="6A1A5385">
      <w:pPr>
        <w:pStyle w:val="23"/>
        <w:ind w:firstLine="720"/>
        <w:rPr>
          <w:rFonts w:hint="default"/>
        </w:rPr>
      </w:pPr>
      <w:r>
        <w:t xml:space="preserve">《中华人民共和国清洁生产促进法》（2016年5月修订版）； </w:t>
      </w:r>
    </w:p>
    <w:p w14:paraId="6543A2E8">
      <w:pPr>
        <w:pStyle w:val="23"/>
        <w:ind w:firstLine="720"/>
        <w:rPr>
          <w:rFonts w:hint="default"/>
        </w:rPr>
      </w:pPr>
      <w:r>
        <w:t>《国务院关于加强节能工作的决定》（国发[2006]28号）；</w:t>
      </w:r>
    </w:p>
    <w:p w14:paraId="42854E87">
      <w:pPr>
        <w:pStyle w:val="23"/>
        <w:ind w:firstLine="720"/>
        <w:rPr>
          <w:rFonts w:hint="default"/>
        </w:rPr>
      </w:pPr>
      <w:r>
        <w:t>《造纸产业发展政策》（国家发改委2007年第71号公告）；</w:t>
      </w:r>
    </w:p>
    <w:p w14:paraId="660EB355">
      <w:pPr>
        <w:pStyle w:val="23"/>
        <w:ind w:firstLine="720"/>
        <w:rPr>
          <w:rFonts w:hint="default"/>
        </w:rPr>
      </w:pPr>
      <w:r>
        <w:t>《节能中长期专项规划》（发改环资[2004]2505号）；</w:t>
      </w:r>
    </w:p>
    <w:p w14:paraId="4500B0D4">
      <w:pPr>
        <w:pStyle w:val="23"/>
        <w:ind w:firstLine="720"/>
        <w:rPr>
          <w:rFonts w:hint="default"/>
        </w:rPr>
      </w:pPr>
      <w:r>
        <w:t>《重点用能单位节能管理办法》（原国家经贸委令第7号）；</w:t>
      </w:r>
    </w:p>
    <w:p w14:paraId="11A40320">
      <w:pPr>
        <w:pStyle w:val="23"/>
        <w:ind w:firstLine="720"/>
        <w:rPr>
          <w:rFonts w:hint="default"/>
        </w:rPr>
      </w:pPr>
      <w:r>
        <w:t>《固定资产投资项目节能审查办法》（发改委[2016]第44号）；</w:t>
      </w:r>
    </w:p>
    <w:p w14:paraId="3DFB1879">
      <w:pPr>
        <w:pStyle w:val="23"/>
        <w:ind w:left="720" w:firstLine="0" w:firstLineChars="0"/>
        <w:rPr>
          <w:rFonts w:hint="default"/>
        </w:rPr>
      </w:pPr>
      <w:r>
        <w:t>《制浆造纸行业清洁生产评价指标体系》（国家发改委、环保部、工信部2015年4月15日发布）；</w:t>
      </w:r>
    </w:p>
    <w:p w14:paraId="2A8BF210">
      <w:pPr>
        <w:pStyle w:val="23"/>
        <w:ind w:firstLine="720"/>
        <w:rPr>
          <w:rFonts w:hint="default"/>
        </w:rPr>
      </w:pPr>
      <w:r>
        <w:t>《制浆造纸单位产品能源消耗限额》GB31825-2015；</w:t>
      </w:r>
    </w:p>
    <w:p w14:paraId="4CB04DC1">
      <w:pPr>
        <w:pStyle w:val="23"/>
        <w:ind w:firstLine="720"/>
        <w:rPr>
          <w:rFonts w:hint="default" w:cs="仿宋"/>
        </w:rPr>
      </w:pPr>
      <w:r>
        <w:t>《综合能耗计算通则》GB/T 2589－2008中华人民共和国国家标准。</w:t>
      </w:r>
    </w:p>
    <w:p w14:paraId="3639A053">
      <w:pPr>
        <w:pStyle w:val="5"/>
        <w:ind w:firstLine="480"/>
      </w:pPr>
      <w:r>
        <w:rPr>
          <w:rFonts w:hint="eastAsia"/>
        </w:rPr>
        <w:t>1.3节能措施</w:t>
      </w:r>
    </w:p>
    <w:p w14:paraId="1A0E8DCD">
      <w:pPr>
        <w:pStyle w:val="23"/>
        <w:ind w:firstLine="720"/>
        <w:rPr>
          <w:rFonts w:hint="default"/>
        </w:rPr>
      </w:pPr>
      <w:r>
        <w:t>1.3.1 工艺节能措施</w:t>
      </w:r>
    </w:p>
    <w:p w14:paraId="11ABE2F7">
      <w:pPr>
        <w:pStyle w:val="32"/>
        <w:ind w:left="960" w:firstLine="240" w:firstLineChars="100"/>
        <w:rPr>
          <w:rFonts w:hint="default"/>
        </w:rPr>
      </w:pPr>
      <w:r>
        <w:t>本项目以商品竹片为纤维原料，采用目前国内外先进成熟的生产工艺技术和设备，生产硫酸盐法未漂竹浆供本厂造纸生产线使用，依靠技术进步实现节能。主要节能措施如下：</w:t>
      </w:r>
    </w:p>
    <w:p w14:paraId="3029F75C">
      <w:pPr>
        <w:pStyle w:val="32"/>
        <w:ind w:left="1260" w:hanging="300" w:firstLineChars="0"/>
        <w:rPr>
          <w:rFonts w:hint="default"/>
        </w:rPr>
      </w:pPr>
      <w:r>
        <w:t>a.</w:t>
      </w:r>
      <w:r>
        <w:tab/>
      </w:r>
      <w:r>
        <w:t>总图布置上工艺流程流畅、短捷，生产车间采取紧凑布置，减少输送管路长度和车间内部运输距离；</w:t>
      </w:r>
    </w:p>
    <w:p w14:paraId="59814A67">
      <w:pPr>
        <w:pStyle w:val="32"/>
        <w:ind w:left="1260" w:hanging="300" w:firstLineChars="0"/>
        <w:rPr>
          <w:rFonts w:hint="default"/>
        </w:rPr>
      </w:pPr>
      <w:r>
        <w:t>b.</w:t>
      </w:r>
      <w:r>
        <w:tab/>
      </w:r>
      <w:r>
        <w:t>准确进行负荷平衡、热平衡、水平衡和物料平衡方面的计算，使所选设备及其能力与生产规模一致；</w:t>
      </w:r>
    </w:p>
    <w:p w14:paraId="6CE49C19">
      <w:pPr>
        <w:pStyle w:val="32"/>
        <w:ind w:firstLine="960"/>
        <w:rPr>
          <w:rFonts w:hint="default"/>
        </w:rPr>
      </w:pPr>
      <w:r>
        <w:t>c.</w:t>
      </w:r>
      <w:r>
        <w:tab/>
      </w:r>
      <w:r>
        <w:t>选用高效节能产品和新型保温材料；</w:t>
      </w:r>
    </w:p>
    <w:p w14:paraId="0F5A88E6">
      <w:pPr>
        <w:pStyle w:val="32"/>
        <w:ind w:firstLine="960"/>
        <w:rPr>
          <w:rFonts w:hint="default"/>
        </w:rPr>
      </w:pPr>
      <w:r>
        <w:t>g.</w:t>
      </w:r>
      <w:r>
        <w:tab/>
      </w:r>
      <w:r>
        <w:t>工艺全过程的高度自动化、完善的质量过程检测、工艺参数的调节控制系统；</w:t>
      </w:r>
    </w:p>
    <w:p w14:paraId="3AF620A4">
      <w:pPr>
        <w:pStyle w:val="32"/>
        <w:ind w:firstLine="960"/>
        <w:rPr>
          <w:rFonts w:hint="default"/>
        </w:rPr>
      </w:pPr>
      <w:r>
        <w:t>h.</w:t>
      </w:r>
      <w:r>
        <w:tab/>
      </w:r>
      <w:r>
        <w:t>安装计量监测仪记录数据。</w:t>
      </w:r>
    </w:p>
    <w:p w14:paraId="6D3413D2">
      <w:pPr>
        <w:pStyle w:val="32"/>
        <w:ind w:firstLine="960"/>
        <w:rPr>
          <w:rFonts w:hint="default"/>
        </w:rPr>
      </w:pPr>
      <w:r>
        <w:t>1.3.2 电力系统节能措施</w:t>
      </w:r>
    </w:p>
    <w:p w14:paraId="18AFC7D0">
      <w:pPr>
        <w:pStyle w:val="32"/>
        <w:ind w:firstLine="960"/>
        <w:rPr>
          <w:rFonts w:hint="default"/>
        </w:rPr>
      </w:pPr>
      <w:r>
        <w:t>a.</w:t>
      </w:r>
      <w:r>
        <w:tab/>
      </w:r>
      <w:r>
        <w:t>配</w:t>
      </w:r>
      <w:r>
        <w:rPr>
          <w:lang w:val="en-US"/>
        </w:rPr>
        <w:t>置</w:t>
      </w:r>
      <w:r>
        <w:t>适当的S</w:t>
      </w:r>
      <w:r>
        <w:rPr>
          <w:rFonts w:hint="default"/>
        </w:rPr>
        <w:t>VG</w:t>
      </w:r>
      <w:r>
        <w:t>进行无功功率补偿，平均功率因数大于0.9</w:t>
      </w:r>
      <w:r>
        <w:rPr>
          <w:rFonts w:hint="default"/>
          <w:lang w:val="en-US"/>
        </w:rPr>
        <w:t>5</w:t>
      </w:r>
      <w:r>
        <w:rPr>
          <w:lang w:val="en-US"/>
        </w:rPr>
        <w:t>；</w:t>
      </w:r>
    </w:p>
    <w:p w14:paraId="37614256">
      <w:pPr>
        <w:pStyle w:val="32"/>
        <w:ind w:firstLine="960"/>
        <w:rPr>
          <w:rFonts w:hint="default"/>
          <w:lang w:val="en-US"/>
        </w:rPr>
      </w:pPr>
      <w:r>
        <w:t>b.</w:t>
      </w:r>
      <w:r>
        <w:tab/>
      </w:r>
      <w:r>
        <w:t>主要生产厂房大量采用</w:t>
      </w:r>
      <w:r>
        <w:rPr>
          <w:lang w:val="en-US"/>
        </w:rPr>
        <w:t>LED</w:t>
      </w:r>
      <w:r>
        <w:t>灯照明；</w:t>
      </w:r>
    </w:p>
    <w:p w14:paraId="5DD97A7E">
      <w:pPr>
        <w:pStyle w:val="32"/>
        <w:ind w:left="1260" w:hanging="300" w:firstLineChars="0"/>
        <w:rPr>
          <w:rFonts w:hint="default"/>
        </w:rPr>
      </w:pPr>
      <w:r>
        <w:t>c.</w:t>
      </w:r>
      <w:r>
        <w:tab/>
      </w:r>
      <w:r>
        <w:t>较大功率的电动机，选用6kV电压直供电；电力变压器等电力设备选用S</w:t>
      </w:r>
      <w:r>
        <w:rPr>
          <w:rFonts w:hint="default"/>
        </w:rPr>
        <w:t>20</w:t>
      </w:r>
      <w:r>
        <w:t>及以上节能型号；</w:t>
      </w:r>
    </w:p>
    <w:p w14:paraId="47377BE2">
      <w:pPr>
        <w:pStyle w:val="32"/>
        <w:ind w:firstLine="960"/>
        <w:rPr>
          <w:rFonts w:hint="default"/>
        </w:rPr>
      </w:pPr>
      <w:r>
        <w:t>d.</w:t>
      </w:r>
      <w:r>
        <w:tab/>
      </w:r>
      <w:r>
        <w:t>低压配电室布置在用电负荷中心位置，负荷变化大的电动机采用变频控制；</w:t>
      </w:r>
    </w:p>
    <w:p w14:paraId="1C329501">
      <w:pPr>
        <w:pStyle w:val="23"/>
        <w:ind w:firstLine="720"/>
        <w:rPr>
          <w:rFonts w:hint="default"/>
        </w:rPr>
      </w:pPr>
      <w:r>
        <w:t>1.3.3 总图、建筑节能</w:t>
      </w:r>
    </w:p>
    <w:p w14:paraId="3C70CBBD">
      <w:pPr>
        <w:pStyle w:val="32"/>
        <w:ind w:firstLine="1200" w:firstLineChars="500"/>
        <w:rPr>
          <w:rFonts w:hint="default"/>
        </w:rPr>
      </w:pPr>
      <w:r>
        <w:t>建筑设计充分满足夏季防热、冬季保暖的要求。</w:t>
      </w:r>
    </w:p>
    <w:p w14:paraId="6A5974EC">
      <w:pPr>
        <w:pStyle w:val="32"/>
        <w:ind w:firstLine="960"/>
        <w:rPr>
          <w:rFonts w:hint="default"/>
        </w:rPr>
      </w:pPr>
      <w:r>
        <w:t>a.</w:t>
      </w:r>
      <w:r>
        <w:tab/>
      </w:r>
      <w:r>
        <w:t>总平面设计尽量保证主要建筑物较多的日照；</w:t>
      </w:r>
    </w:p>
    <w:p w14:paraId="44DDD2E9">
      <w:pPr>
        <w:pStyle w:val="32"/>
        <w:ind w:left="1260" w:hanging="300" w:firstLineChars="0"/>
        <w:rPr>
          <w:rFonts w:hint="default"/>
        </w:rPr>
      </w:pPr>
      <w:r>
        <w:t>b.</w:t>
      </w:r>
      <w:r>
        <w:tab/>
      </w:r>
      <w:r>
        <w:t>建筑平、立面设计规整，凹凸面不多，以减少外表面积，减小体型系数。</w:t>
      </w:r>
    </w:p>
    <w:p w14:paraId="5B482C57">
      <w:pPr>
        <w:pStyle w:val="32"/>
        <w:ind w:left="1260" w:hanging="300" w:firstLineChars="0"/>
        <w:rPr>
          <w:rFonts w:hint="default"/>
        </w:rPr>
      </w:pPr>
      <w:r>
        <w:t>c.</w:t>
      </w:r>
      <w:r>
        <w:tab/>
      </w:r>
      <w:r>
        <w:t>建筑外窗在满足采光要求的前提下，尽量减少开窗面积，选用质量可靠的塑钢窗，减少窗户缝隙长度；</w:t>
      </w:r>
    </w:p>
    <w:p w14:paraId="49785862">
      <w:pPr>
        <w:pStyle w:val="32"/>
        <w:ind w:left="1260" w:hanging="300" w:firstLineChars="0"/>
        <w:rPr>
          <w:rFonts w:hint="default"/>
        </w:rPr>
      </w:pPr>
      <w:r>
        <w:t>d.</w:t>
      </w:r>
      <w:r>
        <w:tab/>
      </w:r>
      <w:r>
        <w:t>建筑外墙和屋面在施工图设计阶段进行验算，以保证传热阻大于当地节能部门要求的最小传热阻，并重点处理好柱、梁嵌入处、散热器、管道嵌入的地方及伸缩缝等有可能产生热桥的部位。屋面保温材料采用质量可靠的预制保温隔热板。</w:t>
      </w:r>
    </w:p>
    <w:p w14:paraId="6EBECCE9">
      <w:pPr>
        <w:pStyle w:val="3"/>
        <w:spacing w:before="156" w:after="156"/>
        <w:ind w:firstLine="281"/>
      </w:pPr>
      <w:bookmarkStart w:id="420" w:name="_Toc438214239"/>
      <w:bookmarkStart w:id="421" w:name="_Toc21070"/>
      <w:bookmarkStart w:id="422" w:name="_Toc404"/>
      <w:bookmarkStart w:id="423" w:name="_Toc38369158"/>
      <w:bookmarkStart w:id="424" w:name="_Toc7760"/>
      <w:bookmarkStart w:id="425" w:name="_Toc51313870"/>
      <w:bookmarkStart w:id="426" w:name="_Toc4004"/>
      <w:r>
        <w:rPr>
          <w:rFonts w:hint="eastAsia" w:ascii="宋体" w:hAnsi="宋体" w:cs="宋体"/>
        </w:rPr>
        <w:t>2</w:t>
      </w:r>
      <w:r>
        <w:rPr>
          <w:rFonts w:hint="eastAsia"/>
        </w:rPr>
        <w:t xml:space="preserve"> 节水措施</w:t>
      </w:r>
      <w:bookmarkEnd w:id="420"/>
      <w:bookmarkEnd w:id="421"/>
      <w:bookmarkEnd w:id="422"/>
      <w:bookmarkEnd w:id="423"/>
      <w:bookmarkEnd w:id="424"/>
      <w:bookmarkEnd w:id="425"/>
      <w:bookmarkEnd w:id="426"/>
    </w:p>
    <w:p w14:paraId="5C639010">
      <w:pPr>
        <w:pStyle w:val="5"/>
        <w:ind w:firstLine="480"/>
      </w:pPr>
      <w:r>
        <w:rPr>
          <w:rFonts w:hint="eastAsia"/>
        </w:rPr>
        <w:t>2.1 工艺节水</w:t>
      </w:r>
    </w:p>
    <w:p w14:paraId="4008A29A">
      <w:pPr>
        <w:pStyle w:val="23"/>
        <w:ind w:firstLine="960" w:firstLineChars="400"/>
        <w:rPr>
          <w:rFonts w:hint="default"/>
        </w:rPr>
      </w:pPr>
      <w:r>
        <w:t>本项目在工艺流程和设备选型上采取以下措施：</w:t>
      </w:r>
    </w:p>
    <w:p w14:paraId="43A7C922">
      <w:pPr>
        <w:pStyle w:val="23"/>
        <w:ind w:firstLine="960" w:firstLineChars="400"/>
        <w:rPr>
          <w:rFonts w:hint="default"/>
        </w:rPr>
      </w:pPr>
      <w:r>
        <w:t>化学浆车间采用封闭筛选、逆流洗涤技术，蒸发车间的轻污冷凝水洗浆；</w:t>
      </w:r>
    </w:p>
    <w:p w14:paraId="4D2F3FF3">
      <w:pPr>
        <w:pStyle w:val="5"/>
        <w:ind w:firstLine="480"/>
      </w:pPr>
      <w:r>
        <w:rPr>
          <w:rFonts w:hint="eastAsia"/>
        </w:rPr>
        <w:t>2.2循环回收用水</w:t>
      </w:r>
    </w:p>
    <w:p w14:paraId="236F85D0">
      <w:pPr>
        <w:pStyle w:val="5"/>
        <w:ind w:firstLine="480"/>
      </w:pPr>
      <w:r>
        <w:rPr>
          <w:rFonts w:hint="eastAsia"/>
        </w:rPr>
        <w:t>2.3安装流量计量设备</w:t>
      </w:r>
    </w:p>
    <w:p w14:paraId="6AFB4DD6">
      <w:pPr>
        <w:pStyle w:val="23"/>
        <w:ind w:left="720" w:firstLine="0" w:firstLineChars="0"/>
        <w:rPr>
          <w:rFonts w:hint="default"/>
        </w:rPr>
      </w:pPr>
      <w:r>
        <w:t>厂区向各车间的清水供水管网，在各车间生产用水进水管接入点设电磁流量计，用于核算各工艺车间清水消耗。</w:t>
      </w:r>
    </w:p>
    <w:p w14:paraId="06044C73">
      <w:pPr>
        <w:pStyle w:val="35"/>
        <w:numPr>
          <w:ilvl w:val="0"/>
          <w:numId w:val="0"/>
        </w:numPr>
        <w:jc w:val="center"/>
        <w:rPr>
          <w:rFonts w:ascii="仿宋" w:hAnsi="Times New Roman" w:eastAsia="仿宋"/>
          <w:b/>
          <w:bCs/>
          <w:kern w:val="0"/>
          <w:szCs w:val="20"/>
        </w:rPr>
      </w:pPr>
    </w:p>
    <w:p w14:paraId="0D425485"/>
    <w:p w14:paraId="6CD94D3C">
      <w:r>
        <w:rPr>
          <w:rFonts w:hint="eastAsia"/>
        </w:rPr>
        <w:br w:type="page"/>
      </w:r>
    </w:p>
    <w:p w14:paraId="5C57D109">
      <w:pPr>
        <w:jc w:val="center"/>
        <w:rPr>
          <w:rFonts w:ascii="宋体" w:hAnsi="宋体"/>
          <w:b/>
          <w:sz w:val="52"/>
          <w:szCs w:val="52"/>
        </w:rPr>
      </w:pPr>
    </w:p>
    <w:p w14:paraId="124F0BFF">
      <w:pPr>
        <w:jc w:val="center"/>
        <w:rPr>
          <w:rFonts w:ascii="宋体" w:hAnsi="宋体"/>
          <w:b/>
          <w:sz w:val="44"/>
          <w:szCs w:val="44"/>
        </w:rPr>
      </w:pPr>
      <w:r>
        <w:rPr>
          <w:rFonts w:hint="eastAsia" w:ascii="宋体" w:hAnsi="宋体"/>
          <w:b/>
          <w:sz w:val="44"/>
          <w:szCs w:val="44"/>
        </w:rPr>
        <w:t>年产50万吨食品包装原纸技改工程变更项目</w:t>
      </w:r>
    </w:p>
    <w:p w14:paraId="1912B78C">
      <w:pPr>
        <w:jc w:val="center"/>
        <w:rPr>
          <w:rFonts w:ascii="宋体" w:hAnsi="宋体"/>
          <w:b/>
          <w:sz w:val="44"/>
          <w:szCs w:val="44"/>
        </w:rPr>
      </w:pPr>
      <w:r>
        <w:rPr>
          <w:rFonts w:hint="eastAsia" w:ascii="宋体" w:hAnsi="宋体"/>
          <w:b/>
          <w:sz w:val="44"/>
          <w:szCs w:val="44"/>
        </w:rPr>
        <w:t>（年产20万吨竹浆技改项目）</w:t>
      </w:r>
    </w:p>
    <w:p w14:paraId="26F834D4">
      <w:pPr>
        <w:jc w:val="center"/>
        <w:rPr>
          <w:rFonts w:ascii="宋体" w:hAnsi="宋体"/>
          <w:b/>
          <w:sz w:val="44"/>
          <w:szCs w:val="44"/>
        </w:rPr>
      </w:pPr>
      <w:r>
        <w:rPr>
          <w:rFonts w:hint="eastAsia" w:ascii="宋体" w:hAnsi="宋体"/>
          <w:b/>
          <w:sz w:val="44"/>
          <w:szCs w:val="44"/>
        </w:rPr>
        <w:t>EPC工程总承包</w:t>
      </w:r>
    </w:p>
    <w:p w14:paraId="7527C56D">
      <w:pPr>
        <w:jc w:val="center"/>
        <w:rPr>
          <w:rFonts w:ascii="宋体" w:hAnsi="宋体"/>
          <w:b/>
          <w:sz w:val="44"/>
          <w:szCs w:val="44"/>
          <w:lang w:bidi="he-IL"/>
        </w:rPr>
      </w:pPr>
      <w:r>
        <w:rPr>
          <w:rFonts w:hint="eastAsia" w:ascii="宋体" w:hAnsi="宋体"/>
          <w:b/>
          <w:sz w:val="44"/>
          <w:szCs w:val="44"/>
          <w:lang w:bidi="he-IL"/>
        </w:rPr>
        <w:t>技术协议书</w:t>
      </w:r>
    </w:p>
    <w:p w14:paraId="5A4E9F30">
      <w:pPr>
        <w:spacing w:line="240" w:lineRule="atLeast"/>
        <w:jc w:val="center"/>
        <w:rPr>
          <w:sz w:val="44"/>
          <w:szCs w:val="44"/>
        </w:rPr>
      </w:pPr>
      <w:r>
        <w:rPr>
          <w:rFonts w:hint="eastAsia" w:asciiTheme="minorEastAsia" w:hAnsiTheme="minorEastAsia" w:eastAsiaTheme="minorEastAsia" w:cstheme="minorEastAsia"/>
          <w:b/>
          <w:sz w:val="44"/>
          <w:szCs w:val="44"/>
        </w:rPr>
        <w:t>第八篇</w:t>
      </w:r>
    </w:p>
    <w:p w14:paraId="613AC74D">
      <w:pPr>
        <w:spacing w:line="240" w:lineRule="atLeast"/>
        <w:jc w:val="center"/>
        <w:outlineLvl w:val="0"/>
        <w:rPr>
          <w:rFonts w:asciiTheme="minorEastAsia" w:hAnsiTheme="minorEastAsia" w:eastAsiaTheme="minorEastAsia" w:cstheme="minorEastAsia"/>
          <w:b/>
          <w:sz w:val="44"/>
          <w:szCs w:val="44"/>
        </w:rPr>
      </w:pPr>
      <w:bookmarkStart w:id="427" w:name="_Toc19781"/>
      <w:bookmarkStart w:id="428" w:name="_Toc19671"/>
      <w:bookmarkStart w:id="429" w:name="_Toc2462"/>
      <w:r>
        <w:rPr>
          <w:rFonts w:hint="eastAsia" w:asciiTheme="minorEastAsia" w:hAnsiTheme="minorEastAsia" w:eastAsiaTheme="minorEastAsia" w:cstheme="minorEastAsia"/>
          <w:b/>
          <w:sz w:val="44"/>
          <w:szCs w:val="44"/>
        </w:rPr>
        <w:t>«相关规范标准»部分</w:t>
      </w:r>
      <w:bookmarkEnd w:id="427"/>
      <w:bookmarkEnd w:id="428"/>
      <w:bookmarkEnd w:id="429"/>
    </w:p>
    <w:p w14:paraId="31E31976">
      <w:pPr>
        <w:spacing w:line="480" w:lineRule="auto"/>
        <w:jc w:val="center"/>
        <w:rPr>
          <w:rFonts w:ascii="Times New Roman" w:hAnsi="Times New Roman"/>
          <w:b/>
          <w:sz w:val="52"/>
          <w:szCs w:val="52"/>
        </w:rPr>
      </w:pPr>
    </w:p>
    <w:p w14:paraId="19273C03">
      <w:pPr>
        <w:spacing w:line="480" w:lineRule="auto"/>
        <w:jc w:val="center"/>
        <w:rPr>
          <w:rFonts w:ascii="Times New Roman" w:hAnsi="Times New Roman"/>
          <w:b/>
          <w:sz w:val="52"/>
          <w:szCs w:val="52"/>
        </w:rPr>
      </w:pPr>
    </w:p>
    <w:p w14:paraId="25BC8B97">
      <w:pPr>
        <w:spacing w:line="480" w:lineRule="auto"/>
        <w:jc w:val="center"/>
        <w:rPr>
          <w:rFonts w:ascii="Times New Roman" w:hAnsi="Times New Roman"/>
          <w:b/>
          <w:sz w:val="52"/>
          <w:szCs w:val="52"/>
        </w:rPr>
      </w:pPr>
    </w:p>
    <w:p w14:paraId="6E9E18F6">
      <w:pPr>
        <w:spacing w:line="480" w:lineRule="auto"/>
        <w:rPr>
          <w:rFonts w:ascii="Times New Roman" w:hAnsi="Times New Roman"/>
          <w:b/>
          <w:sz w:val="52"/>
          <w:szCs w:val="52"/>
        </w:rPr>
      </w:pPr>
    </w:p>
    <w:p w14:paraId="6B484810">
      <w:pPr>
        <w:spacing w:line="480" w:lineRule="auto"/>
        <w:rPr>
          <w:rFonts w:ascii="Times New Roman" w:hAnsi="Times New Roman"/>
          <w:b/>
          <w:sz w:val="72"/>
          <w:szCs w:val="72"/>
        </w:rPr>
      </w:pPr>
    </w:p>
    <w:p w14:paraId="6D778E73">
      <w:pPr>
        <w:spacing w:line="500" w:lineRule="exact"/>
        <w:rPr>
          <w:rFonts w:ascii="Times New Roman" w:hAnsi="Times New Roman"/>
          <w:szCs w:val="28"/>
        </w:rPr>
      </w:pPr>
    </w:p>
    <w:p w14:paraId="345CE6DB">
      <w:pPr>
        <w:spacing w:line="500" w:lineRule="exact"/>
        <w:rPr>
          <w:rFonts w:ascii="Times New Roman" w:hAnsi="Times New Roman"/>
          <w:szCs w:val="28"/>
        </w:rPr>
      </w:pPr>
    </w:p>
    <w:p w14:paraId="78AFD60D">
      <w:pPr>
        <w:spacing w:line="500" w:lineRule="exact"/>
        <w:rPr>
          <w:rFonts w:ascii="Times New Roman" w:hAnsi="Times New Roman"/>
          <w:szCs w:val="28"/>
        </w:rPr>
      </w:pPr>
    </w:p>
    <w:p w14:paraId="50411436">
      <w:pPr>
        <w:spacing w:line="500" w:lineRule="exact"/>
        <w:rPr>
          <w:rFonts w:ascii="Times New Roman" w:hAnsi="Times New Roman"/>
          <w:szCs w:val="28"/>
        </w:rPr>
      </w:pPr>
    </w:p>
    <w:p w14:paraId="231EED9F">
      <w:pPr>
        <w:spacing w:line="500" w:lineRule="exact"/>
        <w:rPr>
          <w:rFonts w:ascii="Times New Roman" w:hAnsi="Times New Roman"/>
          <w:szCs w:val="28"/>
        </w:rPr>
      </w:pPr>
    </w:p>
    <w:p w14:paraId="39DAD1A3">
      <w:pPr>
        <w:spacing w:line="500" w:lineRule="exact"/>
        <w:jc w:val="center"/>
        <w:rPr>
          <w:rFonts w:ascii="Times New Roman" w:hAnsi="Times New Roman"/>
          <w:sz w:val="32"/>
          <w:szCs w:val="32"/>
        </w:r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w:t>
      </w:r>
      <w:r>
        <w:rPr>
          <w:rFonts w:ascii="Times New Roman" w:hAnsi="Times New Roman"/>
          <w:sz w:val="32"/>
          <w:szCs w:val="32"/>
        </w:rPr>
        <w:t xml:space="preserve"> </w:t>
      </w:r>
      <w:r>
        <w:rPr>
          <w:rFonts w:hint="eastAsia" w:ascii="Times New Roman" w:hAnsi="Times New Roman"/>
          <w:sz w:val="32"/>
          <w:szCs w:val="32"/>
        </w:rPr>
        <w:t>月</w:t>
      </w:r>
    </w:p>
    <w:p w14:paraId="4D163AB0">
      <w:pPr>
        <w:pStyle w:val="17"/>
        <w:ind w:left="560"/>
        <w:sectPr>
          <w:headerReference r:id="rId9" w:type="default"/>
          <w:pgSz w:w="11906" w:h="16838"/>
          <w:pgMar w:top="1440" w:right="1417" w:bottom="1440" w:left="1417" w:header="964" w:footer="992" w:gutter="0"/>
          <w:cols w:space="720" w:num="1"/>
          <w:docGrid w:type="lines" w:linePitch="312" w:charSpace="0"/>
        </w:sectPr>
      </w:pPr>
    </w:p>
    <w:p w14:paraId="6649BB2E">
      <w:pPr>
        <w:spacing w:line="460" w:lineRule="exac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福建省青山纸业股份有限公司年产50万吨食品包装原纸技改工程变更项目（年产20万吨竹浆技改项目）EPC工程总承包技术协议书涉及标准：（包括且不仅限于以下部分，并以最新版本为标准）</w:t>
      </w:r>
    </w:p>
    <w:p w14:paraId="72094AC7">
      <w:pPr>
        <w:spacing w:line="460" w:lineRule="exac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Cs/>
          <w:sz w:val="24"/>
          <w:szCs w:val="24"/>
        </w:rPr>
        <w:t>设备采购及设计有效版本国家标准、规范及行业标准、规范</w:t>
      </w:r>
    </w:p>
    <w:p w14:paraId="4FEFB8C2">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中华人民共和国特种设备安全法</w:t>
      </w:r>
    </w:p>
    <w:p w14:paraId="6086DEE4">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中华人民共和国国务院令第549号    特种设备安全监察条例</w:t>
      </w:r>
    </w:p>
    <w:p w14:paraId="696F6759">
      <w:pPr>
        <w:pStyle w:val="17"/>
        <w:spacing w:after="0" w:line="460" w:lineRule="exact"/>
        <w:ind w:left="0" w:leftChars="0" w:firstLine="0" w:firstLineChars="0"/>
        <w:rPr>
          <w:rFonts w:asciiTheme="minorEastAsia" w:hAnsiTheme="minorEastAsia" w:eastAsiaTheme="minorEastAsia" w:cstheme="minorEastAsia"/>
          <w:bCs/>
          <w:sz w:val="24"/>
          <w:szCs w:val="24"/>
        </w:rPr>
      </w:pPr>
    </w:p>
    <w:p w14:paraId="186896B9">
      <w:pPr>
        <w:spacing w:line="460" w:lineRule="exac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机械方面：</w:t>
      </w:r>
    </w:p>
    <w:p w14:paraId="7A17CC5F">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GB 50068-2018                  </w:t>
      </w:r>
      <w:r>
        <w:rPr>
          <w:rFonts w:hint="eastAsia" w:asciiTheme="minorEastAsia" w:hAnsiTheme="minorEastAsia" w:eastAsiaTheme="minorEastAsia" w:cstheme="minorEastAsia"/>
          <w:sz w:val="24"/>
          <w:szCs w:val="24"/>
        </w:rPr>
        <w:t>《建筑结构设计统一标准》</w:t>
      </w:r>
    </w:p>
    <w:p w14:paraId="4C6D36C1">
      <w:pPr>
        <w:spacing w:line="460" w:lineRule="exac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GB 50009-2012</w:t>
      </w: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sz w:val="24"/>
          <w:szCs w:val="24"/>
        </w:rPr>
        <w:t>《建筑结构荷载规范》</w:t>
      </w:r>
    </w:p>
    <w:p w14:paraId="5A3C124D">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GB/T50011-2010</w:t>
      </w: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sz w:val="24"/>
          <w:szCs w:val="24"/>
        </w:rPr>
        <w:t>《建筑抗震设计标准》</w:t>
      </w:r>
    </w:p>
    <w:p w14:paraId="45479F58">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GB50017-2017</w:t>
      </w: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sz w:val="24"/>
          <w:szCs w:val="24"/>
        </w:rPr>
        <w:t>《钢结构设计规范》</w:t>
      </w:r>
    </w:p>
    <w:p w14:paraId="719E915E">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GB50300-2023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《建筑工程施工质量检测统一标准》</w:t>
      </w:r>
    </w:p>
    <w:p w14:paraId="5A69799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GB50205-2001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《钢结构工程施工及验收规范》</w:t>
      </w:r>
    </w:p>
    <w:p w14:paraId="0A2CA26E">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GB50205-2020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《钢结构工程施工质量验收标准》</w:t>
      </w:r>
    </w:p>
    <w:p w14:paraId="558D474B">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GB50016—2014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《建筑设计防火规范》</w:t>
      </w:r>
    </w:p>
    <w:p w14:paraId="4A31150B">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GB50018-2019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《冷弯薄壁型钢结构技术规范》</w:t>
      </w:r>
    </w:p>
    <w:p w14:paraId="0834109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JGJ 81-2019                    《建筑钢结构焊接规程》</w:t>
      </w:r>
    </w:p>
    <w:p w14:paraId="73B12BA4">
      <w:pPr>
        <w:spacing w:line="460" w:lineRule="exact"/>
        <w:rPr>
          <w:rFonts w:asciiTheme="minorEastAsia" w:hAnsiTheme="minorEastAsia" w:eastAsiaTheme="minorEastAsia" w:cstheme="minorEastAsia"/>
          <w:bCs/>
          <w:color w:val="000000"/>
          <w:sz w:val="24"/>
          <w:szCs w:val="24"/>
          <w:shd w:val="clear" w:color="auto" w:fill="FFFFFF"/>
        </w:rPr>
      </w:pPr>
      <w:r>
        <w:rPr>
          <w:rFonts w:hint="eastAsia" w:asciiTheme="minorEastAsia" w:hAnsiTheme="minorEastAsia" w:eastAsiaTheme="minorEastAsia" w:cstheme="minorEastAsia"/>
          <w:sz w:val="24"/>
          <w:szCs w:val="24"/>
        </w:rPr>
        <w:t>GB2101-2008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《型钢验收、包装、标志及质量证明书的一般规定》</w:t>
      </w:r>
    </w:p>
    <w:p w14:paraId="045A6684">
      <w:pPr>
        <w:spacing w:line="460" w:lineRule="exac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GB2102-2022</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sz w:val="24"/>
          <w:szCs w:val="24"/>
        </w:rPr>
        <w:t>《钢管验收、包装、标志及质量证明书的一般规定》</w:t>
      </w:r>
    </w:p>
    <w:p w14:paraId="1AD9C95F">
      <w:pPr>
        <w:spacing w:line="460" w:lineRule="exact"/>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GB/T 221-2008</w:t>
      </w:r>
      <w:r>
        <w:rPr>
          <w:rFonts w:hint="eastAsia" w:asciiTheme="minorEastAsia" w:hAnsiTheme="minorEastAsia" w:eastAsiaTheme="minorEastAsia" w:cstheme="minorEastAsia"/>
          <w:b/>
          <w:bCs/>
          <w:sz w:val="24"/>
          <w:szCs w:val="24"/>
        </w:rPr>
        <w:t xml:space="preserve">                  </w:t>
      </w:r>
      <w:r>
        <w:rPr>
          <w:rFonts w:hint="eastAsia" w:asciiTheme="minorEastAsia" w:hAnsiTheme="minorEastAsia" w:eastAsiaTheme="minorEastAsia" w:cstheme="minorEastAsia"/>
          <w:sz w:val="24"/>
          <w:szCs w:val="24"/>
        </w:rPr>
        <w:t>《钢铁产品牌号表示方法》</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p>
    <w:p w14:paraId="672D26DA">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GB50683-2011                   《现场设备、工业管道焊接工程施工及验收规范》</w:t>
      </w:r>
    </w:p>
    <w:p w14:paraId="0B13561C">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HGJ2268-2009</w:t>
      </w:r>
      <w:r>
        <w:rPr>
          <w:rFonts w:hint="eastAsia" w:asciiTheme="minorEastAsia" w:hAnsiTheme="minorEastAsia" w:eastAsiaTheme="minorEastAsia" w:cstheme="minorEastAsia"/>
          <w:bCs/>
          <w:color w:val="000000"/>
          <w:sz w:val="24"/>
          <w:szCs w:val="24"/>
          <w:shd w:val="clear" w:color="auto" w:fill="FFFFFF"/>
        </w:rPr>
        <w:t xml:space="preserve">                   </w:t>
      </w:r>
      <w:r>
        <w:rPr>
          <w:rFonts w:hint="eastAsia" w:asciiTheme="minorEastAsia" w:hAnsiTheme="minorEastAsia" w:eastAsiaTheme="minorEastAsia" w:cstheme="minorEastAsia"/>
          <w:sz w:val="24"/>
          <w:szCs w:val="24"/>
        </w:rPr>
        <w:t>《钢制机械搅拌容器技术条件》</w:t>
      </w:r>
    </w:p>
    <w:p w14:paraId="3A7117BB">
      <w:pPr>
        <w:spacing w:line="460" w:lineRule="exact"/>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t>JB/T4735</w:t>
      </w:r>
      <w:r>
        <w:rPr>
          <w:rFonts w:hint="eastAsia" w:asciiTheme="minorEastAsia" w:hAnsiTheme="minorEastAsia" w:eastAsiaTheme="minorEastAsia" w:cstheme="minorEastAsia"/>
          <w:bCs/>
          <w:color w:val="000000"/>
          <w:sz w:val="24"/>
          <w:szCs w:val="24"/>
          <w:shd w:val="clear" w:color="auto" w:fill="FFFFFF"/>
        </w:rPr>
        <w:t xml:space="preserve">                       </w:t>
      </w:r>
      <w:r>
        <w:rPr>
          <w:rFonts w:hint="eastAsia" w:asciiTheme="minorEastAsia" w:hAnsiTheme="minorEastAsia" w:eastAsiaTheme="minorEastAsia" w:cstheme="minorEastAsia"/>
          <w:sz w:val="24"/>
          <w:szCs w:val="24"/>
        </w:rPr>
        <w:t>《钢制焊接常压容器》</w:t>
      </w:r>
    </w:p>
    <w:p w14:paraId="18EC439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50128-2014</w:t>
      </w:r>
      <w:r>
        <w:rPr>
          <w:rFonts w:hint="eastAsia" w:asciiTheme="minorEastAsia" w:hAnsiTheme="minorEastAsia" w:eastAsiaTheme="minorEastAsia" w:cstheme="minorEastAsia"/>
          <w:bCs/>
          <w:color w:val="000000"/>
          <w:sz w:val="24"/>
          <w:szCs w:val="24"/>
          <w:shd w:val="clear" w:color="auto" w:fill="FFFFFF"/>
        </w:rPr>
        <w:t xml:space="preserve">                  </w:t>
      </w:r>
      <w:r>
        <w:rPr>
          <w:rFonts w:hint="eastAsia" w:asciiTheme="minorEastAsia" w:hAnsiTheme="minorEastAsia" w:eastAsiaTheme="minorEastAsia" w:cstheme="minorEastAsia"/>
          <w:sz w:val="24"/>
          <w:szCs w:val="24"/>
        </w:rPr>
        <w:t>《立式圆筒形钢制焊接储罐施工规范》</w:t>
      </w:r>
    </w:p>
    <w:p w14:paraId="2D4DEF13">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GB50235-2010                   《工业金属管道工程施工规范》</w:t>
      </w:r>
    </w:p>
    <w:p w14:paraId="365C433D">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GB/T20801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《压力管道规范 工业管道》</w:t>
      </w:r>
    </w:p>
    <w:p w14:paraId="372DB7D3">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GB50126-2008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《工业设备、管道防腐蚀工程施工及验收规范》</w:t>
      </w:r>
    </w:p>
    <w:p w14:paraId="5CBD860C">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 708-2019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《焊接通用技术条件》</w:t>
      </w:r>
    </w:p>
    <w:p w14:paraId="0A784421">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GP05-2004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《机械加工通用技术条件》</w:t>
      </w:r>
    </w:p>
    <w:p w14:paraId="33DF7C0F">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YB/T4001.1-2019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《钢格栅板及配套件 》</w:t>
      </w:r>
    </w:p>
    <w:p w14:paraId="286D9F00">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GB4053.2-2009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《固定式钢梯及平台安全要求》</w:t>
      </w:r>
    </w:p>
    <w:p w14:paraId="191C62AD">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GB/T26121-2010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《可曲挠橡胶接头》</w:t>
      </w:r>
    </w:p>
    <w:p w14:paraId="6F7FC0FD">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GB/T13148-2008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《不锈钢复合钢板焊接技术要求》</w:t>
      </w:r>
    </w:p>
    <w:p w14:paraId="165BDCBF">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QJ1175-87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《不锈钢薄板焊缝 X 射线探伤方法》</w:t>
      </w:r>
    </w:p>
    <w:p w14:paraId="6B2D7B33">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QJ1268-87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《着色渗透探伤方法》</w:t>
      </w:r>
    </w:p>
    <w:p w14:paraId="54274551">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QJ1390-88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《X 射线照相检验规范》</w:t>
      </w:r>
    </w:p>
    <w:p w14:paraId="19A27321">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GB24511-2017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《承压设备用不锈钢和耐热钢钢板和钢带》</w:t>
      </w:r>
    </w:p>
    <w:p w14:paraId="659A7E17">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GB/T2437-2015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《不锈钢热轧钢板和钢带》</w:t>
      </w:r>
    </w:p>
    <w:p w14:paraId="3B043010">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GB/T3280-2015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《不锈钢冷轧钢板和钢带》</w:t>
      </w:r>
    </w:p>
    <w:p w14:paraId="19708092">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SA516/SA516M</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《中低温压力容器用碳钢板》</w:t>
      </w:r>
    </w:p>
    <w:p w14:paraId="68A100DB">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GB/T708-2006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《冷轧钢板和钢带的尺寸、外形、重量及允许偏差》</w:t>
      </w:r>
    </w:p>
    <w:p w14:paraId="751D4BE6">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GB/T709-2006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《热轧钢板和钢带的尺寸、外形、重量及允许偏差》</w:t>
      </w:r>
    </w:p>
    <w:p w14:paraId="24817475">
      <w:pPr>
        <w:pStyle w:val="17"/>
        <w:spacing w:after="0" w:line="460" w:lineRule="exact"/>
        <w:ind w:left="0" w:leftChars="0" w:firstLine="0" w:firstLineChars="0"/>
        <w:rPr>
          <w:rFonts w:asciiTheme="minorEastAsia" w:hAnsiTheme="minorEastAsia" w:eastAsiaTheme="minorEastAsia" w:cstheme="minorEastAsia"/>
          <w:sz w:val="24"/>
          <w:szCs w:val="24"/>
        </w:rPr>
      </w:pPr>
    </w:p>
    <w:p w14:paraId="20F5CEA8">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电气方面：</w:t>
      </w:r>
    </w:p>
    <w:p w14:paraId="1B2BEDBC">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GB50052-2009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《供配电系统设计规范》</w:t>
      </w:r>
    </w:p>
    <w:p w14:paraId="52D72F94">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GB50054-2011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《低压配电设计规范》</w:t>
      </w:r>
    </w:p>
    <w:p w14:paraId="67B8AE7B">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GB/T50062-2008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《电力装置的继电保护和自动装置设计规程》</w:t>
      </w:r>
    </w:p>
    <w:p w14:paraId="615D3F1E">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GB/T50063-2008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《电力装置的电测量仪表装置设计规范》</w:t>
      </w:r>
    </w:p>
    <w:p w14:paraId="7E0F079B">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GB50057-2010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《建筑物防雷设计规范》</w:t>
      </w:r>
    </w:p>
    <w:p w14:paraId="008C8098">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GB50217-2007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《电力工程电缆设计规范》</w:t>
      </w:r>
    </w:p>
    <w:p w14:paraId="3A44A425">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GB/T50065-2011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《交流电气装置的接地设计规范》</w:t>
      </w:r>
    </w:p>
    <w:p w14:paraId="22B7F5BA">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GB50227-2008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《并联电容器装置设计规范》</w:t>
      </w:r>
    </w:p>
    <w:p w14:paraId="4CA2F97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GB50116-2013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《火灾自动报警系统设计规范》</w:t>
      </w:r>
    </w:p>
    <w:p w14:paraId="2350F8C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GB50058-2014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《爆炸和火灾危险环境电力装置设计规范》</w:t>
      </w:r>
    </w:p>
    <w:p w14:paraId="57DE1B72">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zh-CN"/>
        </w:rPr>
        <w:t>GBJ272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《电气装置安装工程施工及验收规范》</w:t>
      </w:r>
    </w:p>
    <w:p w14:paraId="4CC2967B">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zh-CN"/>
        </w:rPr>
        <w:t>SDJ26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《发电厂、变电所电缆选择与敷设设计规程》</w:t>
      </w:r>
    </w:p>
    <w:p w14:paraId="204E3016">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zh-CN"/>
        </w:rPr>
        <w:t>DL/T621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《交流电气装置的接地》</w:t>
      </w:r>
    </w:p>
    <w:p w14:paraId="531BF2AE">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zh-CN"/>
        </w:rPr>
        <w:t>GB50217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《电力工程电缆设计规范》</w:t>
      </w:r>
    </w:p>
    <w:p w14:paraId="1B3656FE">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GB50150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电气装置安装工程电气设备交接试验标准</w:t>
      </w:r>
      <w:r>
        <w:rPr>
          <w:rFonts w:hint="eastAsia" w:asciiTheme="minorEastAsia" w:hAnsiTheme="minorEastAsia" w:eastAsiaTheme="minorEastAsia" w:cstheme="minorEastAsia"/>
          <w:sz w:val="24"/>
          <w:szCs w:val="24"/>
          <w:lang w:val="zh-CN"/>
        </w:rPr>
        <w:t>》</w:t>
      </w:r>
    </w:p>
    <w:p w14:paraId="4F121C6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GB148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电气装置安装工程电力变压器、油浸电抗器、互感器施工及验收规范</w:t>
      </w:r>
      <w:r>
        <w:rPr>
          <w:rFonts w:hint="eastAsia" w:asciiTheme="minorEastAsia" w:hAnsiTheme="minorEastAsia" w:eastAsiaTheme="minorEastAsia" w:cstheme="minorEastAsia"/>
          <w:sz w:val="24"/>
          <w:szCs w:val="24"/>
          <w:lang w:val="zh-CN"/>
        </w:rPr>
        <w:t xml:space="preserve">》 </w:t>
      </w:r>
    </w:p>
    <w:p w14:paraId="6715F1DC">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DL/T572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电力变压器运行规程</w:t>
      </w:r>
      <w:r>
        <w:rPr>
          <w:rFonts w:hint="eastAsia" w:asciiTheme="minorEastAsia" w:hAnsiTheme="minorEastAsia" w:eastAsiaTheme="minorEastAsia" w:cstheme="minorEastAsia"/>
          <w:sz w:val="24"/>
          <w:szCs w:val="24"/>
          <w:lang w:val="zh-CN"/>
        </w:rPr>
        <w:t>》</w:t>
      </w:r>
    </w:p>
    <w:p w14:paraId="0BB3E123">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DL/T596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lang w:val="zh-CN"/>
        </w:rPr>
        <w:t>《</w:t>
      </w:r>
      <w:r>
        <w:rPr>
          <w:rFonts w:hint="eastAsia" w:asciiTheme="minorEastAsia" w:hAnsiTheme="minorEastAsia" w:eastAsiaTheme="minorEastAsia" w:cstheme="minorEastAsia"/>
          <w:sz w:val="24"/>
          <w:szCs w:val="24"/>
        </w:rPr>
        <w:t>电力设备预防性试验规程</w:t>
      </w:r>
      <w:r>
        <w:rPr>
          <w:rFonts w:hint="eastAsia" w:asciiTheme="minorEastAsia" w:hAnsiTheme="minorEastAsia" w:eastAsiaTheme="minorEastAsia" w:cstheme="minorEastAsia"/>
          <w:sz w:val="24"/>
          <w:szCs w:val="24"/>
          <w:lang w:val="zh-CN"/>
        </w:rPr>
        <w:t>》</w:t>
      </w:r>
    </w:p>
    <w:p w14:paraId="58827847">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GB/T6451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三相油浸式电力变压器技术参数和要求》</w:t>
      </w:r>
    </w:p>
    <w:p w14:paraId="5130D7BD">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GB1094.1-1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电力变压器 第1部分：总则》</w:t>
      </w:r>
    </w:p>
    <w:p w14:paraId="1B0ED2E0">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GB1094.1-2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电力变压器 第2部分：温升》</w:t>
      </w:r>
    </w:p>
    <w:p w14:paraId="75E867B7">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GB1094.1-3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电力变压器 第三部分：绝缘水平、绝缘试验和外绝缘空气间隙》</w:t>
      </w:r>
    </w:p>
    <w:p w14:paraId="62EF4593">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GB1094.1-5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电力变压器 第五部分：承受短路的能力》</w:t>
      </w:r>
    </w:p>
    <w:p w14:paraId="32109F51">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GB7654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局部放电测量》</w:t>
      </w:r>
    </w:p>
    <w:p w14:paraId="19104692">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GB/T15164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油浸式电力变压器负载导则》</w:t>
      </w:r>
    </w:p>
    <w:p w14:paraId="5C8D1D11">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GB5273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变压器、高压电器和套管的接线端子》</w:t>
      </w:r>
    </w:p>
    <w:p w14:paraId="58A9E60C">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GB4109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交流电压高于1000V的套管通用技术条件》</w:t>
      </w:r>
    </w:p>
    <w:p w14:paraId="1E92031E">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GB2536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变压器油》</w:t>
      </w:r>
    </w:p>
    <w:p w14:paraId="500141F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JB/T56011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油浸式电力变压器产品质量分等》</w:t>
      </w:r>
    </w:p>
    <w:p w14:paraId="42111DC2">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GB/T13499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电力变压器应用导则》</w:t>
      </w:r>
    </w:p>
    <w:p w14:paraId="20F8B1B8">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GB1094.1-10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电力变压器 第10：声级测定》</w:t>
      </w:r>
    </w:p>
    <w:p w14:paraId="590FF1CA">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GB10230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有载分接开关》</w:t>
      </w:r>
    </w:p>
    <w:p w14:paraId="1B599902">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GB20052-2020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电力变压器能效限定值及能效等级》</w:t>
      </w:r>
    </w:p>
    <w:p w14:paraId="3079826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GB/T4109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高压套管技术条件》</w:t>
      </w:r>
    </w:p>
    <w:p w14:paraId="69F8AD1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GB755                          《旋转电机基本技术要求》</w:t>
      </w:r>
    </w:p>
    <w:p w14:paraId="5CEA2E8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GB997                          《电机结构和安装型式代号》</w:t>
      </w:r>
    </w:p>
    <w:p w14:paraId="711B58BC">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GB1971                         《电机线端标志与旋转方向》</w:t>
      </w:r>
    </w:p>
    <w:p w14:paraId="1A17859C">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GB4992.1                       《电机外壳等级》</w:t>
      </w:r>
    </w:p>
    <w:p w14:paraId="386CC4A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GB10068.1-3                    《旋转电机振动测定方法及限值》</w:t>
      </w:r>
    </w:p>
    <w:p w14:paraId="4C257BDC">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GB10069.1-2                    《旋转电机噪声测定方法及限值》</w:t>
      </w:r>
    </w:p>
    <w:p w14:paraId="549BF2C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GB1032                         《三相异步电机试验方法》</w:t>
      </w:r>
    </w:p>
    <w:p w14:paraId="044EC6B0">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GB/T1993                       《旋转电机冷却方式》</w:t>
      </w:r>
    </w:p>
    <w:p w14:paraId="3352C54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11032                       《交流无间隙金属氧化物避雷器》</w:t>
      </w:r>
    </w:p>
    <w:p w14:paraId="35C9534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3906                        《3～35kV交流金属封闭开关设备》</w:t>
      </w:r>
    </w:p>
    <w:p w14:paraId="3033B2F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2706                         《交流高压电器动、热稳定试验方法》</w:t>
      </w:r>
    </w:p>
    <w:p w14:paraId="6E13C6D6">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763                          《交流高压电器在长期工作时的发热》</w:t>
      </w:r>
    </w:p>
    <w:p w14:paraId="50D08936">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3309                         《高压开关设备常温下的机械试验》</w:t>
      </w:r>
    </w:p>
    <w:p w14:paraId="1CEC1C8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311.1                        《高压输变电设备的绝缘配合》</w:t>
      </w:r>
    </w:p>
    <w:p w14:paraId="4CB7296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4208                         《外壳防护等级的分类（IP代码）》</w:t>
      </w:r>
    </w:p>
    <w:p w14:paraId="3520691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11022                        《高压开关设备通用技术条件》</w:t>
      </w:r>
    </w:p>
    <w:p w14:paraId="1BD9CBF7">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GB156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《标准电压》</w:t>
      </w:r>
    </w:p>
    <w:p w14:paraId="383AACD4">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GB311.2~311.6                   《高电压试验技术》</w:t>
      </w:r>
    </w:p>
    <w:p w14:paraId="60C267D1">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GB1408</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《固体绝缘材料工频电气强度的试验方法》</w:t>
      </w:r>
    </w:p>
    <w:p w14:paraId="4CC2F36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GB7354</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《局部放电测量》</w:t>
      </w:r>
    </w:p>
    <w:p w14:paraId="2DF4654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DL/T486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《交流高压隔离开关订货技术条件》</w:t>
      </w:r>
    </w:p>
    <w:p w14:paraId="47784647">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DL/T539                         《户内交流高压开关柜和元部件凝露及污秽》</w:t>
      </w:r>
    </w:p>
    <w:p w14:paraId="71912844">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DL/T593      </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《高压开关设备的共用订货技术条件》</w:t>
      </w:r>
    </w:p>
    <w:p w14:paraId="54F523B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DL/T 403                        《12～40.5kV高压真空断路器订货技术条件》</w:t>
      </w:r>
    </w:p>
    <w:p w14:paraId="57E2DC4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DL/T 404                        《户内交流高压开关柜订货技术条件》</w:t>
      </w:r>
    </w:p>
    <w:p w14:paraId="28513DB4">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DL/T5222                        《导体和电器选择设计技术规定》</w:t>
      </w:r>
    </w:p>
    <w:p w14:paraId="233ED21A">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GB15166.2                       《交流高压熔断器限流式熔断器》</w:t>
      </w:r>
    </w:p>
    <w:p w14:paraId="1250939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GB4942.2                        《低压电器外壳防护等级》</w:t>
      </w:r>
    </w:p>
    <w:p w14:paraId="00996010">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GB14048                         《低压开关设备和控制设备》</w:t>
      </w:r>
    </w:p>
    <w:p w14:paraId="7D5746C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GB7251                          《低压成套开关设备和控制设备》</w:t>
      </w:r>
    </w:p>
    <w:p w14:paraId="34ADF6B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GB/T4026                        《电器接线端子的识别和用字母数字符号标志接线端子的原则》</w:t>
      </w:r>
    </w:p>
    <w:p w14:paraId="79F9EC9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JB4012                          《低压空气式隔离器开关、隔离开关及熔断器组合电器》</w:t>
      </w:r>
    </w:p>
    <w:p w14:paraId="0A8890A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GB/T10233                       《低压成套开关设备和电控设备基本试验方法》</w:t>
      </w:r>
    </w:p>
    <w:p w14:paraId="2D18B6B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GB7261                          《继电器及继电保护装置基本试验方法》</w:t>
      </w:r>
    </w:p>
    <w:p w14:paraId="417C61EC">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GB9166                          《低压成套开并设备基本试验方法》</w:t>
      </w:r>
    </w:p>
    <w:p w14:paraId="04119CA1">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GB50150                         《电气装置安装工程电气设备交接试验标准》</w:t>
      </w:r>
    </w:p>
    <w:p w14:paraId="0EB8949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GB50171                         《电气装置安装工程盘、柜及二次回路接线施工及验收规范》</w:t>
      </w:r>
    </w:p>
    <w:p w14:paraId="1138C35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DL/T5136                      《火力发电厂、变电所二次接线设计技术规程》</w:t>
      </w:r>
    </w:p>
    <w:p w14:paraId="6E23908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GB/T19862-2016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电能质量检测设备通用要求》</w:t>
      </w:r>
    </w:p>
    <w:p w14:paraId="2C56369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GB/T12325-2008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电能质量 供电电压偏差》</w:t>
      </w:r>
    </w:p>
    <w:p w14:paraId="34AB31D1">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GB/T12326-2008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电能质量 电压波动和闪变》</w:t>
      </w:r>
    </w:p>
    <w:p w14:paraId="38A6C27D">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GB/T14549-1993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电能质量 公共电网谐波》</w:t>
      </w:r>
    </w:p>
    <w:p w14:paraId="610D3717">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GB/T15543-2008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电能质量 三相电压不平衡》</w:t>
      </w:r>
    </w:p>
    <w:p w14:paraId="503A4AA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GB/T15945-2008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电能质量 电力系统频率偏差》</w:t>
      </w:r>
    </w:p>
    <w:p w14:paraId="35778A5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156-2017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标准电压》</w:t>
      </w:r>
    </w:p>
    <w:p w14:paraId="50453ACE">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762-2002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标准电流等级》</w:t>
      </w:r>
    </w:p>
    <w:p w14:paraId="7C38F422">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1980-2005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标准频率》</w:t>
      </w:r>
    </w:p>
    <w:p w14:paraId="6B925D6D">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2423.10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电工电子产品基本环境试验规程振动（正弦）试验导则》</w:t>
      </w:r>
    </w:p>
    <w:p w14:paraId="6F234D5D">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2682-81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电工成套装置之中的指示灯和按钮的颜色》</w:t>
      </w:r>
    </w:p>
    <w:p w14:paraId="4D1CF88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3797-89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电控设备  第二部分：装有电子器件的电控设备》</w:t>
      </w:r>
    </w:p>
    <w:p w14:paraId="7E797F5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3859.1-93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半导体电力变流器  基本要求的规定》</w:t>
      </w:r>
    </w:p>
    <w:p w14:paraId="16120FA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3859.2-93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半导体电力变流器  应用导则》</w:t>
      </w:r>
    </w:p>
    <w:p w14:paraId="3186B0D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3859.3-93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半导体电力变流器  变压器和电抗器》</w:t>
      </w:r>
    </w:p>
    <w:p w14:paraId="538BBE8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4208-93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外壳防护等级的分类》</w:t>
      </w:r>
    </w:p>
    <w:p w14:paraId="44FF53C3">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7678-87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半导体自换相变流器》</w:t>
      </w:r>
    </w:p>
    <w:p w14:paraId="70C8179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12668.2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交流电动机半导体变频调速装置总技术条件》</w:t>
      </w:r>
    </w:p>
    <w:p w14:paraId="2727DD5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GB/T14436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工业产品保证文件  总则》</w:t>
      </w:r>
    </w:p>
    <w:p w14:paraId="132807B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GB/T15139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电工设备结构总技术条件》</w:t>
      </w:r>
    </w:p>
    <w:p w14:paraId="783F258A">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GB/T13422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半导体电力变流器电气试验方法》</w:t>
      </w:r>
    </w:p>
    <w:p w14:paraId="6FE08ACD">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14549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电能质量  公用电网谐波》</w:t>
      </w:r>
    </w:p>
    <w:p w14:paraId="144777D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 620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交流电气装置的过电压保护和绝缘配合》</w:t>
      </w:r>
    </w:p>
    <w:p w14:paraId="278BA5F1">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3859.1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半导体变流器  基本要求的规定》</w:t>
      </w:r>
    </w:p>
    <w:p w14:paraId="7D41FA0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3859.2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半导体变流器  应用导则》</w:t>
      </w:r>
    </w:p>
    <w:p w14:paraId="152A97AA">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3859.3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半导体变流器  变压器和电抗器》</w:t>
      </w:r>
    </w:p>
    <w:p w14:paraId="1D946C2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DL/T 620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交流电气装置的过电压保护和绝缘配合》</w:t>
      </w:r>
    </w:p>
    <w:p w14:paraId="42972C1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 5136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火力发电厂、变电所二次接线设计技术规程》</w:t>
      </w:r>
    </w:p>
    <w:p w14:paraId="52F95CC1">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GB12706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额定电压35kV以下铜芯、铝芯塑料绝缘电力电缆》</w:t>
      </w:r>
    </w:p>
    <w:p w14:paraId="26A6B2AD">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GB/T2951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电线绝缘和护套材料通用试验方法》</w:t>
      </w:r>
    </w:p>
    <w:p w14:paraId="2DE3E366">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GB3048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电线电性能试验方法》</w:t>
      </w:r>
    </w:p>
    <w:p w14:paraId="264EB01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GB2925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电缆外护层》</w:t>
      </w:r>
    </w:p>
    <w:p w14:paraId="2E76B0E9">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GB4005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电线电缆交货盘》</w:t>
      </w:r>
    </w:p>
    <w:p w14:paraId="5D9ED31E">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GB12666.6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成束电线电缆燃烧试验方法》</w:t>
      </w:r>
    </w:p>
    <w:p w14:paraId="23A5ACED">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GB6162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静态继电器和保护装置的电气干扰试验》</w:t>
      </w:r>
    </w:p>
    <w:p w14:paraId="68E4A95C">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GB7261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继电器及继电保护装置基本试验方法》</w:t>
      </w:r>
    </w:p>
    <w:p w14:paraId="50A2CF58">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GB/T14537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量度继电器和保护装置的冲击和碰撞试验》</w:t>
      </w:r>
    </w:p>
    <w:p w14:paraId="2081B00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GB/T6593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电子测量仪器质量监测规程》</w:t>
      </w:r>
    </w:p>
    <w:p w14:paraId="60668FEB">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GB/T15145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微机线路保护装置通用技术条件》</w:t>
      </w:r>
    </w:p>
    <w:p w14:paraId="60907BC1">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GB/17621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电磁兼容试验和测量技术》</w:t>
      </w:r>
    </w:p>
    <w:p w14:paraId="2E11D170">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DL/T527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静态继电保护装置逆变电源技术条件》</w:t>
      </w:r>
    </w:p>
    <w:p w14:paraId="7C74B5D3">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DL/T667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继电保护设备信息接口配套标准》</w:t>
      </w:r>
    </w:p>
    <w:p w14:paraId="38DAED5D">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DL/478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静态继电保护及安全自动装置通用技术条件》</w:t>
      </w:r>
    </w:p>
    <w:p w14:paraId="0A78C195">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DL/T719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电力系统电能累计量传输配套标准》</w:t>
      </w:r>
    </w:p>
    <w:p w14:paraId="62A26FB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DL/T5137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电测量及电计量装置设计技术规程》</w:t>
      </w:r>
    </w:p>
    <w:p w14:paraId="08DFE7D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JB5777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电力系统二次电路用控制及继电保护屏（柜、台）通用技术条件》</w:t>
      </w:r>
    </w:p>
    <w:p w14:paraId="3A7075E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GB2887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计算机场地技术条件》</w:t>
      </w:r>
    </w:p>
    <w:p w14:paraId="37CCF9E4">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GB/T13702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计算机软件分类与代码》</w:t>
      </w:r>
    </w:p>
    <w:p w14:paraId="58B20E72">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GB/T15532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计算机软件单元测试》</w:t>
      </w:r>
    </w:p>
    <w:p w14:paraId="3B416530">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DL/T634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基本远动任务配套标准》</w:t>
      </w:r>
    </w:p>
    <w:p w14:paraId="2190CB74">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DL476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电力系统实时数据通讯应用层协议》</w:t>
      </w:r>
    </w:p>
    <w:p w14:paraId="121049D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DL5003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电力系统调度自动化设计技术规程》</w:t>
      </w:r>
    </w:p>
    <w:p w14:paraId="57F6B53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DL/T516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电网调度自动化系统运行管理规程》</w:t>
      </w:r>
    </w:p>
    <w:p w14:paraId="0BAC58DE">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GB/T3859.1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半导体变流器基本要求的规定》</w:t>
      </w:r>
    </w:p>
    <w:p w14:paraId="67394F6F">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DL/T459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电力系统直流电源柜订货技术条件》</w:t>
      </w:r>
    </w:p>
    <w:p w14:paraId="2F8E43D3">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DL/T857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发电厂、变电所蓄电池用整流逆变设备技术条件》</w:t>
      </w:r>
    </w:p>
    <w:p w14:paraId="235DEA7C">
      <w:pPr>
        <w:spacing w:line="46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DL/T637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阀控式密封铅酸蓄电池订货技术条件》</w:t>
      </w:r>
    </w:p>
    <w:p w14:paraId="63154D62">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19638.2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固定式阀控密封式铅酸蓄电池》</w:t>
      </w:r>
    </w:p>
    <w:p w14:paraId="033A78F0">
      <w:pPr>
        <w:pStyle w:val="17"/>
        <w:spacing w:after="0" w:line="460" w:lineRule="exact"/>
        <w:ind w:left="0" w:leftChars="0" w:firstLine="0" w:firstLineChars="0"/>
        <w:rPr>
          <w:rFonts w:asciiTheme="minorEastAsia" w:hAnsiTheme="minorEastAsia" w:eastAsiaTheme="minorEastAsia" w:cstheme="minorEastAsia"/>
          <w:sz w:val="24"/>
          <w:szCs w:val="24"/>
        </w:rPr>
      </w:pPr>
    </w:p>
    <w:p w14:paraId="751E5E1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自控方面：</w:t>
      </w:r>
    </w:p>
    <w:p w14:paraId="14440A37">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51092-2015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《制浆造纸厂设计规范》</w:t>
      </w:r>
    </w:p>
    <w:p w14:paraId="736CAED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HG/T21581-2012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《自控安装图册》</w:t>
      </w:r>
    </w:p>
    <w:p w14:paraId="482D379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50016-2022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《建筑设计防火规范》</w:t>
      </w:r>
    </w:p>
    <w:p w14:paraId="23992AD8">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50116-2019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《火灾自动报警系统设计规范》</w:t>
      </w:r>
    </w:p>
    <w:p w14:paraId="605C8DED">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50343-2012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《建筑物电子信息系统防雷技术规范》</w:t>
      </w:r>
    </w:p>
    <w:p w14:paraId="13F34906">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50166-2019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《火灾自动报警系统施工及验收标准》</w:t>
      </w:r>
    </w:p>
    <w:p w14:paraId="6E3FE34D">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50493-2019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《石油化工可燃气体和有毒气体检测报警设计标准》</w:t>
      </w:r>
    </w:p>
    <w:p w14:paraId="6FF2473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 20505-2014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 xml:space="preserve">《过程测量和控制仪表的功能标志及图形符号》 </w:t>
      </w:r>
    </w:p>
    <w:p w14:paraId="5A3ED86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HG/T20508-2014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《控制室设计规定》</w:t>
      </w:r>
    </w:p>
    <w:p w14:paraId="017242DA">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 20511-2014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 xml:space="preserve">《信号报警、安全联锁系统设计规定》 </w:t>
      </w:r>
    </w:p>
    <w:p w14:paraId="1DD68BC2">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HG/T20513-2014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《仪表系统接地规定》</w:t>
      </w:r>
    </w:p>
    <w:p w14:paraId="61341CAF">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HG/T20516-2014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《自动分析器室设计规定》</w:t>
      </w:r>
    </w:p>
    <w:p w14:paraId="1663938A">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HG/T20699-2014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 xml:space="preserve">《自控设计常用名词术语》 </w:t>
      </w:r>
    </w:p>
    <w:p w14:paraId="2546673E">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 20573-2012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 xml:space="preserve">《分散型控制系统工程设计规定》 </w:t>
      </w:r>
    </w:p>
    <w:p w14:paraId="53D5E107">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HG/T20700-2014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《可编程控制器系统设计规定》</w:t>
      </w:r>
    </w:p>
    <w:p w14:paraId="59CDC90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HG/T21581-2012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《自控安装图册》</w:t>
      </w:r>
    </w:p>
    <w:p w14:paraId="52ED956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14048.12-2016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《低压开关设备适用标准》</w:t>
      </w:r>
    </w:p>
    <w:p w14:paraId="5E72A12D">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50115-2019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《工业电视系统工程设计规范》</w:t>
      </w:r>
    </w:p>
    <w:p w14:paraId="7B2FBCF6">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CECS81-96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《工业计算监控系统抗干扰技术规范》</w:t>
      </w:r>
    </w:p>
    <w:p w14:paraId="25AF5BA4">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建筑工程</w:t>
      </w:r>
    </w:p>
    <w:p w14:paraId="146A6B9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中华人民共和国建筑法》</w:t>
      </w:r>
    </w:p>
    <w:p w14:paraId="270B7488">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建设工程质量监管条例》</w:t>
      </w:r>
    </w:p>
    <w:p w14:paraId="0226AC6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建设项目环境保护管理条例》</w:t>
      </w:r>
    </w:p>
    <w:p w14:paraId="2051B055">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危大工程安全管理规定》</w:t>
      </w:r>
    </w:p>
    <w:p w14:paraId="6FFE970F">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中华人民共和国安全生产法》</w:t>
      </w:r>
    </w:p>
    <w:p w14:paraId="53DB8473">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51092-2015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制浆造纸工程设计规范》</w:t>
      </w:r>
    </w:p>
    <w:p w14:paraId="3D87194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55003-2021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建筑与市政地基基础技术标准》</w:t>
      </w:r>
    </w:p>
    <w:p w14:paraId="522B8F5D">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55008-2021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混凝土结构技术标准》</w:t>
      </w:r>
    </w:p>
    <w:p w14:paraId="5B547E10">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55006-2021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钢结构技术规范》</w:t>
      </w:r>
    </w:p>
    <w:p w14:paraId="601BCF01">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55007-2021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砌体结构技术标准》</w:t>
      </w:r>
    </w:p>
    <w:p w14:paraId="7966AAEA">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50011-2010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建筑抗震设计规范》</w:t>
      </w:r>
    </w:p>
    <w:p w14:paraId="49657476">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50352-2019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民用建筑设计通则》</w:t>
      </w:r>
    </w:p>
    <w:p w14:paraId="642E2C6D">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50345-2012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屋面工程技术规范》</w:t>
      </w:r>
    </w:p>
    <w:p w14:paraId="4E21D156">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50037-2013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建筑地面设计标准》</w:t>
      </w:r>
    </w:p>
    <w:p w14:paraId="76574C2A">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50046-2018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工业建筑防腐蚀设计规范》</w:t>
      </w:r>
    </w:p>
    <w:p w14:paraId="129B7860">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50016-2025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建筑设计防火规范》</w:t>
      </w:r>
    </w:p>
    <w:p w14:paraId="40DC2663">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51245-2017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工业建筑节能设计标准》</w:t>
      </w:r>
    </w:p>
    <w:p w14:paraId="3190B836">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50046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工业建筑防腐蚀设计通则》</w:t>
      </w:r>
    </w:p>
    <w:p w14:paraId="4583E75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GBZ 1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工业企业卫生设计标准》</w:t>
      </w:r>
    </w:p>
    <w:p w14:paraId="5CE5CBE6">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2894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安全标志应用规范》</w:t>
      </w:r>
    </w:p>
    <w:p w14:paraId="2E0D952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3096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声环境质量标准》</w:t>
      </w:r>
    </w:p>
    <w:p w14:paraId="06F29B44">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12348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工业企业噪声排放标准》</w:t>
      </w:r>
    </w:p>
    <w:p w14:paraId="6B4E78FE">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50087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工业噪声控制设计规范》</w:t>
      </w:r>
    </w:p>
    <w:p w14:paraId="624B5DF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50187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工业企业总平面设计规范》</w:t>
      </w:r>
    </w:p>
    <w:p w14:paraId="139DA415">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50201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防洪工程设计标准》</w:t>
      </w:r>
    </w:p>
    <w:p w14:paraId="04CCD1AE">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50033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sz w:val="24"/>
          <w:szCs w:val="24"/>
        </w:rPr>
        <w:t>建筑采光设计规范》</w:t>
      </w:r>
    </w:p>
    <w:p w14:paraId="4A798F30">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GB 55017-2021                 《</w:t>
      </w:r>
      <w:r>
        <w:rPr>
          <w:rFonts w:hint="eastAsia" w:asciiTheme="minorEastAsia" w:hAnsiTheme="minorEastAsia" w:eastAsiaTheme="minorEastAsia" w:cstheme="minorEastAsia"/>
          <w:sz w:val="24"/>
          <w:szCs w:val="24"/>
        </w:rPr>
        <w:t>工程勘察通用规范》</w:t>
      </w:r>
    </w:p>
    <w:p w14:paraId="303C912D">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55015-2021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建筑节能与可再生能源规范》</w:t>
      </w:r>
    </w:p>
    <w:p w14:paraId="3BB31D94">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55036-2022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建筑消防设施技术标准》</w:t>
      </w:r>
    </w:p>
    <w:p w14:paraId="1DE7AE36">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50019-2015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工业建筑暖通空调设计规范》</w:t>
      </w:r>
    </w:p>
    <w:p w14:paraId="723B5CE4">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50264-2013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工业设备管道绝热设计规范》</w:t>
      </w:r>
    </w:p>
    <w:p w14:paraId="33A1202D">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50009-2012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建筑结构荷载规范》</w:t>
      </w:r>
    </w:p>
    <w:p w14:paraId="1629A5F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JGJ 79-2012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建筑地基处理技术规程》</w:t>
      </w:r>
    </w:p>
    <w:p w14:paraId="768473A4">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50870-2013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建筑施工安全技术规范》</w:t>
      </w:r>
    </w:p>
    <w:p w14:paraId="745F15E5">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JGJ 80-2016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建筑施工高处作业安全规程》</w:t>
      </w:r>
    </w:p>
    <w:p w14:paraId="295DE851">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50194-2014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建设工程现场供电安全标准》</w:t>
      </w:r>
    </w:p>
    <w:p w14:paraId="024BA024">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50358-2017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工程总承包管理规范》</w:t>
      </w:r>
    </w:p>
    <w:p w14:paraId="5E7D805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16297-1996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大气污染物排放标准》</w:t>
      </w:r>
    </w:p>
    <w:p w14:paraId="54C41A1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8978-1996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污水综合排放标准》</w:t>
      </w:r>
    </w:p>
    <w:p w14:paraId="45F7BC3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18599-2020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工业固废处置污染控制标准》</w:t>
      </w:r>
    </w:p>
    <w:p w14:paraId="391D7F9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 18597-2023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危险废物贮存污染控制标准》</w:t>
      </w:r>
    </w:p>
    <w:p w14:paraId="726D4673">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50640-2020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建筑工程绿色施工评价标准》</w:t>
      </w:r>
    </w:p>
    <w:p w14:paraId="0976272F">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GB/T 51188-2016 </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给排水系统安全评价标准》</w:t>
      </w:r>
    </w:p>
    <w:p w14:paraId="0E3E7E73">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GB50300                      《建筑工程施工质量验收统一标准》</w:t>
      </w:r>
    </w:p>
    <w:p w14:paraId="39750FA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GB50666</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t xml:space="preserve">                   《混凝土结构工程施工规范》</w:t>
      </w:r>
    </w:p>
    <w:p w14:paraId="4F58362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GB50203                      《砌体结构工程施工质量验收规范》</w:t>
      </w:r>
    </w:p>
    <w:p w14:paraId="268E9665">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50204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《混凝土结构工程施工质量验收规范》</w:t>
      </w:r>
    </w:p>
    <w:p w14:paraId="09E237FA">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50206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《木结构工程施工质量验收规范》</w:t>
      </w:r>
    </w:p>
    <w:p w14:paraId="4E68E245">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50210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《建筑装饰装修工程质量验收规范》</w:t>
      </w:r>
    </w:p>
    <w:p w14:paraId="06D3CE5C">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50242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《建筑给水排水及采暖工程施工质量验收规范》</w:t>
      </w:r>
    </w:p>
    <w:p w14:paraId="49E19122">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50243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《通风与空调工程施工质量验收规范》</w:t>
      </w:r>
      <w:r>
        <w:rPr>
          <w:rFonts w:hint="eastAsia" w:asciiTheme="minorEastAsia" w:hAnsiTheme="minorEastAsia" w:eastAsiaTheme="minorEastAsia" w:cstheme="minorEastAsia"/>
          <w:sz w:val="24"/>
          <w:szCs w:val="24"/>
        </w:rPr>
        <w:tab/>
      </w:r>
    </w:p>
    <w:p w14:paraId="706C1EC4">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50303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《建筑电气工程施工质量验收规范》</w:t>
      </w:r>
    </w:p>
    <w:p w14:paraId="5385639B">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GB50207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《屋面工程质量验收规范》</w:t>
      </w:r>
    </w:p>
    <w:p w14:paraId="35DC467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50411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《建筑节能工程施工质量验收规范》</w:t>
      </w:r>
    </w:p>
    <w:p w14:paraId="4553313A">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GB50208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《地下防水工程质量验收规范》</w:t>
      </w:r>
    </w:p>
    <w:p w14:paraId="070B0A1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GB50209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《建筑地面工程施工质量验收规范》</w:t>
      </w:r>
    </w:p>
    <w:p w14:paraId="259F60C5">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JGJ/T104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《建筑工程冬期施工规程》</w:t>
      </w:r>
    </w:p>
    <w:p w14:paraId="2284B940">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《高层建筑混凝土结构技术规程》</w:t>
      </w:r>
    </w:p>
    <w:p w14:paraId="2F1AD030">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GB/T50640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《建筑工程绿色施工评价标准》</w:t>
      </w:r>
    </w:p>
    <w:p w14:paraId="09FEF803">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GB/T50375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《建筑工程施工质量评价标准》</w:t>
      </w:r>
    </w:p>
    <w:p w14:paraId="542E91AF">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50025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《湿陷性黄土地区建筑规范》</w:t>
      </w:r>
    </w:p>
    <w:p w14:paraId="488C0C53">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GB50576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《铝合金结构工程施工质量验收规范》</w:t>
      </w:r>
    </w:p>
    <w:p w14:paraId="57C7F568">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GB51004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《建筑地基基础工程施工规范》</w:t>
      </w:r>
    </w:p>
    <w:p w14:paraId="415C81FC">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 50330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《建筑边坡工程技术规范》</w:t>
      </w:r>
    </w:p>
    <w:p w14:paraId="250702E9">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146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《建设工程施工现场环境与卫生标准》</w:t>
      </w:r>
    </w:p>
    <w:p w14:paraId="3460ABEA">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33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《建筑机械使用安全技术规程》</w:t>
      </w:r>
    </w:p>
    <w:p w14:paraId="32F03C2E">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JGJT 189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《建筑起重机械安全评估技术规程》</w:t>
      </w:r>
    </w:p>
    <w:p w14:paraId="65842B78">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JGJ59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《建筑施工安全检查标准》</w:t>
      </w:r>
    </w:p>
    <w:p w14:paraId="4E4B9C38">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202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《建筑施工工具式脚手架安全技术规范》</w:t>
      </w:r>
    </w:p>
    <w:p w14:paraId="1D6AE966">
      <w:pPr>
        <w:spacing w:line="460" w:lineRule="exact"/>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130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《建筑施工扣件式钢管脚手架安全技术规范》</w:t>
      </w:r>
    </w:p>
    <w:p w14:paraId="6777F74B">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JGJ 128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《建筑施工门式钢管脚手架安全技术规范》</w:t>
      </w:r>
    </w:p>
    <w:p w14:paraId="00E9CF4F">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276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《建筑施工起重吊装安全技术规范》</w:t>
      </w:r>
    </w:p>
    <w:p w14:paraId="78486608">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125</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《建筑施工升降机安装、使用、拆卸安全技术规程》</w:t>
      </w:r>
    </w:p>
    <w:p w14:paraId="7B9906A3">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196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《建筑施工塔式起重机安装、使用、拆卸安全技术规程》</w:t>
      </w:r>
    </w:p>
    <w:p w14:paraId="5CEC8772">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184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《建筑施工作业劳动保护用品配备及使用标准》</w:t>
      </w:r>
    </w:p>
    <w:p w14:paraId="003A9C25">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 46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《施工现场临时用电安全技术规范》</w:t>
      </w:r>
    </w:p>
    <w:p w14:paraId="7FAF4CA3">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GB50214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《组合钢模板技术规范》</w:t>
      </w:r>
    </w:p>
    <w:p w14:paraId="656B5511">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JGJ113</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《建筑玻璃应用技术规程》</w:t>
      </w:r>
    </w:p>
    <w:p w14:paraId="5BE0EB8D">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JGJ289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《建筑外墙外保温防火隔离带技术规程》</w:t>
      </w:r>
    </w:p>
    <w:p w14:paraId="362597C3">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JGJ80</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《建筑施工高处作业安全技术规范》</w:t>
      </w:r>
    </w:p>
    <w:p w14:paraId="0FA06889">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GB50194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《建设工程施工现场供用电安全规范》</w:t>
      </w:r>
    </w:p>
    <w:p w14:paraId="5A10001B">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JGJ107</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《钢筋机械连接技术规程》</w:t>
      </w:r>
    </w:p>
    <w:p w14:paraId="34B2FAE9">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 50311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《综合布线系统工程设计规范》</w:t>
      </w:r>
    </w:p>
    <w:p w14:paraId="61A9241D">
      <w:pPr>
        <w:tabs>
          <w:tab w:val="left" w:pos="340"/>
        </w:tabs>
        <w:spacing w:line="520" w:lineRule="exact"/>
        <w:rPr>
          <w:rFonts w:ascii="宋体" w:hAnsi="宋体" w:cs="仿宋"/>
          <w:sz w:val="24"/>
        </w:rPr>
      </w:pPr>
      <w:r>
        <w:rPr>
          <w:rFonts w:hint="eastAsia" w:ascii="宋体" w:hAnsi="宋体" w:cs="仿宋"/>
          <w:sz w:val="24"/>
        </w:rPr>
        <w:t>GB 50019                      《工业建筑供暖通风与空气调节设计规范》</w:t>
      </w:r>
    </w:p>
    <w:p w14:paraId="1D3849F7">
      <w:pPr>
        <w:spacing w:line="520" w:lineRule="exact"/>
        <w:rPr>
          <w:rFonts w:ascii="宋体" w:hAnsi="宋体" w:cs="仿宋"/>
          <w:sz w:val="24"/>
        </w:rPr>
      </w:pPr>
      <w:r>
        <w:rPr>
          <w:rFonts w:hint="eastAsia" w:ascii="宋体" w:hAnsi="宋体" w:cs="仿宋"/>
          <w:sz w:val="24"/>
        </w:rPr>
        <w:t>GB 50736                      《民用建筑供暖通风与空气调节设计规范》</w:t>
      </w:r>
    </w:p>
    <w:p w14:paraId="065F0827">
      <w:pPr>
        <w:spacing w:line="520" w:lineRule="exact"/>
        <w:rPr>
          <w:rFonts w:ascii="宋体" w:hAnsi="宋体" w:cs="仿宋"/>
          <w:sz w:val="24"/>
        </w:rPr>
      </w:pPr>
      <w:r>
        <w:rPr>
          <w:rFonts w:hint="eastAsia" w:ascii="宋体" w:hAnsi="宋体" w:cs="仿宋"/>
          <w:sz w:val="24"/>
        </w:rPr>
        <w:t>GB 50029                      《压缩空气站设计规范》</w:t>
      </w:r>
    </w:p>
    <w:p w14:paraId="2C01212B">
      <w:pPr>
        <w:spacing w:line="520" w:lineRule="exact"/>
        <w:rPr>
          <w:rFonts w:ascii="宋体" w:hAnsi="宋体" w:cs="仿宋"/>
          <w:sz w:val="24"/>
        </w:rPr>
      </w:pPr>
      <w:r>
        <w:rPr>
          <w:rFonts w:hint="eastAsia" w:ascii="宋体" w:hAnsi="宋体" w:cs="仿宋"/>
          <w:sz w:val="24"/>
        </w:rPr>
        <w:t>GB51251                       《建筑防排烟系统技术标准》</w:t>
      </w:r>
    </w:p>
    <w:p w14:paraId="41B7FF08">
      <w:pPr>
        <w:spacing w:line="520" w:lineRule="exact"/>
        <w:rPr>
          <w:rFonts w:ascii="宋体" w:hAnsi="宋体" w:cs="仿宋"/>
          <w:sz w:val="24"/>
        </w:rPr>
      </w:pPr>
      <w:r>
        <w:rPr>
          <w:rFonts w:hint="eastAsia" w:ascii="宋体" w:hAnsi="宋体" w:cs="仿宋"/>
          <w:sz w:val="24"/>
        </w:rPr>
        <w:t>GBZ1                          《工业企业设计卫生标准》</w:t>
      </w:r>
    </w:p>
    <w:p w14:paraId="0C5458B7">
      <w:pPr>
        <w:spacing w:line="520" w:lineRule="exact"/>
        <w:rPr>
          <w:rFonts w:ascii="宋体" w:hAnsi="宋体" w:cs="仿宋"/>
          <w:sz w:val="24"/>
        </w:rPr>
      </w:pPr>
      <w:r>
        <w:rPr>
          <w:rFonts w:hint="eastAsia" w:ascii="宋体" w:hAnsi="宋体" w:cs="仿宋"/>
          <w:sz w:val="24"/>
        </w:rPr>
        <w:t>GB/T 50087                    《工业企业噪声控制设计规范》</w:t>
      </w:r>
    </w:p>
    <w:p w14:paraId="345BEA9A">
      <w:pPr>
        <w:pStyle w:val="17"/>
        <w:spacing w:after="0" w:line="460" w:lineRule="exact"/>
        <w:ind w:left="0" w:leftChars="0" w:firstLine="0" w:firstLineChars="0"/>
        <w:rPr>
          <w:rFonts w:asciiTheme="minorEastAsia" w:hAnsiTheme="minorEastAsia" w:eastAsiaTheme="minorEastAsia" w:cstheme="minorEastAsia"/>
          <w:sz w:val="24"/>
          <w:szCs w:val="24"/>
        </w:rPr>
      </w:pPr>
    </w:p>
    <w:p w14:paraId="363F3C35">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常用市政道路工程</w:t>
      </w:r>
    </w:p>
    <w:p w14:paraId="33BEB354">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CJJ1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《城镇道路工程施工与质量验收规范》</w:t>
      </w:r>
    </w:p>
    <w:p w14:paraId="34456A62">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GB50268</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《给水排水管道工程施工及验收规范》</w:t>
      </w:r>
    </w:p>
    <w:p w14:paraId="73C0F805">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CJJ2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《城市桥梁工程施工与质量验收规范》</w:t>
      </w:r>
    </w:p>
    <w:p w14:paraId="3EF72CC7">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GB50204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《混凝土结构工程施工质量验收规范》</w:t>
      </w:r>
    </w:p>
    <w:p w14:paraId="495DC1F2">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JTJ 034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《公路工程质量检验评定标准》</w:t>
      </w:r>
    </w:p>
    <w:p w14:paraId="4142C3CA">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CJJ89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《城市道路照明工程施工及验收规程》</w:t>
      </w:r>
    </w:p>
    <w:p w14:paraId="50706D35">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GB7000.1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《灯具一般安全要求与实验》</w:t>
      </w:r>
    </w:p>
    <w:p w14:paraId="6E3D6DC1">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GB50169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《接地装置施工及验收规范》</w:t>
      </w:r>
    </w:p>
    <w:p w14:paraId="4E668D1C">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GB50259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《电气照明装置施工及验收规范》</w:t>
      </w:r>
    </w:p>
    <w:p w14:paraId="2754697D">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《市政基础设施工程施工质量验收统一标准》</w:t>
      </w:r>
    </w:p>
    <w:p w14:paraId="434AAE67">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GB50069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《给水排水工程构筑物设计规范》</w:t>
      </w:r>
    </w:p>
    <w:p w14:paraId="5502B65D">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JTF80/1</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《公路工程质量检验评定标准》</w:t>
      </w:r>
    </w:p>
    <w:p w14:paraId="7AA2551D">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GB50092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《沥青路面施工及验收规范》</w:t>
      </w:r>
    </w:p>
    <w:p w14:paraId="483D99E1">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JTJ034</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《公路路面基层施工技术规范》</w:t>
      </w:r>
    </w:p>
    <w:p w14:paraId="570699E2">
      <w:pPr>
        <w:pStyle w:val="17"/>
        <w:spacing w:after="0" w:line="460" w:lineRule="exact"/>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CJJ89</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《城市道路照明工程施工及验收规程》</w:t>
      </w:r>
    </w:p>
    <w:p w14:paraId="09898900">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DG/TJ08-236</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《市政地下工程施工质量验收规范》</w:t>
      </w:r>
    </w:p>
    <w:p w14:paraId="1EC65745">
      <w:pPr>
        <w:pStyle w:val="17"/>
        <w:spacing w:after="0" w:line="460" w:lineRule="exact"/>
        <w:ind w:left="0" w:leftChars="0" w:firstLine="0" w:firstLineChars="0"/>
        <w:rPr>
          <w:rFonts w:asciiTheme="minorEastAsia" w:hAnsiTheme="minorEastAsia" w:eastAsiaTheme="minorEastAsia" w:cstheme="minorEastAsia"/>
          <w:sz w:val="24"/>
          <w:szCs w:val="24"/>
        </w:rPr>
      </w:pPr>
    </w:p>
    <w:p w14:paraId="52595C7C">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常用园林绿化工程</w:t>
      </w:r>
    </w:p>
    <w:p w14:paraId="52886A6A">
      <w:pPr>
        <w:pStyle w:val="17"/>
        <w:spacing w:after="0" w:line="460" w:lineRule="exact"/>
        <w:ind w:left="0" w:leftChars="0" w:firstLine="0" w:firstLineChars="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CJJ 82</w:t>
      </w:r>
      <w:r>
        <w:rPr>
          <w:rFonts w:hint="eastAsia" w:asciiTheme="minorEastAsia" w:hAnsiTheme="minorEastAsia" w:eastAsiaTheme="minorEastAsia" w:cstheme="minorEastAsia"/>
          <w:bCs/>
          <w:sz w:val="24"/>
          <w:szCs w:val="24"/>
        </w:rPr>
        <w:t xml:space="preserve">                        </w:t>
      </w:r>
      <w:r>
        <w:rPr>
          <w:rFonts w:hint="eastAsia" w:asciiTheme="minorEastAsia" w:hAnsiTheme="minorEastAsia" w:eastAsiaTheme="minorEastAsia" w:cstheme="minorEastAsia"/>
          <w:sz w:val="24"/>
          <w:szCs w:val="24"/>
        </w:rPr>
        <w:t>《园林绿化工程施工及验收规范》</w:t>
      </w:r>
    </w:p>
    <w:p w14:paraId="1226CC51">
      <w:pPr>
        <w:pStyle w:val="23"/>
        <w:ind w:firstLine="0" w:firstLineChars="0"/>
        <w:rPr>
          <w:rFonts w:hint="default"/>
        </w:rPr>
      </w:pPr>
    </w:p>
    <w:p w14:paraId="4931C26B">
      <w:pPr>
        <w:pStyle w:val="23"/>
        <w:ind w:firstLine="0" w:firstLineChars="0"/>
        <w:rPr>
          <w:rFonts w:hint="default"/>
        </w:rPr>
      </w:pPr>
    </w:p>
    <w:p w14:paraId="2283FA6C">
      <w:pPr>
        <w:pStyle w:val="23"/>
        <w:ind w:firstLine="0" w:firstLineChars="0"/>
        <w:rPr>
          <w:rFonts w:hint="default"/>
        </w:rPr>
      </w:pPr>
    </w:p>
    <w:p w14:paraId="7A0EFFDE">
      <w:pPr>
        <w:pStyle w:val="23"/>
        <w:ind w:firstLine="0" w:firstLineChars="0"/>
        <w:rPr>
          <w:rFonts w:hint="default"/>
        </w:rPr>
      </w:pPr>
    </w:p>
    <w:p w14:paraId="6178571C">
      <w:pPr>
        <w:pStyle w:val="23"/>
        <w:ind w:firstLine="0" w:firstLineChars="0"/>
        <w:rPr>
          <w:rFonts w:hint="default"/>
        </w:rPr>
      </w:pPr>
    </w:p>
    <w:p w14:paraId="03F59748">
      <w:pPr>
        <w:pStyle w:val="23"/>
        <w:ind w:firstLine="0" w:firstLineChars="0"/>
        <w:rPr>
          <w:rFonts w:hint="default"/>
        </w:rPr>
      </w:pPr>
    </w:p>
    <w:p w14:paraId="18184E49">
      <w:pPr>
        <w:pStyle w:val="23"/>
        <w:ind w:firstLine="0" w:firstLineChars="0"/>
        <w:rPr>
          <w:rFonts w:hint="default"/>
        </w:rPr>
      </w:pPr>
    </w:p>
    <w:p w14:paraId="14217921">
      <w:pPr>
        <w:pStyle w:val="23"/>
        <w:ind w:firstLine="0" w:firstLineChars="0"/>
        <w:rPr>
          <w:rFonts w:hint="default"/>
        </w:rPr>
      </w:pPr>
    </w:p>
    <w:p w14:paraId="30543C43">
      <w:pPr>
        <w:pStyle w:val="23"/>
        <w:ind w:firstLine="0" w:firstLineChars="0"/>
        <w:rPr>
          <w:rFonts w:hint="default"/>
        </w:rPr>
      </w:pPr>
    </w:p>
    <w:p w14:paraId="2F912625">
      <w:pPr>
        <w:pStyle w:val="23"/>
        <w:ind w:firstLine="0" w:firstLineChars="0"/>
        <w:rPr>
          <w:rFonts w:hint="default"/>
        </w:rPr>
      </w:pPr>
    </w:p>
    <w:p w14:paraId="200A9E05">
      <w:r>
        <w:rPr>
          <w:rFonts w:hint="eastAsia"/>
        </w:rPr>
        <w:br w:type="page"/>
      </w:r>
    </w:p>
    <w:p w14:paraId="340C538D">
      <w:pPr>
        <w:jc w:val="center"/>
        <w:rPr>
          <w:rFonts w:ascii="宋体" w:hAnsi="宋体"/>
          <w:b/>
          <w:sz w:val="52"/>
          <w:szCs w:val="52"/>
        </w:rPr>
      </w:pPr>
    </w:p>
    <w:p w14:paraId="7E5F752E">
      <w:pPr>
        <w:jc w:val="center"/>
        <w:rPr>
          <w:rFonts w:ascii="宋体" w:hAnsi="宋体"/>
          <w:b/>
          <w:sz w:val="44"/>
          <w:szCs w:val="44"/>
        </w:rPr>
      </w:pPr>
      <w:r>
        <w:rPr>
          <w:rFonts w:hint="eastAsia" w:ascii="宋体" w:hAnsi="宋体"/>
          <w:b/>
          <w:sz w:val="44"/>
          <w:szCs w:val="44"/>
        </w:rPr>
        <w:t>年产50万吨食品包装原纸技改工程变更项目</w:t>
      </w:r>
    </w:p>
    <w:p w14:paraId="7F97A00B">
      <w:pPr>
        <w:jc w:val="center"/>
        <w:rPr>
          <w:rFonts w:ascii="宋体" w:hAnsi="宋体"/>
          <w:b/>
          <w:sz w:val="44"/>
          <w:szCs w:val="44"/>
        </w:rPr>
      </w:pPr>
      <w:r>
        <w:rPr>
          <w:rFonts w:hint="eastAsia" w:ascii="宋体" w:hAnsi="宋体"/>
          <w:b/>
          <w:sz w:val="44"/>
          <w:szCs w:val="44"/>
        </w:rPr>
        <w:t>（年产20万吨竹浆技改项目）</w:t>
      </w:r>
    </w:p>
    <w:p w14:paraId="5B72A397">
      <w:pPr>
        <w:jc w:val="center"/>
        <w:rPr>
          <w:rFonts w:ascii="宋体" w:hAnsi="宋体"/>
          <w:b/>
          <w:sz w:val="44"/>
          <w:szCs w:val="44"/>
        </w:rPr>
      </w:pPr>
      <w:r>
        <w:rPr>
          <w:rFonts w:hint="eastAsia" w:ascii="宋体" w:hAnsi="宋体"/>
          <w:b/>
          <w:sz w:val="44"/>
          <w:szCs w:val="44"/>
        </w:rPr>
        <w:t>EPC工程总承包</w:t>
      </w:r>
    </w:p>
    <w:p w14:paraId="61CF552F">
      <w:pPr>
        <w:jc w:val="center"/>
        <w:rPr>
          <w:rFonts w:ascii="宋体" w:hAnsi="宋体"/>
          <w:b/>
          <w:sz w:val="44"/>
          <w:szCs w:val="44"/>
          <w:lang w:bidi="he-IL"/>
        </w:rPr>
      </w:pPr>
      <w:r>
        <w:rPr>
          <w:rFonts w:hint="eastAsia" w:ascii="宋体" w:hAnsi="宋体"/>
          <w:b/>
          <w:sz w:val="44"/>
          <w:szCs w:val="44"/>
          <w:lang w:bidi="he-IL"/>
        </w:rPr>
        <w:t>技术协议书</w:t>
      </w:r>
    </w:p>
    <w:p w14:paraId="73DD635F">
      <w:pPr>
        <w:spacing w:line="240" w:lineRule="atLeast"/>
        <w:jc w:val="center"/>
        <w:rPr>
          <w:rFonts w:asciiTheme="minorEastAsia" w:hAnsiTheme="minorEastAsia" w:eastAsiaTheme="minorEastAsia" w:cstheme="minorEastAsia"/>
          <w:b/>
          <w:sz w:val="44"/>
          <w:szCs w:val="44"/>
          <w:lang w:bidi="he-IL"/>
        </w:rPr>
      </w:pPr>
      <w:r>
        <w:rPr>
          <w:rFonts w:hint="eastAsia" w:asciiTheme="minorEastAsia" w:hAnsiTheme="minorEastAsia" w:eastAsiaTheme="minorEastAsia" w:cstheme="minorEastAsia"/>
          <w:b/>
          <w:sz w:val="44"/>
          <w:szCs w:val="44"/>
        </w:rPr>
        <w:t>第九篇</w:t>
      </w:r>
    </w:p>
    <w:p w14:paraId="55971EE0">
      <w:pPr>
        <w:spacing w:line="240" w:lineRule="atLeast"/>
        <w:jc w:val="center"/>
        <w:outlineLvl w:val="0"/>
        <w:rPr>
          <w:rFonts w:asciiTheme="minorEastAsia" w:hAnsiTheme="minorEastAsia" w:eastAsiaTheme="minorEastAsia" w:cstheme="minorEastAsia"/>
          <w:b/>
          <w:sz w:val="22"/>
        </w:rPr>
      </w:pPr>
      <w:bookmarkStart w:id="430" w:name="_Toc19871"/>
      <w:r>
        <w:rPr>
          <w:rFonts w:hint="eastAsia" w:asciiTheme="minorEastAsia" w:hAnsiTheme="minorEastAsia" w:eastAsiaTheme="minorEastAsia" w:cstheme="minorEastAsia"/>
          <w:b/>
          <w:sz w:val="44"/>
          <w:szCs w:val="44"/>
        </w:rPr>
        <w:t>«备品备件»部分</w:t>
      </w:r>
      <w:bookmarkEnd w:id="430"/>
    </w:p>
    <w:p w14:paraId="47F39302">
      <w:pPr>
        <w:spacing w:line="480" w:lineRule="auto"/>
        <w:jc w:val="center"/>
        <w:rPr>
          <w:rFonts w:ascii="Times New Roman" w:hAnsi="Times New Roman"/>
          <w:b/>
          <w:sz w:val="52"/>
          <w:szCs w:val="52"/>
        </w:rPr>
      </w:pPr>
    </w:p>
    <w:p w14:paraId="3326FB3E">
      <w:pPr>
        <w:spacing w:line="480" w:lineRule="auto"/>
        <w:jc w:val="center"/>
        <w:rPr>
          <w:rFonts w:ascii="Times New Roman" w:hAnsi="Times New Roman"/>
          <w:b/>
          <w:sz w:val="52"/>
          <w:szCs w:val="52"/>
        </w:rPr>
      </w:pPr>
    </w:p>
    <w:p w14:paraId="00E2ED59">
      <w:pPr>
        <w:spacing w:line="480" w:lineRule="auto"/>
        <w:jc w:val="center"/>
        <w:rPr>
          <w:rFonts w:ascii="Times New Roman" w:hAnsi="Times New Roman"/>
          <w:b/>
          <w:sz w:val="52"/>
          <w:szCs w:val="52"/>
        </w:rPr>
      </w:pPr>
    </w:p>
    <w:p w14:paraId="750E9FD5">
      <w:pPr>
        <w:spacing w:line="480" w:lineRule="auto"/>
        <w:rPr>
          <w:rFonts w:ascii="Times New Roman" w:hAnsi="Times New Roman"/>
          <w:b/>
          <w:sz w:val="52"/>
          <w:szCs w:val="52"/>
        </w:rPr>
      </w:pPr>
    </w:p>
    <w:p w14:paraId="455B2A20">
      <w:pPr>
        <w:spacing w:line="480" w:lineRule="auto"/>
        <w:rPr>
          <w:rFonts w:ascii="Times New Roman" w:hAnsi="Times New Roman"/>
          <w:b/>
          <w:sz w:val="72"/>
          <w:szCs w:val="72"/>
        </w:rPr>
      </w:pPr>
    </w:p>
    <w:p w14:paraId="4DD539C9">
      <w:pPr>
        <w:spacing w:line="500" w:lineRule="exact"/>
        <w:rPr>
          <w:rFonts w:ascii="Times New Roman" w:hAnsi="Times New Roman"/>
          <w:szCs w:val="28"/>
        </w:rPr>
      </w:pPr>
    </w:p>
    <w:p w14:paraId="6E4CF7E1">
      <w:pPr>
        <w:spacing w:line="500" w:lineRule="exact"/>
        <w:rPr>
          <w:rFonts w:ascii="Times New Roman" w:hAnsi="Times New Roman"/>
          <w:szCs w:val="28"/>
        </w:rPr>
      </w:pPr>
    </w:p>
    <w:p w14:paraId="2063B1E9">
      <w:pPr>
        <w:spacing w:line="500" w:lineRule="exact"/>
        <w:rPr>
          <w:rFonts w:ascii="Times New Roman" w:hAnsi="Times New Roman"/>
          <w:szCs w:val="28"/>
        </w:rPr>
      </w:pPr>
    </w:p>
    <w:p w14:paraId="11BE83AE">
      <w:pPr>
        <w:spacing w:line="500" w:lineRule="exact"/>
        <w:rPr>
          <w:rFonts w:ascii="Times New Roman" w:hAnsi="Times New Roman"/>
          <w:szCs w:val="28"/>
        </w:rPr>
      </w:pPr>
    </w:p>
    <w:p w14:paraId="4E495F51">
      <w:pPr>
        <w:spacing w:line="500" w:lineRule="exact"/>
        <w:rPr>
          <w:rFonts w:ascii="Times New Roman" w:hAnsi="Times New Roman"/>
          <w:szCs w:val="28"/>
        </w:rPr>
      </w:pPr>
    </w:p>
    <w:p w14:paraId="638C8E68">
      <w:pPr>
        <w:spacing w:line="500" w:lineRule="exact"/>
        <w:jc w:val="center"/>
        <w:rPr>
          <w:rFonts w:ascii="Times New Roman" w:hAnsi="Times New Roman"/>
          <w:sz w:val="32"/>
          <w:szCs w:val="32"/>
        </w:rPr>
      </w:pPr>
      <w:r>
        <w:rPr>
          <w:rFonts w:hint="eastAsia" w:ascii="Times New Roman" w:hAnsi="Times New Roman"/>
          <w:sz w:val="32"/>
          <w:szCs w:val="32"/>
        </w:rPr>
        <w:t>20</w:t>
      </w:r>
      <w:r>
        <w:rPr>
          <w:rFonts w:ascii="Times New Roman" w:hAnsi="Times New Roman"/>
          <w:sz w:val="32"/>
          <w:szCs w:val="32"/>
        </w:rPr>
        <w:t>2</w:t>
      </w:r>
      <w:r>
        <w:rPr>
          <w:rFonts w:hint="eastAsia" w:ascii="Times New Roman" w:hAnsi="Times New Roman"/>
          <w:sz w:val="32"/>
          <w:szCs w:val="32"/>
        </w:rPr>
        <w:t>5年</w:t>
      </w:r>
      <w:r>
        <w:rPr>
          <w:rFonts w:ascii="Times New Roman" w:hAnsi="Times New Roman"/>
          <w:sz w:val="32"/>
          <w:szCs w:val="32"/>
        </w:rPr>
        <w:t xml:space="preserve"> </w:t>
      </w:r>
      <w:r>
        <w:rPr>
          <w:rFonts w:hint="eastAsia" w:ascii="Times New Roman" w:hAnsi="Times New Roman"/>
          <w:sz w:val="32"/>
          <w:szCs w:val="32"/>
        </w:rPr>
        <w:t>3</w:t>
      </w:r>
      <w:r>
        <w:rPr>
          <w:rFonts w:ascii="Times New Roman" w:hAnsi="Times New Roman"/>
          <w:sz w:val="32"/>
          <w:szCs w:val="32"/>
        </w:rPr>
        <w:t xml:space="preserve"> </w:t>
      </w:r>
      <w:r>
        <w:rPr>
          <w:rFonts w:hint="eastAsia" w:ascii="Times New Roman" w:hAnsi="Times New Roman"/>
          <w:sz w:val="32"/>
          <w:szCs w:val="32"/>
        </w:rPr>
        <w:t>月</w:t>
      </w:r>
    </w:p>
    <w:p w14:paraId="3DE750DC">
      <w:pPr>
        <w:pStyle w:val="17"/>
        <w:ind w:left="560"/>
        <w:sectPr>
          <w:headerReference r:id="rId10" w:type="default"/>
          <w:pgSz w:w="11906" w:h="16838"/>
          <w:pgMar w:top="1440" w:right="1417" w:bottom="1440" w:left="1417" w:header="964" w:footer="992" w:gutter="0"/>
          <w:cols w:space="720" w:num="1"/>
          <w:docGrid w:type="lines" w:linePitch="312" w:charSpace="0"/>
        </w:sectPr>
      </w:pPr>
    </w:p>
    <w:p w14:paraId="0BE969A8">
      <w:pPr>
        <w:pStyle w:val="17"/>
        <w:ind w:left="0" w:leftChars="0" w:firstLine="0" w:firstLineChars="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4"/>
          <w:szCs w:val="24"/>
        </w:rPr>
        <w:t>本项目备品备件是发包方项目完工后应收到的备品备件，作为后期运行使用的备品备件，不含试机及保期内的备品。且该部分备品备件已含在承包方的报价中，不得另行收费。</w:t>
      </w:r>
    </w:p>
    <w:p w14:paraId="1123CA17">
      <w:pPr>
        <w:pStyle w:val="17"/>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8"/>
          <w:szCs w:val="28"/>
        </w:rPr>
        <w:t>机械部分：</w:t>
      </w:r>
    </w:p>
    <w:p w14:paraId="546E4229">
      <w:pPr>
        <w:rPr>
          <w:rFonts w:ascii="宋体" w:hAnsi="宋体"/>
          <w:bCs/>
          <w:szCs w:val="28"/>
        </w:rPr>
      </w:pPr>
      <w:r>
        <w:rPr>
          <w:rFonts w:hint="eastAsia" w:ascii="宋体" w:hAnsi="宋体"/>
          <w:bCs/>
          <w:szCs w:val="28"/>
        </w:rPr>
        <w:t>蒸煮工段：</w:t>
      </w:r>
    </w:p>
    <w:tbl>
      <w:tblPr>
        <w:tblStyle w:val="18"/>
        <w:tblW w:w="8652" w:type="dxa"/>
        <w:jc w:val="center"/>
        <w:tblLayout w:type="fixed"/>
        <w:tblCellMar>
          <w:top w:w="15" w:type="dxa"/>
          <w:left w:w="15" w:type="dxa"/>
          <w:bottom w:w="15" w:type="dxa"/>
          <w:right w:w="15" w:type="dxa"/>
        </w:tblCellMar>
      </w:tblPr>
      <w:tblGrid>
        <w:gridCol w:w="773"/>
        <w:gridCol w:w="2452"/>
        <w:gridCol w:w="992"/>
        <w:gridCol w:w="4435"/>
      </w:tblGrid>
      <w:tr w14:paraId="048C1E88">
        <w:tblPrEx>
          <w:tblCellMar>
            <w:top w:w="15" w:type="dxa"/>
            <w:left w:w="15" w:type="dxa"/>
            <w:bottom w:w="15" w:type="dxa"/>
            <w:right w:w="15" w:type="dxa"/>
          </w:tblCellMar>
        </w:tblPrEx>
        <w:trPr>
          <w:trHeight w:val="397"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7EB53DC">
            <w:pPr>
              <w:pStyle w:val="34"/>
              <w:jc w:val="center"/>
              <w:rPr>
                <w:rFonts w:ascii="宋体" w:hAnsi="宋体" w:cs="仿宋"/>
                <w:bCs/>
                <w:sz w:val="24"/>
                <w:szCs w:val="24"/>
              </w:rPr>
            </w:pPr>
            <w:r>
              <w:rPr>
                <w:rFonts w:hint="eastAsia" w:ascii="宋体" w:hAnsi="宋体" w:cs="仿宋"/>
                <w:bCs/>
                <w:sz w:val="24"/>
                <w:szCs w:val="24"/>
              </w:rPr>
              <w:t>序号</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D3D6F1D">
            <w:pPr>
              <w:pStyle w:val="34"/>
              <w:jc w:val="center"/>
              <w:rPr>
                <w:rFonts w:ascii="宋体" w:hAnsi="宋体" w:cs="仿宋"/>
                <w:bCs/>
                <w:sz w:val="24"/>
                <w:szCs w:val="24"/>
              </w:rPr>
            </w:pPr>
            <w:r>
              <w:rPr>
                <w:rFonts w:hint="eastAsia" w:ascii="宋体" w:hAnsi="宋体" w:cs="仿宋"/>
                <w:bCs/>
                <w:sz w:val="24"/>
                <w:szCs w:val="24"/>
              </w:rPr>
              <w:t>备件名称</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60EA871">
            <w:pPr>
              <w:pStyle w:val="34"/>
              <w:jc w:val="center"/>
              <w:rPr>
                <w:rFonts w:ascii="宋体" w:hAnsi="宋体" w:cs="仿宋"/>
                <w:bCs/>
                <w:sz w:val="24"/>
                <w:szCs w:val="24"/>
              </w:rPr>
            </w:pPr>
            <w:r>
              <w:rPr>
                <w:rFonts w:hint="eastAsia" w:ascii="宋体" w:hAnsi="宋体" w:cs="仿宋"/>
                <w:bCs/>
                <w:sz w:val="24"/>
                <w:szCs w:val="24"/>
              </w:rPr>
              <w:t>数量</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D1E6F90">
            <w:pPr>
              <w:pStyle w:val="34"/>
              <w:jc w:val="center"/>
              <w:rPr>
                <w:rFonts w:ascii="宋体" w:hAnsi="宋体" w:cs="仿宋"/>
                <w:bCs/>
                <w:sz w:val="24"/>
                <w:szCs w:val="24"/>
              </w:rPr>
            </w:pPr>
            <w:r>
              <w:rPr>
                <w:rFonts w:hint="eastAsia" w:ascii="宋体" w:hAnsi="宋体" w:cs="仿宋"/>
                <w:bCs/>
                <w:sz w:val="24"/>
                <w:szCs w:val="24"/>
              </w:rPr>
              <w:t>备注</w:t>
            </w:r>
          </w:p>
        </w:tc>
      </w:tr>
      <w:tr w14:paraId="0454B29B">
        <w:tblPrEx>
          <w:tblCellMar>
            <w:top w:w="15" w:type="dxa"/>
            <w:left w:w="15" w:type="dxa"/>
            <w:bottom w:w="15" w:type="dxa"/>
            <w:right w:w="15" w:type="dxa"/>
          </w:tblCellMar>
        </w:tblPrEx>
        <w:trPr>
          <w:trHeight w:val="766"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7212588">
            <w:pPr>
              <w:pStyle w:val="34"/>
              <w:jc w:val="center"/>
              <w:rPr>
                <w:rFonts w:ascii="宋体" w:hAnsi="宋体" w:cs="仿宋"/>
                <w:bCs/>
                <w:sz w:val="24"/>
                <w:szCs w:val="24"/>
              </w:rPr>
            </w:pPr>
            <w:r>
              <w:rPr>
                <w:rFonts w:hint="eastAsia" w:ascii="宋体" w:hAnsi="宋体" w:cs="仿宋"/>
                <w:bCs/>
                <w:sz w:val="24"/>
                <w:szCs w:val="24"/>
              </w:rPr>
              <w:t>2</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A00C833">
            <w:pPr>
              <w:pStyle w:val="34"/>
              <w:jc w:val="center"/>
              <w:rPr>
                <w:rFonts w:ascii="宋体" w:hAnsi="宋体" w:cs="仿宋"/>
                <w:bCs/>
                <w:sz w:val="24"/>
                <w:szCs w:val="24"/>
              </w:rPr>
            </w:pPr>
            <w:r>
              <w:rPr>
                <w:rFonts w:hint="eastAsia" w:ascii="宋体" w:hAnsi="宋体" w:cs="仿宋"/>
                <w:bCs/>
                <w:sz w:val="24"/>
                <w:szCs w:val="24"/>
              </w:rPr>
              <w:t>人孔垫片</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80662DA">
            <w:pPr>
              <w:pStyle w:val="34"/>
              <w:jc w:val="center"/>
              <w:rPr>
                <w:rFonts w:ascii="宋体" w:hAnsi="宋体" w:cs="仿宋"/>
                <w:bCs/>
                <w:sz w:val="24"/>
                <w:szCs w:val="24"/>
              </w:rPr>
            </w:pPr>
            <w:r>
              <w:rPr>
                <w:rFonts w:hint="eastAsia" w:ascii="宋体" w:hAnsi="宋体" w:cs="仿宋"/>
                <w:bCs/>
                <w:sz w:val="24"/>
                <w:szCs w:val="24"/>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F864B7D">
            <w:pPr>
              <w:pStyle w:val="34"/>
              <w:jc w:val="center"/>
              <w:rPr>
                <w:rFonts w:ascii="宋体" w:hAnsi="宋体" w:cs="仿宋"/>
                <w:bCs/>
                <w:sz w:val="24"/>
                <w:szCs w:val="24"/>
                <w:lang w:eastAsia="zh-CN"/>
              </w:rPr>
            </w:pPr>
            <w:r>
              <w:rPr>
                <w:rFonts w:hint="eastAsia" w:ascii="宋体" w:hAnsi="宋体" w:cs="仿宋"/>
                <w:bCs/>
                <w:sz w:val="24"/>
                <w:szCs w:val="24"/>
                <w:lang w:eastAsia="zh-CN"/>
              </w:rPr>
              <w:t>每个人孔备3套（按蒸煮区要求的同等质量配备）</w:t>
            </w:r>
          </w:p>
        </w:tc>
      </w:tr>
      <w:tr w14:paraId="6622E665">
        <w:tblPrEx>
          <w:tblCellMar>
            <w:top w:w="15" w:type="dxa"/>
            <w:left w:w="15" w:type="dxa"/>
            <w:bottom w:w="15" w:type="dxa"/>
            <w:right w:w="15" w:type="dxa"/>
          </w:tblCellMar>
        </w:tblPrEx>
        <w:trPr>
          <w:trHeight w:val="674"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77A14E2">
            <w:pPr>
              <w:pStyle w:val="34"/>
              <w:jc w:val="center"/>
              <w:rPr>
                <w:rFonts w:ascii="宋体" w:hAnsi="宋体" w:cs="仿宋"/>
                <w:bCs/>
                <w:sz w:val="24"/>
                <w:szCs w:val="24"/>
              </w:rPr>
            </w:pPr>
            <w:r>
              <w:rPr>
                <w:rFonts w:hint="eastAsia" w:ascii="宋体" w:hAnsi="宋体" w:cs="仿宋"/>
                <w:bCs/>
                <w:sz w:val="24"/>
                <w:szCs w:val="24"/>
              </w:rPr>
              <w:t>3</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D3A842E">
            <w:pPr>
              <w:pStyle w:val="34"/>
              <w:jc w:val="center"/>
              <w:rPr>
                <w:rFonts w:ascii="宋体" w:hAnsi="宋体" w:cs="仿宋"/>
                <w:bCs/>
                <w:sz w:val="24"/>
                <w:szCs w:val="24"/>
              </w:rPr>
            </w:pPr>
            <w:r>
              <w:rPr>
                <w:rFonts w:hint="eastAsia" w:ascii="宋体" w:hAnsi="宋体" w:cs="仿宋"/>
                <w:bCs/>
                <w:sz w:val="24"/>
                <w:szCs w:val="24"/>
              </w:rPr>
              <w:t>换热器封头垫片</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C3105CB">
            <w:pPr>
              <w:pStyle w:val="34"/>
              <w:jc w:val="center"/>
              <w:rPr>
                <w:rFonts w:ascii="宋体" w:hAnsi="宋体" w:cs="仿宋"/>
                <w:bCs/>
                <w:sz w:val="24"/>
                <w:szCs w:val="24"/>
              </w:rPr>
            </w:pPr>
            <w:r>
              <w:rPr>
                <w:rFonts w:hint="eastAsia" w:ascii="宋体" w:hAnsi="宋体" w:cs="仿宋"/>
                <w:bCs/>
                <w:sz w:val="24"/>
                <w:szCs w:val="24"/>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66DEADE">
            <w:pPr>
              <w:pStyle w:val="34"/>
              <w:jc w:val="center"/>
              <w:rPr>
                <w:rFonts w:ascii="宋体" w:hAnsi="宋体" w:cs="仿宋"/>
                <w:bCs/>
                <w:sz w:val="24"/>
                <w:szCs w:val="24"/>
                <w:lang w:eastAsia="zh-CN"/>
              </w:rPr>
            </w:pPr>
            <w:r>
              <w:rPr>
                <w:rFonts w:hint="eastAsia" w:ascii="宋体" w:hAnsi="宋体" w:cs="仿宋"/>
                <w:bCs/>
                <w:sz w:val="24"/>
                <w:szCs w:val="24"/>
                <w:lang w:eastAsia="zh-CN"/>
              </w:rPr>
              <w:t>每台换热器配2套（按蒸煮区要求的同等质量配备）</w:t>
            </w:r>
          </w:p>
        </w:tc>
      </w:tr>
      <w:tr w14:paraId="61BD1469">
        <w:tblPrEx>
          <w:tblCellMar>
            <w:top w:w="15" w:type="dxa"/>
            <w:left w:w="15" w:type="dxa"/>
            <w:bottom w:w="15" w:type="dxa"/>
            <w:right w:w="15" w:type="dxa"/>
          </w:tblCellMar>
        </w:tblPrEx>
        <w:trPr>
          <w:trHeight w:val="686" w:hRule="atLeast"/>
          <w:jc w:val="center"/>
        </w:trPr>
        <w:tc>
          <w:tcPr>
            <w:tcW w:w="77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793D2A0">
            <w:pPr>
              <w:pStyle w:val="34"/>
              <w:jc w:val="center"/>
              <w:rPr>
                <w:rFonts w:ascii="宋体" w:hAnsi="宋体" w:cs="仿宋"/>
                <w:bCs/>
                <w:sz w:val="24"/>
                <w:szCs w:val="24"/>
              </w:rPr>
            </w:pPr>
            <w:r>
              <w:rPr>
                <w:rFonts w:hint="eastAsia" w:ascii="宋体" w:hAnsi="宋体" w:cs="仿宋"/>
                <w:bCs/>
                <w:sz w:val="24"/>
                <w:szCs w:val="24"/>
              </w:rPr>
              <w:t>4</w:t>
            </w:r>
          </w:p>
        </w:tc>
        <w:tc>
          <w:tcPr>
            <w:tcW w:w="2452" w:type="dxa"/>
            <w:tcBorders>
              <w:top w:val="nil"/>
              <w:left w:val="nil"/>
              <w:bottom w:val="single" w:color="auto" w:sz="8" w:space="0"/>
              <w:right w:val="single" w:color="auto" w:sz="8" w:space="0"/>
            </w:tcBorders>
            <w:tcMar>
              <w:top w:w="0" w:type="dxa"/>
              <w:left w:w="108" w:type="dxa"/>
              <w:bottom w:w="0" w:type="dxa"/>
              <w:right w:w="108" w:type="dxa"/>
            </w:tcMar>
            <w:vAlign w:val="center"/>
          </w:tcPr>
          <w:p w14:paraId="2E60280E">
            <w:pPr>
              <w:pStyle w:val="34"/>
              <w:jc w:val="center"/>
              <w:rPr>
                <w:rFonts w:ascii="宋体" w:hAnsi="宋体" w:cs="仿宋"/>
                <w:bCs/>
                <w:sz w:val="24"/>
                <w:szCs w:val="24"/>
                <w:lang w:eastAsia="zh-CN"/>
              </w:rPr>
            </w:pPr>
            <w:r>
              <w:rPr>
                <w:rFonts w:hint="eastAsia" w:ascii="宋体" w:hAnsi="宋体" w:cs="仿宋"/>
                <w:bCs/>
                <w:sz w:val="24"/>
                <w:szCs w:val="24"/>
                <w:lang w:eastAsia="zh-CN"/>
              </w:rPr>
              <w:t>蒸煮区阀门（手动）</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14:paraId="0ED704F3">
            <w:pPr>
              <w:pStyle w:val="34"/>
              <w:jc w:val="center"/>
              <w:rPr>
                <w:rFonts w:ascii="宋体" w:hAnsi="宋体" w:cs="仿宋"/>
                <w:bCs/>
                <w:sz w:val="24"/>
                <w:szCs w:val="24"/>
              </w:rPr>
            </w:pPr>
            <w:r>
              <w:rPr>
                <w:rFonts w:hint="eastAsia" w:ascii="宋体" w:hAnsi="宋体" w:cs="仿宋"/>
                <w:bCs/>
                <w:sz w:val="24"/>
                <w:szCs w:val="24"/>
              </w:rPr>
              <w:t>1批</w:t>
            </w:r>
          </w:p>
        </w:tc>
        <w:tc>
          <w:tcPr>
            <w:tcW w:w="4435" w:type="dxa"/>
            <w:tcBorders>
              <w:top w:val="nil"/>
              <w:left w:val="nil"/>
              <w:bottom w:val="single" w:color="auto" w:sz="8" w:space="0"/>
              <w:right w:val="single" w:color="auto" w:sz="8" w:space="0"/>
            </w:tcBorders>
            <w:tcMar>
              <w:top w:w="0" w:type="dxa"/>
              <w:left w:w="108" w:type="dxa"/>
              <w:bottom w:w="0" w:type="dxa"/>
              <w:right w:w="108" w:type="dxa"/>
            </w:tcMar>
            <w:vAlign w:val="center"/>
          </w:tcPr>
          <w:p w14:paraId="69298D43">
            <w:pPr>
              <w:pStyle w:val="34"/>
              <w:jc w:val="center"/>
              <w:rPr>
                <w:rFonts w:ascii="宋体" w:hAnsi="宋体" w:cs="仿宋"/>
                <w:bCs/>
                <w:sz w:val="24"/>
                <w:szCs w:val="24"/>
                <w:lang w:eastAsia="zh-CN"/>
              </w:rPr>
            </w:pPr>
            <w:r>
              <w:rPr>
                <w:rFonts w:hint="eastAsia" w:ascii="宋体" w:hAnsi="宋体" w:cs="仿宋"/>
                <w:bCs/>
                <w:sz w:val="24"/>
                <w:szCs w:val="24"/>
                <w:lang w:eastAsia="zh-CN"/>
              </w:rPr>
              <w:t>材质按设计要求，各类型各型号规格不少于1个</w:t>
            </w:r>
          </w:p>
        </w:tc>
      </w:tr>
      <w:tr w14:paraId="26B5166C">
        <w:tblPrEx>
          <w:tblCellMar>
            <w:top w:w="15" w:type="dxa"/>
            <w:left w:w="15" w:type="dxa"/>
            <w:bottom w:w="15" w:type="dxa"/>
            <w:right w:w="15" w:type="dxa"/>
          </w:tblCellMar>
        </w:tblPrEx>
        <w:trPr>
          <w:trHeight w:val="811" w:hRule="atLeast"/>
          <w:jc w:val="center"/>
        </w:trPr>
        <w:tc>
          <w:tcPr>
            <w:tcW w:w="77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79FD1B33">
            <w:pPr>
              <w:pStyle w:val="34"/>
              <w:jc w:val="center"/>
              <w:rPr>
                <w:rFonts w:ascii="宋体" w:hAnsi="宋体" w:cs="仿宋"/>
                <w:bCs/>
                <w:sz w:val="24"/>
                <w:szCs w:val="24"/>
                <w:lang w:eastAsia="zh-CN"/>
              </w:rPr>
            </w:pPr>
          </w:p>
        </w:tc>
        <w:tc>
          <w:tcPr>
            <w:tcW w:w="2452" w:type="dxa"/>
            <w:tcBorders>
              <w:top w:val="nil"/>
              <w:left w:val="nil"/>
              <w:bottom w:val="single" w:color="auto" w:sz="8" w:space="0"/>
              <w:right w:val="single" w:color="auto" w:sz="8" w:space="0"/>
            </w:tcBorders>
            <w:tcMar>
              <w:top w:w="0" w:type="dxa"/>
              <w:left w:w="108" w:type="dxa"/>
              <w:bottom w:w="0" w:type="dxa"/>
              <w:right w:w="108" w:type="dxa"/>
            </w:tcMar>
            <w:vAlign w:val="center"/>
          </w:tcPr>
          <w:p w14:paraId="1B996D63">
            <w:pPr>
              <w:pStyle w:val="34"/>
              <w:jc w:val="center"/>
              <w:rPr>
                <w:rFonts w:ascii="宋体" w:hAnsi="宋体" w:cs="仿宋"/>
                <w:bCs/>
                <w:sz w:val="24"/>
                <w:szCs w:val="24"/>
                <w:lang w:eastAsia="zh-CN"/>
              </w:rPr>
            </w:pPr>
            <w:r>
              <w:rPr>
                <w:rFonts w:hint="eastAsia" w:ascii="宋体" w:hAnsi="宋体" w:cs="仿宋"/>
                <w:bCs/>
                <w:sz w:val="24"/>
                <w:szCs w:val="24"/>
                <w:lang w:eastAsia="zh-CN"/>
              </w:rPr>
              <w:t>管道法兰垫片</w:t>
            </w:r>
          </w:p>
        </w:tc>
        <w:tc>
          <w:tcPr>
            <w:tcW w:w="992" w:type="dxa"/>
            <w:tcBorders>
              <w:top w:val="nil"/>
              <w:left w:val="nil"/>
              <w:bottom w:val="single" w:color="auto" w:sz="8" w:space="0"/>
              <w:right w:val="single" w:color="auto" w:sz="8" w:space="0"/>
            </w:tcBorders>
            <w:tcMar>
              <w:top w:w="0" w:type="dxa"/>
              <w:left w:w="108" w:type="dxa"/>
              <w:bottom w:w="0" w:type="dxa"/>
              <w:right w:w="108" w:type="dxa"/>
            </w:tcMar>
            <w:vAlign w:val="center"/>
          </w:tcPr>
          <w:p w14:paraId="20CF5636">
            <w:pPr>
              <w:pStyle w:val="34"/>
              <w:jc w:val="center"/>
              <w:rPr>
                <w:rFonts w:ascii="宋体" w:hAnsi="宋体" w:cs="仿宋"/>
                <w:bCs/>
                <w:sz w:val="24"/>
                <w:szCs w:val="24"/>
                <w:lang w:eastAsia="zh-CN"/>
              </w:rPr>
            </w:pPr>
            <w:r>
              <w:rPr>
                <w:rFonts w:hint="eastAsia" w:ascii="宋体" w:hAnsi="宋体" w:cs="仿宋"/>
                <w:bCs/>
                <w:sz w:val="24"/>
                <w:szCs w:val="24"/>
                <w:lang w:eastAsia="zh-CN"/>
              </w:rPr>
              <w:t>1批</w:t>
            </w:r>
          </w:p>
        </w:tc>
        <w:tc>
          <w:tcPr>
            <w:tcW w:w="4435" w:type="dxa"/>
            <w:tcBorders>
              <w:top w:val="nil"/>
              <w:left w:val="nil"/>
              <w:bottom w:val="single" w:color="auto" w:sz="8" w:space="0"/>
              <w:right w:val="single" w:color="auto" w:sz="8" w:space="0"/>
            </w:tcBorders>
            <w:tcMar>
              <w:top w:w="0" w:type="dxa"/>
              <w:left w:w="108" w:type="dxa"/>
              <w:bottom w:w="0" w:type="dxa"/>
              <w:right w:w="108" w:type="dxa"/>
            </w:tcMar>
            <w:vAlign w:val="center"/>
          </w:tcPr>
          <w:p w14:paraId="4F851FDF">
            <w:pPr>
              <w:pStyle w:val="34"/>
              <w:jc w:val="center"/>
              <w:rPr>
                <w:rFonts w:ascii="宋体" w:hAnsi="宋体" w:cs="仿宋"/>
                <w:bCs/>
                <w:sz w:val="24"/>
                <w:szCs w:val="24"/>
                <w:lang w:eastAsia="zh-CN"/>
              </w:rPr>
            </w:pPr>
            <w:r>
              <w:rPr>
                <w:rFonts w:hint="eastAsia" w:ascii="宋体" w:hAnsi="宋体" w:cs="仿宋"/>
                <w:bCs/>
                <w:sz w:val="24"/>
                <w:szCs w:val="24"/>
                <w:lang w:eastAsia="zh-CN"/>
              </w:rPr>
              <w:t>每种规格</w:t>
            </w:r>
            <w:r>
              <w:rPr>
                <w:rFonts w:hint="eastAsia" w:cs="仿宋"/>
                <w:bCs/>
                <w:sz w:val="24"/>
                <w:szCs w:val="24"/>
                <w:lang w:eastAsia="zh-CN"/>
              </w:rPr>
              <w:t>按系统所需数量的5%，且不少于2片</w:t>
            </w:r>
            <w:r>
              <w:rPr>
                <w:rFonts w:hint="eastAsia" w:ascii="宋体" w:hAnsi="宋体" w:cs="仿宋"/>
                <w:bCs/>
                <w:sz w:val="24"/>
                <w:szCs w:val="24"/>
                <w:lang w:eastAsia="zh-CN"/>
              </w:rPr>
              <w:t>（按</w:t>
            </w:r>
            <w:r>
              <w:rPr>
                <w:rFonts w:hint="eastAsia" w:cs="仿宋"/>
                <w:bCs/>
                <w:sz w:val="24"/>
                <w:szCs w:val="24"/>
                <w:lang w:eastAsia="zh-CN"/>
              </w:rPr>
              <w:t>同等质量</w:t>
            </w:r>
            <w:r>
              <w:rPr>
                <w:rFonts w:hint="eastAsia" w:ascii="宋体" w:hAnsi="宋体" w:cs="仿宋"/>
                <w:bCs/>
                <w:sz w:val="24"/>
                <w:szCs w:val="24"/>
                <w:lang w:eastAsia="zh-CN"/>
              </w:rPr>
              <w:t>配备）</w:t>
            </w:r>
          </w:p>
        </w:tc>
      </w:tr>
      <w:tr w14:paraId="7674956A">
        <w:tblPrEx>
          <w:tblCellMar>
            <w:top w:w="15" w:type="dxa"/>
            <w:left w:w="15" w:type="dxa"/>
            <w:bottom w:w="15" w:type="dxa"/>
            <w:right w:w="15" w:type="dxa"/>
          </w:tblCellMar>
        </w:tblPrEx>
        <w:trPr>
          <w:trHeight w:val="1245"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FF523D2">
            <w:pPr>
              <w:pStyle w:val="34"/>
              <w:jc w:val="center"/>
              <w:rPr>
                <w:rFonts w:ascii="宋体" w:hAnsi="宋体" w:cs="仿宋"/>
                <w:bCs/>
                <w:sz w:val="24"/>
                <w:szCs w:val="24"/>
              </w:rPr>
            </w:pPr>
            <w:r>
              <w:rPr>
                <w:rFonts w:hint="eastAsia" w:ascii="宋体" w:hAnsi="宋体" w:cs="仿宋"/>
                <w:bCs/>
                <w:sz w:val="24"/>
                <w:szCs w:val="24"/>
              </w:rPr>
              <w:t>7</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6DC10C4">
            <w:pPr>
              <w:pStyle w:val="34"/>
              <w:jc w:val="center"/>
              <w:rPr>
                <w:rFonts w:ascii="宋体" w:hAnsi="宋体" w:cs="仿宋"/>
                <w:bCs/>
                <w:sz w:val="24"/>
                <w:szCs w:val="24"/>
              </w:rPr>
            </w:pPr>
            <w:r>
              <w:rPr>
                <w:rFonts w:hint="eastAsia" w:ascii="宋体" w:hAnsi="宋体" w:cs="仿宋"/>
                <w:bCs/>
                <w:sz w:val="24"/>
                <w:szCs w:val="24"/>
              </w:rPr>
              <w:t>泵类联轴器</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FF7A1E5">
            <w:pPr>
              <w:pStyle w:val="34"/>
              <w:jc w:val="center"/>
              <w:rPr>
                <w:rFonts w:ascii="宋体" w:hAnsi="宋体" w:cs="仿宋"/>
                <w:bCs/>
                <w:sz w:val="24"/>
                <w:szCs w:val="24"/>
              </w:rPr>
            </w:pPr>
            <w:r>
              <w:rPr>
                <w:rFonts w:hint="eastAsia" w:ascii="宋体" w:hAnsi="宋体" w:cs="仿宋"/>
                <w:bCs/>
                <w:sz w:val="24"/>
                <w:szCs w:val="24"/>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ADBF1BB">
            <w:pPr>
              <w:pStyle w:val="34"/>
              <w:jc w:val="center"/>
              <w:rPr>
                <w:rFonts w:ascii="宋体" w:hAnsi="宋体" w:cs="仿宋"/>
                <w:bCs/>
                <w:sz w:val="24"/>
                <w:szCs w:val="24"/>
                <w:lang w:eastAsia="zh-CN"/>
              </w:rPr>
            </w:pPr>
            <w:r>
              <w:rPr>
                <w:rFonts w:hint="eastAsia" w:ascii="宋体" w:hAnsi="宋体" w:cs="仿宋"/>
                <w:bCs/>
                <w:sz w:val="24"/>
                <w:szCs w:val="24"/>
                <w:lang w:eastAsia="zh-CN"/>
              </w:rPr>
              <w:t>两台及以上同一型号泵轴承座及配套电机的各种型号，同型号的每种1套，单一型号的仅备联轴器膜片/弹性块1套</w:t>
            </w:r>
          </w:p>
        </w:tc>
      </w:tr>
      <w:tr w14:paraId="7F8B182E">
        <w:tblPrEx>
          <w:tblCellMar>
            <w:top w:w="15" w:type="dxa"/>
            <w:left w:w="15" w:type="dxa"/>
            <w:bottom w:w="15" w:type="dxa"/>
            <w:right w:w="15" w:type="dxa"/>
          </w:tblCellMar>
        </w:tblPrEx>
        <w:trPr>
          <w:trHeight w:val="90"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D11C9FA">
            <w:pPr>
              <w:pStyle w:val="34"/>
              <w:jc w:val="center"/>
              <w:rPr>
                <w:rFonts w:ascii="宋体" w:hAnsi="宋体" w:cs="仿宋"/>
                <w:bCs/>
                <w:sz w:val="24"/>
                <w:szCs w:val="24"/>
              </w:rPr>
            </w:pPr>
            <w:r>
              <w:rPr>
                <w:rFonts w:hint="eastAsia" w:ascii="宋体" w:hAnsi="宋体" w:cs="仿宋"/>
                <w:bCs/>
                <w:sz w:val="24"/>
                <w:szCs w:val="24"/>
              </w:rPr>
              <w:t>8</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FE1CA95">
            <w:pPr>
              <w:pStyle w:val="34"/>
              <w:jc w:val="center"/>
              <w:rPr>
                <w:rFonts w:ascii="宋体" w:hAnsi="宋体" w:cs="仿宋"/>
                <w:bCs/>
                <w:sz w:val="24"/>
                <w:szCs w:val="24"/>
              </w:rPr>
            </w:pPr>
            <w:r>
              <w:rPr>
                <w:rFonts w:hint="eastAsia" w:ascii="宋体" w:hAnsi="宋体" w:cs="仿宋"/>
                <w:bCs/>
                <w:sz w:val="24"/>
                <w:szCs w:val="24"/>
              </w:rPr>
              <w:t>泵类轴承箱体</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6BED1F8">
            <w:pPr>
              <w:pStyle w:val="34"/>
              <w:jc w:val="center"/>
              <w:rPr>
                <w:rFonts w:ascii="宋体" w:hAnsi="宋体" w:cs="仿宋"/>
                <w:bCs/>
                <w:sz w:val="24"/>
                <w:szCs w:val="24"/>
              </w:rPr>
            </w:pPr>
            <w:r>
              <w:rPr>
                <w:rFonts w:hint="eastAsia" w:ascii="宋体" w:hAnsi="宋体" w:cs="仿宋"/>
                <w:bCs/>
                <w:sz w:val="24"/>
                <w:szCs w:val="24"/>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8FBAB27">
            <w:pPr>
              <w:pStyle w:val="34"/>
              <w:jc w:val="center"/>
              <w:rPr>
                <w:rFonts w:ascii="宋体" w:hAnsi="宋体" w:cs="仿宋"/>
                <w:bCs/>
                <w:sz w:val="24"/>
                <w:szCs w:val="24"/>
                <w:lang w:eastAsia="zh-CN"/>
              </w:rPr>
            </w:pPr>
            <w:r>
              <w:rPr>
                <w:rFonts w:hint="eastAsia" w:ascii="宋体" w:hAnsi="宋体" w:cs="仿宋"/>
                <w:bCs/>
                <w:sz w:val="24"/>
                <w:szCs w:val="24"/>
                <w:lang w:eastAsia="zh-CN"/>
              </w:rPr>
              <w:t>两台及以上数量同一型号泵轴承座各种型号，每种1套</w:t>
            </w:r>
          </w:p>
          <w:p w14:paraId="23AA2CA6">
            <w:pPr>
              <w:pStyle w:val="34"/>
              <w:jc w:val="center"/>
              <w:rPr>
                <w:rFonts w:ascii="宋体" w:hAnsi="宋体" w:cs="仿宋"/>
                <w:bCs/>
                <w:sz w:val="24"/>
                <w:szCs w:val="24"/>
                <w:lang w:eastAsia="zh-CN"/>
              </w:rPr>
            </w:pPr>
            <w:r>
              <w:rPr>
                <w:rFonts w:hint="eastAsia" w:ascii="宋体" w:hAnsi="宋体" w:cs="仿宋"/>
                <w:bCs/>
                <w:sz w:val="24"/>
                <w:szCs w:val="24"/>
                <w:lang w:eastAsia="zh-CN"/>
              </w:rPr>
              <w:t>含：轴、轴承座、轴承盖、轴承、密封件等整套轴承箱体部件</w:t>
            </w:r>
          </w:p>
        </w:tc>
      </w:tr>
      <w:tr w14:paraId="3A733ABF">
        <w:tblPrEx>
          <w:tblCellMar>
            <w:top w:w="15" w:type="dxa"/>
            <w:left w:w="15" w:type="dxa"/>
            <w:bottom w:w="15" w:type="dxa"/>
            <w:right w:w="15" w:type="dxa"/>
          </w:tblCellMar>
        </w:tblPrEx>
        <w:trPr>
          <w:trHeight w:val="1171"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5C6EEB9">
            <w:pPr>
              <w:pStyle w:val="34"/>
              <w:jc w:val="center"/>
              <w:rPr>
                <w:rFonts w:ascii="宋体" w:hAnsi="宋体" w:cs="仿宋"/>
                <w:bCs/>
                <w:sz w:val="24"/>
                <w:szCs w:val="24"/>
                <w:lang w:eastAsia="zh-CN"/>
              </w:rPr>
            </w:pPr>
            <w:r>
              <w:rPr>
                <w:rFonts w:hint="eastAsia" w:ascii="宋体" w:hAnsi="宋体" w:cs="仿宋"/>
                <w:bCs/>
                <w:sz w:val="24"/>
                <w:szCs w:val="24"/>
                <w:lang w:eastAsia="zh-CN"/>
              </w:rPr>
              <w:t>9</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7A4BE4FB">
            <w:pPr>
              <w:pStyle w:val="34"/>
              <w:jc w:val="center"/>
              <w:rPr>
                <w:rFonts w:ascii="宋体" w:hAnsi="宋体" w:cs="仿宋"/>
                <w:bCs/>
                <w:sz w:val="24"/>
                <w:szCs w:val="24"/>
                <w:lang w:eastAsia="zh-CN"/>
              </w:rPr>
            </w:pPr>
            <w:r>
              <w:rPr>
                <w:rFonts w:hint="eastAsia" w:ascii="宋体" w:hAnsi="宋体" w:cs="仿宋"/>
                <w:bCs/>
                <w:sz w:val="24"/>
                <w:szCs w:val="24"/>
                <w:lang w:eastAsia="zh-CN"/>
              </w:rPr>
              <w:t>泵类辅助密封</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1546A8C">
            <w:pPr>
              <w:pStyle w:val="34"/>
              <w:jc w:val="center"/>
              <w:rPr>
                <w:rFonts w:ascii="宋体" w:hAnsi="宋体" w:cs="仿宋"/>
                <w:bCs/>
                <w:sz w:val="24"/>
                <w:szCs w:val="24"/>
                <w:lang w:eastAsia="zh-CN"/>
              </w:rPr>
            </w:pPr>
            <w:r>
              <w:rPr>
                <w:rFonts w:hint="eastAsia" w:ascii="宋体" w:hAnsi="宋体" w:cs="仿宋"/>
                <w:bCs/>
                <w:sz w:val="24"/>
                <w:szCs w:val="24"/>
                <w:lang w:eastAsia="zh-CN"/>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81959A3">
            <w:pPr>
              <w:pStyle w:val="34"/>
              <w:jc w:val="center"/>
              <w:rPr>
                <w:rFonts w:ascii="宋体" w:hAnsi="宋体" w:cs="仿宋"/>
                <w:bCs/>
                <w:sz w:val="24"/>
                <w:szCs w:val="24"/>
                <w:lang w:eastAsia="zh-CN"/>
              </w:rPr>
            </w:pPr>
            <w:r>
              <w:rPr>
                <w:rFonts w:hint="eastAsia" w:ascii="宋体" w:hAnsi="宋体" w:cs="仿宋"/>
                <w:bCs/>
                <w:sz w:val="24"/>
                <w:szCs w:val="24"/>
                <w:lang w:eastAsia="zh-CN"/>
              </w:rPr>
              <w:t>两台及以上同一型号的每种两套，不同型号规格的每种1套（泵壳止口密封垫/圈，叶轮锁紧密封垫/圈）</w:t>
            </w:r>
          </w:p>
        </w:tc>
      </w:tr>
      <w:tr w14:paraId="0F3FFF92">
        <w:tblPrEx>
          <w:tblCellMar>
            <w:top w:w="15" w:type="dxa"/>
            <w:left w:w="15" w:type="dxa"/>
            <w:bottom w:w="15" w:type="dxa"/>
            <w:right w:w="15" w:type="dxa"/>
          </w:tblCellMar>
        </w:tblPrEx>
        <w:trPr>
          <w:trHeight w:val="1226"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5EC1B26">
            <w:pPr>
              <w:pStyle w:val="34"/>
              <w:jc w:val="center"/>
              <w:rPr>
                <w:rFonts w:ascii="宋体" w:hAnsi="宋体" w:cs="仿宋"/>
                <w:bCs/>
                <w:sz w:val="24"/>
                <w:szCs w:val="24"/>
              </w:rPr>
            </w:pPr>
            <w:r>
              <w:rPr>
                <w:rFonts w:hint="eastAsia" w:ascii="宋体" w:hAnsi="宋体" w:cs="仿宋"/>
                <w:bCs/>
                <w:sz w:val="24"/>
                <w:szCs w:val="24"/>
              </w:rPr>
              <w:t>10</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590BCACA">
            <w:pPr>
              <w:pStyle w:val="34"/>
              <w:jc w:val="center"/>
              <w:rPr>
                <w:rFonts w:ascii="宋体" w:hAnsi="宋体" w:cs="仿宋"/>
                <w:bCs/>
                <w:sz w:val="24"/>
                <w:szCs w:val="24"/>
              </w:rPr>
            </w:pPr>
            <w:r>
              <w:rPr>
                <w:rFonts w:hint="eastAsia" w:ascii="宋体" w:hAnsi="宋体" w:cs="仿宋"/>
                <w:bCs/>
                <w:sz w:val="24"/>
                <w:szCs w:val="24"/>
              </w:rPr>
              <w:t>机械密封</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1AD5239">
            <w:pPr>
              <w:pStyle w:val="34"/>
              <w:jc w:val="center"/>
              <w:rPr>
                <w:rFonts w:ascii="宋体" w:hAnsi="宋体" w:cs="仿宋"/>
                <w:bCs/>
                <w:sz w:val="24"/>
                <w:szCs w:val="24"/>
              </w:rPr>
            </w:pPr>
            <w:r>
              <w:rPr>
                <w:rFonts w:hint="eastAsia" w:ascii="宋体" w:hAnsi="宋体" w:cs="仿宋"/>
                <w:bCs/>
                <w:sz w:val="24"/>
                <w:szCs w:val="24"/>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4EA8F4E">
            <w:pPr>
              <w:pStyle w:val="34"/>
              <w:jc w:val="center"/>
              <w:rPr>
                <w:rFonts w:ascii="宋体" w:hAnsi="宋体" w:cs="仿宋"/>
                <w:bCs/>
                <w:sz w:val="24"/>
                <w:szCs w:val="24"/>
                <w:lang w:eastAsia="zh-CN"/>
              </w:rPr>
            </w:pPr>
            <w:r>
              <w:rPr>
                <w:rFonts w:hint="eastAsia" w:ascii="宋体" w:hAnsi="宋体" w:cs="仿宋"/>
                <w:bCs/>
                <w:sz w:val="24"/>
                <w:szCs w:val="24"/>
                <w:lang w:eastAsia="zh-CN"/>
              </w:rPr>
              <w:t>按泵轴承座及轴端密封形式的各种型号，（及泵类设备以外其他类型设备若有）同型号的每种</w:t>
            </w:r>
            <w:r>
              <w:rPr>
                <w:rFonts w:ascii="宋体" w:hAnsi="宋体" w:cs="仿宋"/>
                <w:bCs/>
                <w:sz w:val="24"/>
                <w:szCs w:val="24"/>
                <w:lang w:eastAsia="zh-CN"/>
              </w:rPr>
              <w:t>1</w:t>
            </w:r>
            <w:r>
              <w:rPr>
                <w:rFonts w:hint="eastAsia" w:ascii="宋体" w:hAnsi="宋体" w:cs="仿宋"/>
                <w:bCs/>
                <w:sz w:val="24"/>
                <w:szCs w:val="24"/>
                <w:lang w:eastAsia="zh-CN"/>
              </w:rPr>
              <w:t>套</w:t>
            </w:r>
          </w:p>
        </w:tc>
      </w:tr>
      <w:tr w14:paraId="74A35201">
        <w:tblPrEx>
          <w:tblCellMar>
            <w:top w:w="15" w:type="dxa"/>
            <w:left w:w="15" w:type="dxa"/>
            <w:bottom w:w="15" w:type="dxa"/>
            <w:right w:w="15" w:type="dxa"/>
          </w:tblCellMar>
        </w:tblPrEx>
        <w:trPr>
          <w:trHeight w:val="1384"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C6A9C5F">
            <w:pPr>
              <w:pStyle w:val="34"/>
              <w:jc w:val="center"/>
              <w:rPr>
                <w:rFonts w:ascii="宋体" w:hAnsi="宋体" w:cs="仿宋"/>
                <w:bCs/>
                <w:sz w:val="24"/>
                <w:szCs w:val="24"/>
              </w:rPr>
            </w:pPr>
            <w:r>
              <w:rPr>
                <w:rFonts w:hint="eastAsia" w:ascii="宋体" w:hAnsi="宋体" w:cs="仿宋"/>
                <w:bCs/>
                <w:sz w:val="24"/>
                <w:szCs w:val="24"/>
              </w:rPr>
              <w:t>11</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EA776F5">
            <w:pPr>
              <w:pStyle w:val="34"/>
              <w:jc w:val="center"/>
              <w:rPr>
                <w:rFonts w:ascii="宋体" w:hAnsi="宋体" w:cs="仿宋"/>
                <w:bCs/>
                <w:sz w:val="24"/>
                <w:szCs w:val="24"/>
              </w:rPr>
            </w:pPr>
            <w:r>
              <w:rPr>
                <w:rFonts w:hint="eastAsia" w:ascii="宋体" w:hAnsi="宋体" w:cs="仿宋"/>
                <w:bCs/>
                <w:sz w:val="24"/>
                <w:szCs w:val="24"/>
              </w:rPr>
              <w:t>三角皮带</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460F240">
            <w:pPr>
              <w:pStyle w:val="34"/>
              <w:jc w:val="center"/>
              <w:rPr>
                <w:rFonts w:ascii="宋体" w:hAnsi="宋体" w:cs="仿宋"/>
                <w:bCs/>
                <w:sz w:val="24"/>
                <w:szCs w:val="24"/>
                <w:lang w:eastAsia="zh-CN"/>
              </w:rPr>
            </w:pPr>
            <w:r>
              <w:rPr>
                <w:rFonts w:hint="eastAsia" w:ascii="宋体" w:hAnsi="宋体" w:cs="仿宋"/>
                <w:bCs/>
                <w:sz w:val="24"/>
                <w:szCs w:val="24"/>
                <w:lang w:eastAsia="zh-CN"/>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05891C0D">
            <w:pPr>
              <w:pStyle w:val="34"/>
              <w:jc w:val="center"/>
              <w:rPr>
                <w:rFonts w:ascii="宋体" w:hAnsi="宋体" w:cs="仿宋"/>
                <w:bCs/>
                <w:sz w:val="24"/>
                <w:szCs w:val="24"/>
                <w:lang w:eastAsia="zh-CN"/>
              </w:rPr>
            </w:pPr>
            <w:r>
              <w:rPr>
                <w:rFonts w:hint="eastAsia" w:ascii="宋体" w:hAnsi="宋体" w:cs="仿宋"/>
                <w:bCs/>
                <w:sz w:val="24"/>
                <w:szCs w:val="24"/>
                <w:lang w:eastAsia="zh-CN"/>
              </w:rPr>
              <w:t>各种规格不少于2套</w:t>
            </w:r>
          </w:p>
        </w:tc>
      </w:tr>
      <w:tr w14:paraId="05317C62">
        <w:tblPrEx>
          <w:tblCellMar>
            <w:top w:w="15" w:type="dxa"/>
            <w:left w:w="15" w:type="dxa"/>
            <w:bottom w:w="15" w:type="dxa"/>
            <w:right w:w="15" w:type="dxa"/>
          </w:tblCellMar>
        </w:tblPrEx>
        <w:trPr>
          <w:trHeight w:val="1384" w:hRule="atLeast"/>
          <w:jc w:val="center"/>
        </w:trPr>
        <w:tc>
          <w:tcPr>
            <w:tcW w:w="7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A1CBF86">
            <w:pPr>
              <w:pStyle w:val="34"/>
              <w:jc w:val="center"/>
              <w:rPr>
                <w:rFonts w:ascii="宋体" w:hAnsi="宋体" w:cs="仿宋"/>
                <w:bCs/>
                <w:sz w:val="24"/>
                <w:szCs w:val="24"/>
                <w:lang w:eastAsia="zh-CN"/>
              </w:rPr>
            </w:pPr>
            <w:r>
              <w:rPr>
                <w:rFonts w:hint="eastAsia" w:ascii="宋体" w:hAnsi="宋体" w:cs="仿宋"/>
                <w:bCs/>
                <w:sz w:val="24"/>
                <w:szCs w:val="24"/>
                <w:lang w:eastAsia="zh-CN"/>
              </w:rPr>
              <w:t>1</w:t>
            </w:r>
            <w:r>
              <w:rPr>
                <w:rFonts w:ascii="宋体" w:hAnsi="宋体" w:cs="仿宋"/>
                <w:bCs/>
                <w:sz w:val="24"/>
                <w:szCs w:val="24"/>
                <w:lang w:eastAsia="zh-CN"/>
              </w:rPr>
              <w:t>2</w:t>
            </w:r>
          </w:p>
        </w:tc>
        <w:tc>
          <w:tcPr>
            <w:tcW w:w="24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0810E31">
            <w:pPr>
              <w:pStyle w:val="34"/>
              <w:jc w:val="center"/>
              <w:rPr>
                <w:rFonts w:ascii="宋体" w:hAnsi="宋体" w:cs="仿宋"/>
                <w:bCs/>
                <w:sz w:val="24"/>
                <w:szCs w:val="24"/>
              </w:rPr>
            </w:pPr>
            <w:r>
              <w:rPr>
                <w:rFonts w:hint="eastAsia" w:ascii="宋体" w:hAnsi="宋体" w:cs="仿宋"/>
                <w:bCs/>
                <w:sz w:val="24"/>
                <w:szCs w:val="24"/>
                <w:lang w:eastAsia="zh-CN"/>
              </w:rPr>
              <w:t>高、低浓臭气呼吸阀</w:t>
            </w:r>
          </w:p>
        </w:tc>
        <w:tc>
          <w:tcPr>
            <w:tcW w:w="99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ED75FF0">
            <w:pPr>
              <w:pStyle w:val="34"/>
              <w:jc w:val="center"/>
              <w:rPr>
                <w:rFonts w:ascii="宋体" w:hAnsi="宋体" w:cs="仿宋"/>
                <w:bCs/>
                <w:sz w:val="24"/>
                <w:szCs w:val="24"/>
                <w:lang w:eastAsia="zh-CN"/>
              </w:rPr>
            </w:pPr>
            <w:r>
              <w:rPr>
                <w:rFonts w:hint="eastAsia" w:ascii="宋体" w:hAnsi="宋体" w:cs="仿宋"/>
                <w:bCs/>
                <w:sz w:val="24"/>
                <w:szCs w:val="24"/>
                <w:lang w:eastAsia="zh-CN"/>
              </w:rPr>
              <w:t>1批</w:t>
            </w:r>
          </w:p>
        </w:tc>
        <w:tc>
          <w:tcPr>
            <w:tcW w:w="443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CC4436D">
            <w:pPr>
              <w:pStyle w:val="34"/>
              <w:jc w:val="center"/>
              <w:rPr>
                <w:rFonts w:ascii="宋体" w:hAnsi="宋体" w:cs="仿宋"/>
                <w:bCs/>
                <w:sz w:val="24"/>
                <w:szCs w:val="24"/>
                <w:lang w:eastAsia="zh-CN"/>
              </w:rPr>
            </w:pPr>
            <w:r>
              <w:rPr>
                <w:rFonts w:hint="eastAsia" w:ascii="宋体" w:hAnsi="宋体" w:cs="仿宋"/>
                <w:bCs/>
                <w:sz w:val="24"/>
                <w:szCs w:val="24"/>
                <w:lang w:eastAsia="zh-CN"/>
              </w:rPr>
              <w:t>各种规格不少于</w:t>
            </w:r>
            <w:r>
              <w:rPr>
                <w:rFonts w:ascii="宋体" w:hAnsi="宋体" w:cs="仿宋"/>
                <w:bCs/>
                <w:sz w:val="24"/>
                <w:szCs w:val="24"/>
                <w:lang w:eastAsia="zh-CN"/>
              </w:rPr>
              <w:t>1</w:t>
            </w:r>
            <w:r>
              <w:rPr>
                <w:rFonts w:hint="eastAsia" w:ascii="宋体" w:hAnsi="宋体" w:cs="仿宋"/>
                <w:bCs/>
                <w:sz w:val="24"/>
                <w:szCs w:val="24"/>
                <w:lang w:eastAsia="zh-CN"/>
              </w:rPr>
              <w:t>套</w:t>
            </w:r>
          </w:p>
        </w:tc>
      </w:tr>
    </w:tbl>
    <w:p w14:paraId="32C5EA6B">
      <w:pPr>
        <w:rPr>
          <w:rFonts w:ascii="宋体" w:hAnsi="宋体"/>
          <w:bCs/>
          <w:szCs w:val="28"/>
        </w:rPr>
      </w:pPr>
      <w:r>
        <w:rPr>
          <w:rFonts w:hint="eastAsia" w:ascii="宋体" w:hAnsi="宋体"/>
          <w:bCs/>
          <w:szCs w:val="28"/>
        </w:rPr>
        <w:t>备料洗选工段：</w:t>
      </w:r>
    </w:p>
    <w:tbl>
      <w:tblPr>
        <w:tblStyle w:val="18"/>
        <w:tblW w:w="0" w:type="auto"/>
        <w:jc w:val="center"/>
        <w:tblLayout w:type="fixed"/>
        <w:tblCellMar>
          <w:top w:w="0" w:type="dxa"/>
          <w:left w:w="10" w:type="dxa"/>
          <w:bottom w:w="0" w:type="dxa"/>
          <w:right w:w="10" w:type="dxa"/>
        </w:tblCellMar>
      </w:tblPr>
      <w:tblGrid>
        <w:gridCol w:w="517"/>
        <w:gridCol w:w="1853"/>
        <w:gridCol w:w="1117"/>
        <w:gridCol w:w="4839"/>
      </w:tblGrid>
      <w:tr w14:paraId="4FACFC88">
        <w:tblPrEx>
          <w:tblCellMar>
            <w:top w:w="0" w:type="dxa"/>
            <w:left w:w="10" w:type="dxa"/>
            <w:bottom w:w="0" w:type="dxa"/>
            <w:right w:w="10" w:type="dxa"/>
          </w:tblCellMar>
        </w:tblPrEx>
        <w:trPr>
          <w:trHeight w:val="425" w:hRule="exact"/>
          <w:jc w:val="center"/>
        </w:trPr>
        <w:tc>
          <w:tcPr>
            <w:tcW w:w="517" w:type="dxa"/>
            <w:tcBorders>
              <w:top w:val="single" w:color="auto" w:sz="4" w:space="0"/>
              <w:left w:val="single" w:color="auto" w:sz="4" w:space="0"/>
            </w:tcBorders>
            <w:shd w:val="clear" w:color="auto" w:fill="FFFFFF"/>
          </w:tcPr>
          <w:p w14:paraId="63D088D6">
            <w:pPr>
              <w:pStyle w:val="45"/>
              <w:spacing w:after="0"/>
              <w:jc w:val="center"/>
              <w:rPr>
                <w:bCs/>
                <w:sz w:val="24"/>
                <w:szCs w:val="24"/>
                <w:lang w:eastAsia="zh-CN"/>
              </w:rPr>
            </w:pPr>
            <w:r>
              <w:rPr>
                <w:rFonts w:hint="eastAsia"/>
                <w:bCs/>
                <w:sz w:val="24"/>
                <w:szCs w:val="24"/>
                <w:lang w:eastAsia="zh-CN"/>
              </w:rPr>
              <w:t>序号</w:t>
            </w:r>
          </w:p>
        </w:tc>
        <w:tc>
          <w:tcPr>
            <w:tcW w:w="1853" w:type="dxa"/>
            <w:tcBorders>
              <w:top w:val="single" w:color="auto" w:sz="4" w:space="0"/>
              <w:left w:val="single" w:color="auto" w:sz="4" w:space="0"/>
            </w:tcBorders>
            <w:shd w:val="clear" w:color="auto" w:fill="FFFFFF"/>
            <w:vAlign w:val="center"/>
          </w:tcPr>
          <w:p w14:paraId="66D138A1">
            <w:pPr>
              <w:pStyle w:val="45"/>
              <w:spacing w:after="0"/>
              <w:jc w:val="center"/>
              <w:rPr>
                <w:bCs/>
                <w:sz w:val="24"/>
                <w:szCs w:val="24"/>
              </w:rPr>
            </w:pPr>
            <w:r>
              <w:rPr>
                <w:rFonts w:hint="eastAsia"/>
                <w:bCs/>
                <w:sz w:val="24"/>
                <w:szCs w:val="24"/>
                <w:lang w:eastAsia="zh-CN"/>
              </w:rPr>
              <w:t>备件</w:t>
            </w:r>
            <w:r>
              <w:rPr>
                <w:bCs/>
                <w:sz w:val="24"/>
                <w:szCs w:val="24"/>
              </w:rPr>
              <w:t>名称</w:t>
            </w:r>
          </w:p>
        </w:tc>
        <w:tc>
          <w:tcPr>
            <w:tcW w:w="1117" w:type="dxa"/>
            <w:tcBorders>
              <w:top w:val="single" w:color="auto" w:sz="4" w:space="0"/>
              <w:left w:val="single" w:color="auto" w:sz="4" w:space="0"/>
            </w:tcBorders>
            <w:shd w:val="clear" w:color="auto" w:fill="FFFFFF"/>
            <w:vAlign w:val="center"/>
          </w:tcPr>
          <w:p w14:paraId="0EA3B066">
            <w:pPr>
              <w:pStyle w:val="45"/>
              <w:spacing w:after="0"/>
              <w:jc w:val="center"/>
              <w:rPr>
                <w:bCs/>
                <w:sz w:val="24"/>
                <w:szCs w:val="24"/>
              </w:rPr>
            </w:pPr>
            <w:r>
              <w:rPr>
                <w:bCs/>
                <w:sz w:val="24"/>
                <w:szCs w:val="24"/>
              </w:rPr>
              <w:t>数量</w:t>
            </w:r>
          </w:p>
        </w:tc>
        <w:tc>
          <w:tcPr>
            <w:tcW w:w="4839" w:type="dxa"/>
            <w:tcBorders>
              <w:top w:val="single" w:color="auto" w:sz="4" w:space="0"/>
              <w:left w:val="single" w:color="auto" w:sz="4" w:space="0"/>
              <w:right w:val="single" w:color="auto" w:sz="4" w:space="0"/>
            </w:tcBorders>
            <w:shd w:val="clear" w:color="auto" w:fill="FFFFFF"/>
            <w:vAlign w:val="center"/>
          </w:tcPr>
          <w:p w14:paraId="7117C832">
            <w:pPr>
              <w:pStyle w:val="45"/>
              <w:spacing w:after="0"/>
              <w:jc w:val="center"/>
              <w:rPr>
                <w:bCs/>
                <w:szCs w:val="21"/>
              </w:rPr>
            </w:pPr>
            <w:r>
              <w:rPr>
                <w:rFonts w:hint="eastAsia"/>
                <w:bCs/>
                <w:szCs w:val="21"/>
                <w:lang w:eastAsia="zh-CN"/>
              </w:rPr>
              <w:t>备注</w:t>
            </w:r>
          </w:p>
        </w:tc>
      </w:tr>
      <w:tr w14:paraId="26D9AD67">
        <w:tblPrEx>
          <w:tblCellMar>
            <w:top w:w="0" w:type="dxa"/>
            <w:left w:w="10" w:type="dxa"/>
            <w:bottom w:w="0" w:type="dxa"/>
            <w:right w:w="10" w:type="dxa"/>
          </w:tblCellMar>
        </w:tblPrEx>
        <w:trPr>
          <w:trHeight w:val="817" w:hRule="exact"/>
          <w:jc w:val="center"/>
        </w:trPr>
        <w:tc>
          <w:tcPr>
            <w:tcW w:w="517" w:type="dxa"/>
            <w:tcBorders>
              <w:top w:val="single" w:color="auto" w:sz="4" w:space="0"/>
              <w:left w:val="single" w:color="auto" w:sz="4" w:space="0"/>
            </w:tcBorders>
            <w:shd w:val="clear" w:color="auto" w:fill="FFFFFF"/>
            <w:vAlign w:val="center"/>
          </w:tcPr>
          <w:p w14:paraId="7BE7D1DA">
            <w:pPr>
              <w:pStyle w:val="34"/>
              <w:jc w:val="center"/>
              <w:rPr>
                <w:bCs/>
                <w:sz w:val="24"/>
                <w:szCs w:val="24"/>
                <w:lang w:eastAsia="zh-CN"/>
              </w:rPr>
            </w:pPr>
            <w:r>
              <w:rPr>
                <w:rFonts w:hint="eastAsia" w:ascii="宋体" w:hAnsi="宋体" w:cs="仿宋"/>
                <w:bCs/>
                <w:sz w:val="24"/>
                <w:szCs w:val="24"/>
                <w:lang w:eastAsia="zh-CN"/>
              </w:rPr>
              <w:t>1</w:t>
            </w:r>
          </w:p>
        </w:tc>
        <w:tc>
          <w:tcPr>
            <w:tcW w:w="1853" w:type="dxa"/>
            <w:tcBorders>
              <w:top w:val="single" w:color="auto" w:sz="4" w:space="0"/>
              <w:left w:val="single" w:color="auto" w:sz="4" w:space="0"/>
            </w:tcBorders>
            <w:shd w:val="clear" w:color="auto" w:fill="FFFFFF"/>
            <w:vAlign w:val="center"/>
          </w:tcPr>
          <w:p w14:paraId="24BA1721">
            <w:pPr>
              <w:pStyle w:val="45"/>
              <w:spacing w:after="0"/>
              <w:jc w:val="center"/>
              <w:rPr>
                <w:bCs/>
                <w:sz w:val="24"/>
                <w:szCs w:val="24"/>
              </w:rPr>
            </w:pPr>
            <w:r>
              <w:rPr>
                <w:rFonts w:hint="eastAsia"/>
                <w:bCs/>
                <w:sz w:val="24"/>
                <w:szCs w:val="24"/>
                <w:lang w:val="en-US" w:eastAsia="zh-CN"/>
              </w:rPr>
              <w:t>各类型各口径手动</w:t>
            </w:r>
            <w:r>
              <w:rPr>
                <w:rFonts w:hint="eastAsia"/>
                <w:bCs/>
                <w:sz w:val="24"/>
                <w:szCs w:val="24"/>
                <w:lang w:eastAsia="zh-CN"/>
              </w:rPr>
              <w:t>阀门</w:t>
            </w:r>
          </w:p>
        </w:tc>
        <w:tc>
          <w:tcPr>
            <w:tcW w:w="1117" w:type="dxa"/>
            <w:tcBorders>
              <w:top w:val="single" w:color="auto" w:sz="4" w:space="0"/>
              <w:left w:val="single" w:color="auto" w:sz="4" w:space="0"/>
            </w:tcBorders>
            <w:shd w:val="clear" w:color="auto" w:fill="FFFFFF"/>
            <w:vAlign w:val="center"/>
          </w:tcPr>
          <w:p w14:paraId="411016D8">
            <w:pPr>
              <w:pStyle w:val="45"/>
              <w:spacing w:after="0"/>
              <w:jc w:val="center"/>
              <w:rPr>
                <w:rFonts w:cs="Times New Roman"/>
                <w:bCs/>
                <w:sz w:val="24"/>
                <w:szCs w:val="24"/>
                <w:lang w:eastAsia="zh-CN"/>
              </w:rPr>
            </w:pPr>
            <w:r>
              <w:rPr>
                <w:rFonts w:hint="eastAsia" w:cs="Times New Roman"/>
                <w:bCs/>
                <w:sz w:val="24"/>
                <w:szCs w:val="24"/>
                <w:lang w:eastAsia="zh-CN"/>
              </w:rPr>
              <w:t>1批</w:t>
            </w:r>
          </w:p>
        </w:tc>
        <w:tc>
          <w:tcPr>
            <w:tcW w:w="4839" w:type="dxa"/>
            <w:tcBorders>
              <w:top w:val="single" w:color="auto" w:sz="4" w:space="0"/>
              <w:left w:val="single" w:color="auto" w:sz="4" w:space="0"/>
              <w:right w:val="single" w:color="auto" w:sz="4" w:space="0"/>
            </w:tcBorders>
            <w:shd w:val="clear" w:color="auto" w:fill="FFFFFF"/>
            <w:vAlign w:val="center"/>
          </w:tcPr>
          <w:p w14:paraId="25C6BC4F">
            <w:pPr>
              <w:pStyle w:val="45"/>
              <w:spacing w:after="0"/>
              <w:jc w:val="center"/>
              <w:rPr>
                <w:bCs/>
                <w:sz w:val="24"/>
                <w:szCs w:val="24"/>
                <w:lang w:val="en-US" w:eastAsia="zh-CN"/>
              </w:rPr>
            </w:pPr>
            <w:r>
              <w:rPr>
                <w:rFonts w:hint="eastAsia" w:cs="仿宋"/>
                <w:bCs/>
                <w:sz w:val="24"/>
                <w:szCs w:val="24"/>
                <w:lang w:val="en-US" w:eastAsia="zh-CN"/>
              </w:rPr>
              <w:t>各种类各型号规格不少于1个</w:t>
            </w:r>
          </w:p>
        </w:tc>
      </w:tr>
      <w:tr w14:paraId="0ECE2652">
        <w:tblPrEx>
          <w:tblCellMar>
            <w:top w:w="0" w:type="dxa"/>
            <w:left w:w="10" w:type="dxa"/>
            <w:bottom w:w="0" w:type="dxa"/>
            <w:right w:w="10" w:type="dxa"/>
          </w:tblCellMar>
        </w:tblPrEx>
        <w:trPr>
          <w:trHeight w:val="804" w:hRule="exact"/>
          <w:jc w:val="center"/>
        </w:trPr>
        <w:tc>
          <w:tcPr>
            <w:tcW w:w="517" w:type="dxa"/>
            <w:tcBorders>
              <w:top w:val="single" w:color="auto" w:sz="4" w:space="0"/>
              <w:left w:val="single" w:color="auto" w:sz="4" w:space="0"/>
            </w:tcBorders>
            <w:shd w:val="clear" w:color="auto" w:fill="FFFFFF"/>
            <w:vAlign w:val="center"/>
          </w:tcPr>
          <w:p w14:paraId="76C006A6">
            <w:pPr>
              <w:pStyle w:val="45"/>
              <w:spacing w:after="0"/>
              <w:jc w:val="center"/>
              <w:rPr>
                <w:bCs/>
                <w:sz w:val="24"/>
                <w:szCs w:val="24"/>
                <w:lang w:eastAsia="zh-CN"/>
              </w:rPr>
            </w:pPr>
            <w:r>
              <w:rPr>
                <w:rFonts w:hint="eastAsia"/>
                <w:bCs/>
                <w:sz w:val="24"/>
                <w:szCs w:val="24"/>
                <w:lang w:eastAsia="zh-CN"/>
              </w:rPr>
              <w:t>2</w:t>
            </w:r>
          </w:p>
        </w:tc>
        <w:tc>
          <w:tcPr>
            <w:tcW w:w="1853" w:type="dxa"/>
            <w:tcBorders>
              <w:top w:val="single" w:color="auto" w:sz="4" w:space="0"/>
              <w:left w:val="single" w:color="auto" w:sz="4" w:space="0"/>
            </w:tcBorders>
            <w:shd w:val="clear" w:color="auto" w:fill="FFFFFF"/>
            <w:vAlign w:val="center"/>
          </w:tcPr>
          <w:p w14:paraId="6D6FB4DA">
            <w:pPr>
              <w:pStyle w:val="45"/>
              <w:spacing w:after="0"/>
              <w:jc w:val="center"/>
              <w:rPr>
                <w:bCs/>
                <w:sz w:val="24"/>
                <w:szCs w:val="24"/>
              </w:rPr>
            </w:pPr>
            <w:r>
              <w:rPr>
                <w:bCs/>
                <w:sz w:val="24"/>
                <w:szCs w:val="24"/>
              </w:rPr>
              <w:t>人孔垫片</w:t>
            </w:r>
          </w:p>
        </w:tc>
        <w:tc>
          <w:tcPr>
            <w:tcW w:w="1117" w:type="dxa"/>
            <w:tcBorders>
              <w:top w:val="single" w:color="auto" w:sz="4" w:space="0"/>
              <w:left w:val="single" w:color="auto" w:sz="4" w:space="0"/>
            </w:tcBorders>
            <w:shd w:val="clear" w:color="auto" w:fill="FFFFFF"/>
            <w:vAlign w:val="center"/>
          </w:tcPr>
          <w:p w14:paraId="39BFD3B9">
            <w:pPr>
              <w:pStyle w:val="45"/>
              <w:spacing w:after="0"/>
              <w:jc w:val="center"/>
              <w:rPr>
                <w:rFonts w:cs="Times New Roman"/>
                <w:bCs/>
                <w:sz w:val="24"/>
                <w:szCs w:val="24"/>
              </w:rPr>
            </w:pPr>
            <w:r>
              <w:rPr>
                <w:rFonts w:hint="eastAsia" w:cs="Times New Roman"/>
                <w:bCs/>
                <w:sz w:val="24"/>
                <w:szCs w:val="24"/>
                <w:lang w:eastAsia="zh-CN"/>
              </w:rPr>
              <w:t>1批</w:t>
            </w:r>
          </w:p>
        </w:tc>
        <w:tc>
          <w:tcPr>
            <w:tcW w:w="4839" w:type="dxa"/>
            <w:tcBorders>
              <w:top w:val="single" w:color="auto" w:sz="4" w:space="0"/>
              <w:left w:val="single" w:color="auto" w:sz="4" w:space="0"/>
              <w:right w:val="single" w:color="auto" w:sz="4" w:space="0"/>
            </w:tcBorders>
            <w:shd w:val="clear" w:color="auto" w:fill="FFFFFF"/>
            <w:vAlign w:val="center"/>
          </w:tcPr>
          <w:p w14:paraId="5F1BC288">
            <w:pPr>
              <w:pStyle w:val="45"/>
              <w:spacing w:after="0"/>
              <w:jc w:val="center"/>
              <w:rPr>
                <w:bCs/>
                <w:sz w:val="24"/>
                <w:szCs w:val="24"/>
              </w:rPr>
            </w:pPr>
            <w:r>
              <w:rPr>
                <w:rFonts w:hint="eastAsia" w:cs="仿宋"/>
                <w:bCs/>
                <w:sz w:val="24"/>
                <w:szCs w:val="24"/>
              </w:rPr>
              <w:t>每个人孔备</w:t>
            </w:r>
            <w:r>
              <w:rPr>
                <w:rFonts w:eastAsia="PMingLiU" w:cs="仿宋"/>
                <w:bCs/>
                <w:sz w:val="24"/>
                <w:szCs w:val="24"/>
              </w:rPr>
              <w:t>3</w:t>
            </w:r>
            <w:r>
              <w:rPr>
                <w:rFonts w:hint="eastAsia" w:cs="仿宋"/>
                <w:bCs/>
                <w:sz w:val="24"/>
                <w:szCs w:val="24"/>
              </w:rPr>
              <w:t>套</w:t>
            </w:r>
            <w:r>
              <w:rPr>
                <w:rFonts w:hint="eastAsia" w:cs="仿宋"/>
                <w:bCs/>
                <w:sz w:val="24"/>
                <w:szCs w:val="24"/>
                <w:lang w:eastAsia="zh-CN"/>
              </w:rPr>
              <w:t>（</w:t>
            </w:r>
            <w:r>
              <w:rPr>
                <w:rFonts w:hint="eastAsia" w:cs="仿宋"/>
                <w:bCs/>
                <w:sz w:val="24"/>
                <w:szCs w:val="24"/>
                <w:lang w:val="en-US" w:eastAsia="zh-CN"/>
              </w:rPr>
              <w:t>按同等质量配备</w:t>
            </w:r>
            <w:r>
              <w:rPr>
                <w:rFonts w:hint="eastAsia" w:cs="仿宋"/>
                <w:bCs/>
                <w:sz w:val="24"/>
                <w:szCs w:val="24"/>
                <w:lang w:eastAsia="zh-CN"/>
              </w:rPr>
              <w:t>）</w:t>
            </w:r>
          </w:p>
        </w:tc>
      </w:tr>
      <w:tr w14:paraId="332A08A1">
        <w:tblPrEx>
          <w:tblCellMar>
            <w:top w:w="0" w:type="dxa"/>
            <w:left w:w="10" w:type="dxa"/>
            <w:bottom w:w="0" w:type="dxa"/>
            <w:right w:w="10" w:type="dxa"/>
          </w:tblCellMar>
        </w:tblPrEx>
        <w:trPr>
          <w:trHeight w:val="930" w:hRule="exact"/>
          <w:jc w:val="center"/>
        </w:trPr>
        <w:tc>
          <w:tcPr>
            <w:tcW w:w="517" w:type="dxa"/>
            <w:tcBorders>
              <w:top w:val="single" w:color="auto" w:sz="4" w:space="0"/>
              <w:left w:val="single" w:color="auto" w:sz="4" w:space="0"/>
            </w:tcBorders>
            <w:shd w:val="clear" w:color="auto" w:fill="FFFFFF"/>
            <w:vAlign w:val="center"/>
          </w:tcPr>
          <w:p w14:paraId="55BACF81">
            <w:pPr>
              <w:pStyle w:val="45"/>
              <w:spacing w:after="0"/>
              <w:jc w:val="center"/>
              <w:rPr>
                <w:bCs/>
                <w:sz w:val="24"/>
                <w:szCs w:val="24"/>
                <w:lang w:val="en-US" w:eastAsia="zh-CN"/>
              </w:rPr>
            </w:pPr>
            <w:r>
              <w:rPr>
                <w:rFonts w:hint="eastAsia"/>
                <w:bCs/>
                <w:sz w:val="24"/>
                <w:szCs w:val="24"/>
                <w:lang w:val="en-US" w:eastAsia="zh-CN"/>
              </w:rPr>
              <w:t>3</w:t>
            </w:r>
          </w:p>
        </w:tc>
        <w:tc>
          <w:tcPr>
            <w:tcW w:w="1853" w:type="dxa"/>
            <w:tcBorders>
              <w:top w:val="single" w:color="auto" w:sz="4" w:space="0"/>
              <w:left w:val="single" w:color="auto" w:sz="4" w:space="0"/>
            </w:tcBorders>
            <w:shd w:val="clear" w:color="auto" w:fill="FFFFFF"/>
            <w:vAlign w:val="center"/>
          </w:tcPr>
          <w:p w14:paraId="12FA1855">
            <w:pPr>
              <w:pStyle w:val="45"/>
              <w:spacing w:after="0"/>
              <w:jc w:val="center"/>
              <w:rPr>
                <w:bCs/>
                <w:sz w:val="24"/>
                <w:szCs w:val="24"/>
                <w:lang w:eastAsia="zh-CN"/>
              </w:rPr>
            </w:pPr>
            <w:r>
              <w:rPr>
                <w:rFonts w:hint="eastAsia"/>
                <w:bCs/>
                <w:sz w:val="24"/>
                <w:szCs w:val="24"/>
                <w:lang w:val="en-US" w:eastAsia="zh-CN"/>
              </w:rPr>
              <w:t>管道法兰垫片</w:t>
            </w:r>
          </w:p>
        </w:tc>
        <w:tc>
          <w:tcPr>
            <w:tcW w:w="1117" w:type="dxa"/>
            <w:tcBorders>
              <w:top w:val="single" w:color="auto" w:sz="4" w:space="0"/>
              <w:left w:val="single" w:color="auto" w:sz="4" w:space="0"/>
            </w:tcBorders>
            <w:shd w:val="clear" w:color="auto" w:fill="FFFFFF"/>
            <w:vAlign w:val="center"/>
          </w:tcPr>
          <w:p w14:paraId="67885208">
            <w:pPr>
              <w:pStyle w:val="45"/>
              <w:spacing w:after="0"/>
              <w:jc w:val="center"/>
              <w:rPr>
                <w:rFonts w:cs="Times New Roman"/>
                <w:bCs/>
                <w:sz w:val="24"/>
                <w:szCs w:val="24"/>
                <w:lang w:eastAsia="zh-CN"/>
              </w:rPr>
            </w:pPr>
            <w:r>
              <w:rPr>
                <w:rFonts w:hint="eastAsia" w:cs="Times New Roman"/>
                <w:bCs/>
                <w:sz w:val="24"/>
                <w:szCs w:val="24"/>
                <w:lang w:eastAsia="zh-CN"/>
              </w:rPr>
              <w:t>1批</w:t>
            </w:r>
          </w:p>
        </w:tc>
        <w:tc>
          <w:tcPr>
            <w:tcW w:w="4839" w:type="dxa"/>
            <w:tcBorders>
              <w:top w:val="single" w:color="auto" w:sz="4" w:space="0"/>
              <w:left w:val="single" w:color="auto" w:sz="4" w:space="0"/>
              <w:right w:val="single" w:color="auto" w:sz="4" w:space="0"/>
            </w:tcBorders>
            <w:shd w:val="clear" w:color="auto" w:fill="FFFFFF"/>
            <w:vAlign w:val="center"/>
          </w:tcPr>
          <w:p w14:paraId="3532F7BD">
            <w:pPr>
              <w:pStyle w:val="45"/>
              <w:spacing w:after="0"/>
              <w:jc w:val="center"/>
              <w:rPr>
                <w:rFonts w:cs="仿宋"/>
                <w:bCs/>
                <w:sz w:val="24"/>
                <w:szCs w:val="24"/>
                <w:lang w:eastAsia="zh-CN"/>
              </w:rPr>
            </w:pPr>
            <w:r>
              <w:rPr>
                <w:rFonts w:hint="eastAsia" w:cs="仿宋"/>
                <w:bCs/>
                <w:sz w:val="24"/>
                <w:szCs w:val="24"/>
                <w:lang w:val="en-US" w:eastAsia="zh-CN"/>
              </w:rPr>
              <w:t>每种规格按系统所需数量的</w:t>
            </w:r>
            <w:r>
              <w:rPr>
                <w:rFonts w:cs="仿宋"/>
                <w:bCs/>
                <w:sz w:val="24"/>
                <w:szCs w:val="24"/>
                <w:lang w:val="en-US" w:eastAsia="zh-CN"/>
              </w:rPr>
              <w:t>5</w:t>
            </w:r>
            <w:r>
              <w:rPr>
                <w:rFonts w:hint="eastAsia" w:cs="仿宋"/>
                <w:bCs/>
                <w:sz w:val="24"/>
                <w:szCs w:val="24"/>
                <w:lang w:val="en-US" w:eastAsia="zh-CN"/>
              </w:rPr>
              <w:t>%，且不少于2片（按同等质量配备）</w:t>
            </w:r>
          </w:p>
        </w:tc>
      </w:tr>
      <w:tr w14:paraId="1205F134">
        <w:tblPrEx>
          <w:tblCellMar>
            <w:top w:w="0" w:type="dxa"/>
            <w:left w:w="10" w:type="dxa"/>
            <w:bottom w:w="0" w:type="dxa"/>
            <w:right w:w="10" w:type="dxa"/>
          </w:tblCellMar>
        </w:tblPrEx>
        <w:trPr>
          <w:trHeight w:val="1256" w:hRule="exact"/>
          <w:jc w:val="center"/>
        </w:trPr>
        <w:tc>
          <w:tcPr>
            <w:tcW w:w="517" w:type="dxa"/>
            <w:tcBorders>
              <w:top w:val="single" w:color="auto" w:sz="4" w:space="0"/>
              <w:left w:val="single" w:color="auto" w:sz="4" w:space="0"/>
            </w:tcBorders>
            <w:shd w:val="clear" w:color="auto" w:fill="FFFFFF"/>
            <w:vAlign w:val="center"/>
          </w:tcPr>
          <w:p w14:paraId="1914E0A4">
            <w:pPr>
              <w:pStyle w:val="45"/>
              <w:spacing w:after="0"/>
              <w:jc w:val="center"/>
              <w:rPr>
                <w:bCs/>
                <w:sz w:val="24"/>
                <w:szCs w:val="24"/>
                <w:lang w:eastAsia="zh-CN"/>
              </w:rPr>
            </w:pPr>
            <w:r>
              <w:rPr>
                <w:rFonts w:hint="eastAsia"/>
                <w:bCs/>
                <w:sz w:val="24"/>
                <w:szCs w:val="24"/>
                <w:lang w:eastAsia="zh-CN"/>
              </w:rPr>
              <w:t>4</w:t>
            </w:r>
          </w:p>
        </w:tc>
        <w:tc>
          <w:tcPr>
            <w:tcW w:w="1853" w:type="dxa"/>
            <w:tcBorders>
              <w:top w:val="single" w:color="auto" w:sz="4" w:space="0"/>
              <w:left w:val="single" w:color="auto" w:sz="4" w:space="0"/>
            </w:tcBorders>
            <w:shd w:val="clear" w:color="auto" w:fill="FFFFFF"/>
            <w:vAlign w:val="center"/>
          </w:tcPr>
          <w:p w14:paraId="21A4D4A5">
            <w:pPr>
              <w:pStyle w:val="45"/>
              <w:spacing w:after="0"/>
              <w:jc w:val="center"/>
              <w:rPr>
                <w:bCs/>
                <w:sz w:val="24"/>
                <w:szCs w:val="24"/>
                <w:lang w:val="en-US" w:eastAsia="zh-CN"/>
              </w:rPr>
            </w:pPr>
            <w:r>
              <w:rPr>
                <w:rFonts w:hint="eastAsia"/>
                <w:bCs/>
                <w:sz w:val="24"/>
                <w:szCs w:val="24"/>
                <w:lang w:val="en-US" w:eastAsia="zh-CN"/>
              </w:rPr>
              <w:t>双辊洗浆机密封件</w:t>
            </w:r>
          </w:p>
        </w:tc>
        <w:tc>
          <w:tcPr>
            <w:tcW w:w="1117" w:type="dxa"/>
            <w:tcBorders>
              <w:top w:val="single" w:color="auto" w:sz="4" w:space="0"/>
              <w:left w:val="single" w:color="auto" w:sz="4" w:space="0"/>
            </w:tcBorders>
            <w:shd w:val="clear" w:color="auto" w:fill="FFFFFF"/>
            <w:vAlign w:val="center"/>
          </w:tcPr>
          <w:p w14:paraId="26630A42">
            <w:pPr>
              <w:pStyle w:val="45"/>
              <w:spacing w:after="0"/>
              <w:jc w:val="center"/>
              <w:rPr>
                <w:rFonts w:cs="Times New Roman"/>
                <w:bCs/>
                <w:sz w:val="24"/>
                <w:szCs w:val="24"/>
                <w:lang w:val="en-US" w:eastAsia="zh-CN"/>
              </w:rPr>
            </w:pPr>
            <w:r>
              <w:rPr>
                <w:rFonts w:hint="eastAsia" w:cs="Times New Roman"/>
                <w:bCs/>
                <w:sz w:val="24"/>
                <w:szCs w:val="24"/>
                <w:lang w:val="en-US" w:eastAsia="zh-CN"/>
              </w:rPr>
              <w:t>1批</w:t>
            </w:r>
          </w:p>
        </w:tc>
        <w:tc>
          <w:tcPr>
            <w:tcW w:w="4839" w:type="dxa"/>
            <w:tcBorders>
              <w:top w:val="single" w:color="auto" w:sz="4" w:space="0"/>
              <w:left w:val="single" w:color="auto" w:sz="4" w:space="0"/>
              <w:right w:val="single" w:color="auto" w:sz="4" w:space="0"/>
            </w:tcBorders>
            <w:shd w:val="clear" w:color="auto" w:fill="FFFFFF"/>
            <w:vAlign w:val="center"/>
          </w:tcPr>
          <w:p w14:paraId="4EF828B6">
            <w:pPr>
              <w:pStyle w:val="45"/>
              <w:spacing w:after="0"/>
              <w:jc w:val="center"/>
              <w:rPr>
                <w:rFonts w:cs="仿宋"/>
                <w:bCs/>
                <w:sz w:val="24"/>
                <w:szCs w:val="24"/>
                <w:lang w:eastAsia="zh-CN"/>
              </w:rPr>
            </w:pPr>
            <w:r>
              <w:rPr>
                <w:rFonts w:hint="eastAsia" w:cs="仿宋"/>
                <w:bCs/>
                <w:sz w:val="24"/>
                <w:szCs w:val="24"/>
              </w:rPr>
              <w:t>每</w:t>
            </w:r>
            <w:r>
              <w:rPr>
                <w:rFonts w:hint="eastAsia" w:cs="仿宋"/>
                <w:bCs/>
                <w:sz w:val="24"/>
                <w:szCs w:val="24"/>
                <w:lang w:eastAsia="zh-CN"/>
              </w:rPr>
              <w:t>台</w:t>
            </w:r>
            <w:r>
              <w:rPr>
                <w:rFonts w:hint="eastAsia" w:cs="仿宋"/>
                <w:bCs/>
                <w:sz w:val="24"/>
                <w:szCs w:val="24"/>
                <w:lang w:val="en-US" w:eastAsia="zh-CN"/>
              </w:rPr>
              <w:t>1</w:t>
            </w:r>
            <w:r>
              <w:rPr>
                <w:rFonts w:hint="eastAsia" w:cs="仿宋"/>
                <w:bCs/>
                <w:sz w:val="24"/>
                <w:szCs w:val="24"/>
                <w:lang w:eastAsia="zh-CN"/>
              </w:rPr>
              <w:t>套（</w:t>
            </w:r>
            <w:r>
              <w:rPr>
                <w:rFonts w:hint="eastAsia" w:cs="仿宋"/>
                <w:bCs/>
                <w:sz w:val="24"/>
                <w:szCs w:val="24"/>
                <w:lang w:val="en-US" w:eastAsia="zh-CN"/>
              </w:rPr>
              <w:t>含各类密封条/板，刮刀，轴承密封</w:t>
            </w:r>
            <w:r>
              <w:rPr>
                <w:rFonts w:hint="eastAsia" w:cs="仿宋"/>
                <w:bCs/>
                <w:sz w:val="24"/>
                <w:szCs w:val="24"/>
                <w:lang w:eastAsia="zh-CN"/>
              </w:rPr>
              <w:t>）</w:t>
            </w:r>
          </w:p>
        </w:tc>
      </w:tr>
      <w:tr w14:paraId="35EF6CEB">
        <w:tblPrEx>
          <w:tblCellMar>
            <w:top w:w="0" w:type="dxa"/>
            <w:left w:w="10" w:type="dxa"/>
            <w:bottom w:w="0" w:type="dxa"/>
            <w:right w:w="10" w:type="dxa"/>
          </w:tblCellMar>
        </w:tblPrEx>
        <w:trPr>
          <w:trHeight w:val="934" w:hRule="exact"/>
          <w:jc w:val="center"/>
        </w:trPr>
        <w:tc>
          <w:tcPr>
            <w:tcW w:w="517" w:type="dxa"/>
            <w:tcBorders>
              <w:top w:val="single" w:color="auto" w:sz="4" w:space="0"/>
              <w:left w:val="single" w:color="auto" w:sz="4" w:space="0"/>
            </w:tcBorders>
            <w:shd w:val="clear" w:color="auto" w:fill="FFFFFF"/>
            <w:vAlign w:val="center"/>
          </w:tcPr>
          <w:p w14:paraId="3A7F65D4">
            <w:pPr>
              <w:pStyle w:val="45"/>
              <w:spacing w:after="0"/>
              <w:jc w:val="center"/>
              <w:rPr>
                <w:bCs/>
                <w:sz w:val="24"/>
                <w:szCs w:val="24"/>
                <w:lang w:eastAsia="zh-CN"/>
              </w:rPr>
            </w:pPr>
            <w:r>
              <w:rPr>
                <w:rFonts w:hint="eastAsia"/>
                <w:bCs/>
                <w:sz w:val="24"/>
                <w:szCs w:val="24"/>
                <w:lang w:eastAsia="zh-CN"/>
              </w:rPr>
              <w:t>5</w:t>
            </w:r>
          </w:p>
        </w:tc>
        <w:tc>
          <w:tcPr>
            <w:tcW w:w="1853" w:type="dxa"/>
            <w:tcBorders>
              <w:top w:val="single" w:color="auto" w:sz="4" w:space="0"/>
              <w:left w:val="single" w:color="auto" w:sz="4" w:space="0"/>
            </w:tcBorders>
            <w:shd w:val="clear" w:color="auto" w:fill="FFFFFF"/>
            <w:vAlign w:val="center"/>
          </w:tcPr>
          <w:p w14:paraId="6BF1C92D">
            <w:pPr>
              <w:pStyle w:val="45"/>
              <w:spacing w:after="0"/>
              <w:jc w:val="center"/>
              <w:rPr>
                <w:bCs/>
                <w:sz w:val="24"/>
                <w:szCs w:val="24"/>
                <w:lang w:val="en-US" w:eastAsia="zh-CN"/>
              </w:rPr>
            </w:pPr>
            <w:r>
              <w:rPr>
                <w:rFonts w:hint="eastAsia"/>
                <w:bCs/>
                <w:sz w:val="24"/>
                <w:szCs w:val="24"/>
                <w:lang w:val="en-US" w:eastAsia="zh-CN"/>
              </w:rPr>
              <w:t>筛篮</w:t>
            </w:r>
          </w:p>
        </w:tc>
        <w:tc>
          <w:tcPr>
            <w:tcW w:w="1117" w:type="dxa"/>
            <w:tcBorders>
              <w:top w:val="single" w:color="auto" w:sz="4" w:space="0"/>
              <w:left w:val="single" w:color="auto" w:sz="4" w:space="0"/>
            </w:tcBorders>
            <w:shd w:val="clear" w:color="auto" w:fill="FFFFFF"/>
            <w:vAlign w:val="center"/>
          </w:tcPr>
          <w:p w14:paraId="6341FDC9">
            <w:pPr>
              <w:pStyle w:val="45"/>
              <w:spacing w:after="0"/>
              <w:jc w:val="center"/>
              <w:rPr>
                <w:rFonts w:cs="Times New Roman"/>
                <w:bCs/>
                <w:sz w:val="24"/>
                <w:szCs w:val="24"/>
                <w:lang w:val="en-US" w:eastAsia="zh-CN"/>
              </w:rPr>
            </w:pPr>
            <w:r>
              <w:rPr>
                <w:rFonts w:cs="Times New Roman"/>
                <w:bCs/>
                <w:sz w:val="24"/>
                <w:szCs w:val="24"/>
              </w:rPr>
              <w:t>1</w:t>
            </w:r>
            <w:r>
              <w:rPr>
                <w:rFonts w:hint="eastAsia" w:cs="Times New Roman"/>
                <w:bCs/>
                <w:sz w:val="24"/>
                <w:szCs w:val="24"/>
                <w:lang w:val="en-US" w:eastAsia="zh-CN"/>
              </w:rPr>
              <w:t>批</w:t>
            </w:r>
          </w:p>
        </w:tc>
        <w:tc>
          <w:tcPr>
            <w:tcW w:w="4839" w:type="dxa"/>
            <w:tcBorders>
              <w:top w:val="single" w:color="auto" w:sz="4" w:space="0"/>
              <w:left w:val="single" w:color="auto" w:sz="4" w:space="0"/>
              <w:right w:val="single" w:color="auto" w:sz="4" w:space="0"/>
            </w:tcBorders>
            <w:shd w:val="clear" w:color="auto" w:fill="FFFFFF"/>
            <w:vAlign w:val="center"/>
          </w:tcPr>
          <w:p w14:paraId="272D261F">
            <w:pPr>
              <w:pStyle w:val="45"/>
              <w:spacing w:after="0"/>
              <w:jc w:val="center"/>
              <w:rPr>
                <w:bCs/>
                <w:sz w:val="24"/>
                <w:szCs w:val="24"/>
                <w:lang w:val="en-US"/>
              </w:rPr>
            </w:pPr>
            <w:r>
              <w:rPr>
                <w:rFonts w:hint="eastAsia" w:cs="仿宋"/>
                <w:bCs/>
                <w:sz w:val="24"/>
                <w:szCs w:val="24"/>
              </w:rPr>
              <w:t>各种规格，同规格的每种</w:t>
            </w:r>
            <w:r>
              <w:rPr>
                <w:rFonts w:hint="eastAsia" w:cs="仿宋"/>
                <w:bCs/>
                <w:sz w:val="24"/>
                <w:szCs w:val="24"/>
                <w:lang w:val="en-US" w:eastAsia="zh-CN"/>
              </w:rPr>
              <w:t>1件（含一段二段压力筛，除节机，黑液过滤机）</w:t>
            </w:r>
          </w:p>
        </w:tc>
      </w:tr>
      <w:tr w14:paraId="512E4F10">
        <w:tblPrEx>
          <w:tblCellMar>
            <w:top w:w="0" w:type="dxa"/>
            <w:left w:w="10" w:type="dxa"/>
            <w:bottom w:w="0" w:type="dxa"/>
            <w:right w:w="10" w:type="dxa"/>
          </w:tblCellMar>
        </w:tblPrEx>
        <w:trPr>
          <w:trHeight w:val="1296" w:hRule="exact"/>
          <w:jc w:val="center"/>
        </w:trPr>
        <w:tc>
          <w:tcPr>
            <w:tcW w:w="517" w:type="dxa"/>
            <w:tcBorders>
              <w:top w:val="single" w:color="auto" w:sz="4" w:space="0"/>
              <w:left w:val="single" w:color="auto" w:sz="4" w:space="0"/>
            </w:tcBorders>
            <w:shd w:val="clear" w:color="auto" w:fill="FFFFFF"/>
            <w:vAlign w:val="center"/>
          </w:tcPr>
          <w:p w14:paraId="3B0BA650">
            <w:pPr>
              <w:pStyle w:val="45"/>
              <w:spacing w:after="0"/>
              <w:jc w:val="center"/>
              <w:rPr>
                <w:bCs/>
                <w:sz w:val="24"/>
                <w:szCs w:val="24"/>
                <w:lang w:val="en-US" w:eastAsia="zh-CN"/>
              </w:rPr>
            </w:pPr>
            <w:r>
              <w:rPr>
                <w:rFonts w:hint="eastAsia"/>
                <w:bCs/>
                <w:sz w:val="24"/>
                <w:szCs w:val="24"/>
                <w:lang w:val="en-US" w:eastAsia="zh-CN"/>
              </w:rPr>
              <w:t>6</w:t>
            </w:r>
          </w:p>
        </w:tc>
        <w:tc>
          <w:tcPr>
            <w:tcW w:w="1853" w:type="dxa"/>
            <w:tcBorders>
              <w:top w:val="single" w:color="auto" w:sz="4" w:space="0"/>
              <w:left w:val="single" w:color="auto" w:sz="4" w:space="0"/>
            </w:tcBorders>
            <w:shd w:val="clear" w:color="auto" w:fill="FFFFFF"/>
            <w:vAlign w:val="center"/>
          </w:tcPr>
          <w:p w14:paraId="62F4CDB0">
            <w:pPr>
              <w:pStyle w:val="45"/>
              <w:spacing w:after="0"/>
              <w:jc w:val="center"/>
              <w:rPr>
                <w:bCs/>
                <w:sz w:val="24"/>
                <w:szCs w:val="24"/>
              </w:rPr>
            </w:pPr>
            <w:r>
              <w:rPr>
                <w:rFonts w:hint="eastAsia"/>
                <w:bCs/>
                <w:sz w:val="24"/>
                <w:szCs w:val="24"/>
              </w:rPr>
              <w:t>泵类轴承箱体</w:t>
            </w:r>
          </w:p>
        </w:tc>
        <w:tc>
          <w:tcPr>
            <w:tcW w:w="1117" w:type="dxa"/>
            <w:tcBorders>
              <w:top w:val="single" w:color="auto" w:sz="4" w:space="0"/>
              <w:left w:val="single" w:color="auto" w:sz="4" w:space="0"/>
            </w:tcBorders>
            <w:shd w:val="clear" w:color="auto" w:fill="FFFFFF"/>
            <w:vAlign w:val="center"/>
          </w:tcPr>
          <w:p w14:paraId="3FFE2E4B">
            <w:pPr>
              <w:pStyle w:val="45"/>
              <w:spacing w:after="0"/>
              <w:jc w:val="center"/>
              <w:rPr>
                <w:bCs/>
                <w:sz w:val="24"/>
                <w:szCs w:val="24"/>
                <w:lang w:val="en-US" w:eastAsia="zh-CN"/>
              </w:rPr>
            </w:pPr>
            <w:r>
              <w:rPr>
                <w:rFonts w:cs="Times New Roman"/>
                <w:bCs/>
                <w:sz w:val="24"/>
                <w:szCs w:val="24"/>
              </w:rPr>
              <w:t>1</w:t>
            </w:r>
            <w:r>
              <w:rPr>
                <w:rFonts w:hint="eastAsia" w:cs="Times New Roman"/>
                <w:bCs/>
                <w:sz w:val="24"/>
                <w:szCs w:val="24"/>
                <w:lang w:val="en-US" w:eastAsia="zh-CN"/>
              </w:rPr>
              <w:t>批</w:t>
            </w:r>
          </w:p>
        </w:tc>
        <w:tc>
          <w:tcPr>
            <w:tcW w:w="4839" w:type="dxa"/>
            <w:tcBorders>
              <w:top w:val="single" w:color="auto" w:sz="4" w:space="0"/>
              <w:left w:val="single" w:color="auto" w:sz="4" w:space="0"/>
              <w:right w:val="single" w:color="auto" w:sz="4" w:space="0"/>
            </w:tcBorders>
            <w:shd w:val="clear" w:color="auto" w:fill="FFFFFF"/>
            <w:vAlign w:val="center"/>
          </w:tcPr>
          <w:p w14:paraId="2B2A764C">
            <w:pPr>
              <w:pStyle w:val="34"/>
              <w:jc w:val="center"/>
              <w:rPr>
                <w:rFonts w:ascii="宋体" w:hAnsi="宋体" w:cs="仿宋"/>
                <w:bCs/>
                <w:sz w:val="24"/>
                <w:szCs w:val="24"/>
                <w:lang w:eastAsia="zh-CN"/>
              </w:rPr>
            </w:pPr>
            <w:r>
              <w:rPr>
                <w:rFonts w:hint="eastAsia" w:ascii="宋体" w:hAnsi="宋体" w:cs="仿宋"/>
                <w:bCs/>
                <w:sz w:val="24"/>
                <w:szCs w:val="24"/>
                <w:lang w:eastAsia="zh-CN"/>
              </w:rPr>
              <w:t>三台及以上数量同一型号泵轴承座各种型号，每种1套</w:t>
            </w:r>
          </w:p>
          <w:p w14:paraId="10D90037">
            <w:pPr>
              <w:jc w:val="center"/>
              <w:rPr>
                <w:rFonts w:ascii="宋体" w:hAnsi="宋体"/>
                <w:bCs/>
                <w:sz w:val="24"/>
                <w:szCs w:val="24"/>
              </w:rPr>
            </w:pPr>
            <w:r>
              <w:rPr>
                <w:rFonts w:hint="eastAsia" w:ascii="宋体" w:hAnsi="宋体" w:cs="仿宋"/>
                <w:bCs/>
                <w:sz w:val="24"/>
                <w:szCs w:val="24"/>
              </w:rPr>
              <w:t>含：轴、轴承座、轴承盖、轴承、密封件等整套轴承箱体部件</w:t>
            </w:r>
          </w:p>
        </w:tc>
      </w:tr>
      <w:tr w14:paraId="5000A3DD">
        <w:tblPrEx>
          <w:tblCellMar>
            <w:top w:w="0" w:type="dxa"/>
            <w:left w:w="10" w:type="dxa"/>
            <w:bottom w:w="0" w:type="dxa"/>
            <w:right w:w="10" w:type="dxa"/>
          </w:tblCellMar>
        </w:tblPrEx>
        <w:trPr>
          <w:trHeight w:val="1123"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33A22F9F">
            <w:pPr>
              <w:pStyle w:val="45"/>
              <w:spacing w:after="0"/>
              <w:jc w:val="center"/>
              <w:rPr>
                <w:bCs/>
                <w:sz w:val="24"/>
                <w:szCs w:val="24"/>
                <w:lang w:val="en-US" w:eastAsia="zh-CN"/>
              </w:rPr>
            </w:pPr>
            <w:r>
              <w:rPr>
                <w:rFonts w:hint="eastAsia"/>
                <w:bCs/>
                <w:sz w:val="24"/>
                <w:szCs w:val="24"/>
                <w:lang w:val="en-US" w:eastAsia="zh-CN"/>
              </w:rPr>
              <w:t>7</w:t>
            </w:r>
          </w:p>
        </w:tc>
        <w:tc>
          <w:tcPr>
            <w:tcW w:w="1853" w:type="dxa"/>
            <w:tcBorders>
              <w:top w:val="single" w:color="auto" w:sz="4" w:space="0"/>
              <w:left w:val="single" w:color="auto" w:sz="4" w:space="0"/>
              <w:bottom w:val="single" w:color="auto" w:sz="4" w:space="0"/>
            </w:tcBorders>
            <w:shd w:val="clear" w:color="auto" w:fill="FFFFFF"/>
            <w:vAlign w:val="center"/>
          </w:tcPr>
          <w:p w14:paraId="566F546E">
            <w:pPr>
              <w:pStyle w:val="45"/>
              <w:spacing w:after="0"/>
              <w:jc w:val="center"/>
              <w:rPr>
                <w:bCs/>
                <w:sz w:val="24"/>
                <w:szCs w:val="24"/>
              </w:rPr>
            </w:pPr>
            <w:r>
              <w:rPr>
                <w:rFonts w:hint="eastAsia"/>
                <w:bCs/>
                <w:sz w:val="24"/>
                <w:szCs w:val="24"/>
              </w:rPr>
              <w:t>泵类联轴器</w:t>
            </w:r>
          </w:p>
        </w:tc>
        <w:tc>
          <w:tcPr>
            <w:tcW w:w="1117" w:type="dxa"/>
            <w:tcBorders>
              <w:top w:val="single" w:color="auto" w:sz="4" w:space="0"/>
              <w:left w:val="single" w:color="auto" w:sz="4" w:space="0"/>
              <w:bottom w:val="single" w:color="auto" w:sz="4" w:space="0"/>
            </w:tcBorders>
            <w:shd w:val="clear" w:color="auto" w:fill="FFFFFF"/>
            <w:vAlign w:val="center"/>
          </w:tcPr>
          <w:p w14:paraId="7453EE72">
            <w:pPr>
              <w:pStyle w:val="45"/>
              <w:spacing w:after="0"/>
              <w:jc w:val="center"/>
              <w:rPr>
                <w:rFonts w:cs="Times New Roman"/>
                <w:bCs/>
                <w:sz w:val="24"/>
                <w:szCs w:val="24"/>
              </w:rPr>
            </w:pPr>
            <w:r>
              <w:rPr>
                <w:rFonts w:hint="eastAsia"/>
                <w:bCs/>
                <w:sz w:val="24"/>
                <w:szCs w:val="24"/>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386C8943">
            <w:pPr>
              <w:jc w:val="center"/>
              <w:rPr>
                <w:rFonts w:ascii="宋体" w:hAnsi="宋体"/>
                <w:bCs/>
                <w:sz w:val="24"/>
                <w:szCs w:val="24"/>
              </w:rPr>
            </w:pPr>
            <w:r>
              <w:rPr>
                <w:rFonts w:hint="eastAsia" w:ascii="宋体" w:hAnsi="宋体" w:cs="仿宋"/>
                <w:bCs/>
                <w:sz w:val="24"/>
                <w:szCs w:val="24"/>
              </w:rPr>
              <w:t>三台及以上同一型号泵轴承座及配套电机的各种型号，同型号的每种1套，单一型号的仅备联轴器膜片/弹性块1套</w:t>
            </w:r>
          </w:p>
        </w:tc>
      </w:tr>
      <w:tr w14:paraId="0DD067F1">
        <w:tblPrEx>
          <w:tblCellMar>
            <w:top w:w="0" w:type="dxa"/>
            <w:left w:w="10" w:type="dxa"/>
            <w:bottom w:w="0" w:type="dxa"/>
            <w:right w:w="10" w:type="dxa"/>
          </w:tblCellMar>
        </w:tblPrEx>
        <w:trPr>
          <w:trHeight w:val="1123"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47802185">
            <w:pPr>
              <w:pStyle w:val="45"/>
              <w:spacing w:after="0"/>
              <w:jc w:val="center"/>
              <w:rPr>
                <w:bCs/>
                <w:sz w:val="24"/>
                <w:szCs w:val="24"/>
                <w:lang w:val="en-US" w:eastAsia="zh-CN"/>
              </w:rPr>
            </w:pPr>
            <w:r>
              <w:rPr>
                <w:rFonts w:hint="eastAsia"/>
                <w:bCs/>
                <w:sz w:val="24"/>
                <w:szCs w:val="24"/>
                <w:lang w:val="en-US" w:eastAsia="zh-CN"/>
              </w:rPr>
              <w:t>8</w:t>
            </w:r>
          </w:p>
        </w:tc>
        <w:tc>
          <w:tcPr>
            <w:tcW w:w="1853" w:type="dxa"/>
            <w:tcBorders>
              <w:top w:val="single" w:color="auto" w:sz="4" w:space="0"/>
              <w:left w:val="single" w:color="auto" w:sz="4" w:space="0"/>
              <w:bottom w:val="single" w:color="auto" w:sz="4" w:space="0"/>
            </w:tcBorders>
            <w:shd w:val="clear" w:color="auto" w:fill="FFFFFF"/>
            <w:vAlign w:val="center"/>
          </w:tcPr>
          <w:p w14:paraId="1337A150">
            <w:pPr>
              <w:pStyle w:val="45"/>
              <w:spacing w:after="0"/>
              <w:jc w:val="center"/>
              <w:rPr>
                <w:bCs/>
                <w:sz w:val="24"/>
                <w:szCs w:val="24"/>
                <w:lang w:val="en-US" w:eastAsia="zh-CN"/>
              </w:rPr>
            </w:pPr>
            <w:r>
              <w:rPr>
                <w:rFonts w:hint="eastAsia"/>
                <w:bCs/>
                <w:sz w:val="24"/>
                <w:szCs w:val="24"/>
                <w:lang w:val="en-US" w:eastAsia="zh-CN"/>
              </w:rPr>
              <w:t>其他联轴器</w:t>
            </w:r>
          </w:p>
        </w:tc>
        <w:tc>
          <w:tcPr>
            <w:tcW w:w="1117" w:type="dxa"/>
            <w:tcBorders>
              <w:top w:val="single" w:color="auto" w:sz="4" w:space="0"/>
              <w:left w:val="single" w:color="auto" w:sz="4" w:space="0"/>
              <w:bottom w:val="single" w:color="auto" w:sz="4" w:space="0"/>
            </w:tcBorders>
            <w:shd w:val="clear" w:color="auto" w:fill="FFFFFF"/>
            <w:vAlign w:val="center"/>
          </w:tcPr>
          <w:p w14:paraId="5CC199CC">
            <w:pPr>
              <w:pStyle w:val="45"/>
              <w:spacing w:after="0"/>
              <w:jc w:val="center"/>
              <w:rPr>
                <w:bCs/>
                <w:sz w:val="24"/>
                <w:szCs w:val="24"/>
                <w:lang w:val="en-US" w:eastAsia="zh-CN"/>
              </w:rPr>
            </w:pPr>
            <w:r>
              <w:rPr>
                <w:rFonts w:hint="eastAsia"/>
                <w:bCs/>
                <w:sz w:val="24"/>
                <w:szCs w:val="24"/>
                <w:lang w:val="en-US" w:eastAsia="zh-CN"/>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3246ED6E">
            <w:pPr>
              <w:jc w:val="center"/>
              <w:rPr>
                <w:rFonts w:ascii="宋体" w:hAnsi="宋体" w:cs="仿宋"/>
                <w:bCs/>
                <w:sz w:val="24"/>
                <w:szCs w:val="24"/>
              </w:rPr>
            </w:pPr>
            <w:r>
              <w:rPr>
                <w:rFonts w:hint="eastAsia" w:ascii="宋体" w:hAnsi="宋体" w:cs="仿宋"/>
                <w:bCs/>
                <w:sz w:val="24"/>
                <w:szCs w:val="24"/>
              </w:rPr>
              <w:t>联轴器的弹性元件（膜片/蛇形弹簧/弹性块）每种规格1套</w:t>
            </w:r>
          </w:p>
        </w:tc>
      </w:tr>
      <w:tr w14:paraId="671E12F2">
        <w:tblPrEx>
          <w:tblCellMar>
            <w:top w:w="0" w:type="dxa"/>
            <w:left w:w="10" w:type="dxa"/>
            <w:bottom w:w="0" w:type="dxa"/>
            <w:right w:w="10" w:type="dxa"/>
          </w:tblCellMar>
        </w:tblPrEx>
        <w:trPr>
          <w:trHeight w:val="1021"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7D326A02">
            <w:pPr>
              <w:pStyle w:val="45"/>
              <w:spacing w:after="0"/>
              <w:jc w:val="center"/>
              <w:rPr>
                <w:bCs/>
                <w:sz w:val="24"/>
                <w:szCs w:val="24"/>
                <w:lang w:val="en-US" w:eastAsia="zh-CN"/>
              </w:rPr>
            </w:pPr>
            <w:r>
              <w:rPr>
                <w:rFonts w:hint="eastAsia"/>
                <w:bCs/>
                <w:sz w:val="24"/>
                <w:szCs w:val="24"/>
                <w:lang w:val="en-US" w:eastAsia="zh-CN"/>
              </w:rPr>
              <w:t>9</w:t>
            </w:r>
          </w:p>
        </w:tc>
        <w:tc>
          <w:tcPr>
            <w:tcW w:w="1853" w:type="dxa"/>
            <w:tcBorders>
              <w:top w:val="single" w:color="auto" w:sz="4" w:space="0"/>
              <w:left w:val="single" w:color="auto" w:sz="4" w:space="0"/>
              <w:bottom w:val="single" w:color="auto" w:sz="4" w:space="0"/>
            </w:tcBorders>
            <w:shd w:val="clear" w:color="auto" w:fill="FFFFFF"/>
            <w:vAlign w:val="center"/>
          </w:tcPr>
          <w:p w14:paraId="7B3472C1">
            <w:pPr>
              <w:pStyle w:val="45"/>
              <w:spacing w:after="0"/>
              <w:jc w:val="center"/>
              <w:rPr>
                <w:bCs/>
                <w:sz w:val="24"/>
                <w:szCs w:val="24"/>
              </w:rPr>
            </w:pPr>
            <w:r>
              <w:rPr>
                <w:rFonts w:hint="eastAsia"/>
                <w:bCs/>
                <w:sz w:val="24"/>
                <w:szCs w:val="24"/>
              </w:rPr>
              <w:t>机械密封</w:t>
            </w:r>
          </w:p>
        </w:tc>
        <w:tc>
          <w:tcPr>
            <w:tcW w:w="1117" w:type="dxa"/>
            <w:tcBorders>
              <w:top w:val="single" w:color="auto" w:sz="4" w:space="0"/>
              <w:left w:val="single" w:color="auto" w:sz="4" w:space="0"/>
              <w:bottom w:val="single" w:color="auto" w:sz="4" w:space="0"/>
            </w:tcBorders>
            <w:shd w:val="clear" w:color="auto" w:fill="FFFFFF"/>
            <w:vAlign w:val="center"/>
          </w:tcPr>
          <w:p w14:paraId="19713754">
            <w:pPr>
              <w:pStyle w:val="45"/>
              <w:spacing w:after="0"/>
              <w:jc w:val="center"/>
              <w:rPr>
                <w:bCs/>
                <w:sz w:val="24"/>
                <w:szCs w:val="24"/>
              </w:rPr>
            </w:pPr>
            <w:r>
              <w:rPr>
                <w:rFonts w:hint="eastAsia"/>
                <w:bCs/>
                <w:sz w:val="24"/>
                <w:szCs w:val="24"/>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1250620D">
            <w:pPr>
              <w:pStyle w:val="34"/>
              <w:jc w:val="center"/>
              <w:rPr>
                <w:rFonts w:ascii="宋体" w:hAnsi="宋体"/>
                <w:bCs/>
                <w:sz w:val="24"/>
                <w:szCs w:val="24"/>
                <w:lang w:eastAsia="zh-CN"/>
              </w:rPr>
            </w:pPr>
            <w:r>
              <w:rPr>
                <w:rFonts w:hint="eastAsia" w:ascii="宋体" w:hAnsi="宋体" w:cs="仿宋"/>
                <w:bCs/>
                <w:sz w:val="24"/>
                <w:szCs w:val="24"/>
                <w:lang w:eastAsia="zh-CN"/>
              </w:rPr>
              <w:t>按泵轴承座及轴端密封形式的各种型号，（及泵类设备以外其他类型设备若有）同型号的每种</w:t>
            </w:r>
            <w:r>
              <w:rPr>
                <w:rFonts w:ascii="宋体" w:hAnsi="宋体" w:cs="仿宋"/>
                <w:bCs/>
                <w:sz w:val="24"/>
                <w:szCs w:val="24"/>
                <w:lang w:eastAsia="zh-CN"/>
              </w:rPr>
              <w:t>1</w:t>
            </w:r>
            <w:r>
              <w:rPr>
                <w:rFonts w:hint="eastAsia" w:ascii="宋体" w:hAnsi="宋体" w:cs="仿宋"/>
                <w:bCs/>
                <w:sz w:val="24"/>
                <w:szCs w:val="24"/>
                <w:lang w:eastAsia="zh-CN"/>
              </w:rPr>
              <w:t>套</w:t>
            </w:r>
          </w:p>
        </w:tc>
      </w:tr>
      <w:tr w14:paraId="273AAB79">
        <w:tblPrEx>
          <w:tblCellMar>
            <w:top w:w="0" w:type="dxa"/>
            <w:left w:w="10" w:type="dxa"/>
            <w:bottom w:w="0" w:type="dxa"/>
            <w:right w:w="10" w:type="dxa"/>
          </w:tblCellMar>
        </w:tblPrEx>
        <w:trPr>
          <w:trHeight w:val="1021"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116E6505">
            <w:pPr>
              <w:pStyle w:val="45"/>
              <w:spacing w:after="0"/>
              <w:jc w:val="center"/>
              <w:rPr>
                <w:bCs/>
                <w:sz w:val="24"/>
                <w:szCs w:val="24"/>
                <w:lang w:val="en-US" w:eastAsia="zh-CN"/>
              </w:rPr>
            </w:pPr>
            <w:r>
              <w:rPr>
                <w:rFonts w:hint="eastAsia"/>
                <w:bCs/>
                <w:sz w:val="24"/>
                <w:szCs w:val="24"/>
                <w:lang w:val="en-US" w:eastAsia="zh-CN"/>
              </w:rPr>
              <w:t>10</w:t>
            </w:r>
          </w:p>
        </w:tc>
        <w:tc>
          <w:tcPr>
            <w:tcW w:w="1853" w:type="dxa"/>
            <w:tcBorders>
              <w:top w:val="single" w:color="auto" w:sz="4" w:space="0"/>
              <w:left w:val="single" w:color="auto" w:sz="4" w:space="0"/>
              <w:bottom w:val="single" w:color="auto" w:sz="4" w:space="0"/>
            </w:tcBorders>
            <w:shd w:val="clear" w:color="auto" w:fill="FFFFFF"/>
            <w:vAlign w:val="center"/>
          </w:tcPr>
          <w:p w14:paraId="7B65080C">
            <w:pPr>
              <w:pStyle w:val="45"/>
              <w:spacing w:after="0"/>
              <w:jc w:val="center"/>
              <w:rPr>
                <w:bCs/>
                <w:sz w:val="24"/>
                <w:szCs w:val="24"/>
                <w:lang w:val="en-US" w:eastAsia="zh-CN"/>
              </w:rPr>
            </w:pPr>
            <w:r>
              <w:rPr>
                <w:rFonts w:hint="eastAsia"/>
                <w:bCs/>
                <w:sz w:val="24"/>
                <w:szCs w:val="24"/>
                <w:lang w:val="en-US" w:eastAsia="zh-CN"/>
              </w:rPr>
              <w:t>泵类辅助密封</w:t>
            </w:r>
          </w:p>
        </w:tc>
        <w:tc>
          <w:tcPr>
            <w:tcW w:w="1117" w:type="dxa"/>
            <w:tcBorders>
              <w:top w:val="single" w:color="auto" w:sz="4" w:space="0"/>
              <w:left w:val="single" w:color="auto" w:sz="4" w:space="0"/>
              <w:bottom w:val="single" w:color="auto" w:sz="4" w:space="0"/>
            </w:tcBorders>
            <w:shd w:val="clear" w:color="auto" w:fill="FFFFFF"/>
            <w:vAlign w:val="center"/>
          </w:tcPr>
          <w:p w14:paraId="6DA8D6B8">
            <w:pPr>
              <w:pStyle w:val="45"/>
              <w:spacing w:after="0"/>
              <w:jc w:val="center"/>
              <w:rPr>
                <w:bCs/>
                <w:sz w:val="24"/>
                <w:szCs w:val="24"/>
                <w:lang w:val="en-US" w:eastAsia="zh-CN"/>
              </w:rPr>
            </w:pPr>
            <w:r>
              <w:rPr>
                <w:rFonts w:hint="eastAsia"/>
                <w:bCs/>
                <w:sz w:val="24"/>
                <w:szCs w:val="24"/>
                <w:lang w:val="en-US" w:eastAsia="zh-CN"/>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5B717720">
            <w:pPr>
              <w:pStyle w:val="34"/>
              <w:jc w:val="center"/>
              <w:rPr>
                <w:rFonts w:ascii="宋体" w:hAnsi="宋体" w:cs="仿宋"/>
                <w:bCs/>
                <w:sz w:val="24"/>
                <w:szCs w:val="24"/>
                <w:lang w:eastAsia="zh-CN"/>
              </w:rPr>
            </w:pPr>
            <w:r>
              <w:rPr>
                <w:rFonts w:hint="eastAsia" w:ascii="宋体" w:hAnsi="宋体" w:cs="仿宋"/>
                <w:bCs/>
                <w:sz w:val="24"/>
                <w:szCs w:val="24"/>
                <w:lang w:eastAsia="zh-CN"/>
              </w:rPr>
              <w:t>两台及以上同一型号的每种两套，不同型号规格的每种1套（泵壳止口密封垫/圈，叶轮锁紧密封垫/圈）</w:t>
            </w:r>
          </w:p>
        </w:tc>
      </w:tr>
      <w:tr w14:paraId="44740DD3">
        <w:tblPrEx>
          <w:tblCellMar>
            <w:top w:w="0" w:type="dxa"/>
            <w:left w:w="10" w:type="dxa"/>
            <w:bottom w:w="0" w:type="dxa"/>
            <w:right w:w="10" w:type="dxa"/>
          </w:tblCellMar>
        </w:tblPrEx>
        <w:trPr>
          <w:trHeight w:val="1021"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064BA86E">
            <w:pPr>
              <w:pStyle w:val="45"/>
              <w:spacing w:after="0"/>
              <w:jc w:val="center"/>
              <w:rPr>
                <w:bCs/>
                <w:sz w:val="24"/>
                <w:szCs w:val="24"/>
                <w:lang w:val="en-US" w:eastAsia="zh-CN"/>
              </w:rPr>
            </w:pPr>
            <w:r>
              <w:rPr>
                <w:rFonts w:hint="eastAsia"/>
                <w:bCs/>
                <w:sz w:val="24"/>
                <w:szCs w:val="24"/>
                <w:lang w:val="en-US" w:eastAsia="zh-CN"/>
              </w:rPr>
              <w:t>11</w:t>
            </w:r>
          </w:p>
        </w:tc>
        <w:tc>
          <w:tcPr>
            <w:tcW w:w="1853" w:type="dxa"/>
            <w:tcBorders>
              <w:top w:val="single" w:color="auto" w:sz="4" w:space="0"/>
              <w:left w:val="single" w:color="auto" w:sz="4" w:space="0"/>
              <w:bottom w:val="single" w:color="auto" w:sz="4" w:space="0"/>
            </w:tcBorders>
            <w:shd w:val="clear" w:color="auto" w:fill="FFFFFF"/>
            <w:vAlign w:val="center"/>
          </w:tcPr>
          <w:p w14:paraId="546E643B">
            <w:pPr>
              <w:pStyle w:val="45"/>
              <w:spacing w:after="0"/>
              <w:jc w:val="center"/>
              <w:rPr>
                <w:bCs/>
                <w:sz w:val="24"/>
                <w:szCs w:val="24"/>
              </w:rPr>
            </w:pPr>
            <w:r>
              <w:rPr>
                <w:rFonts w:hint="eastAsia"/>
                <w:bCs/>
                <w:sz w:val="24"/>
                <w:szCs w:val="24"/>
              </w:rPr>
              <w:t>减速器（含电机）</w:t>
            </w:r>
          </w:p>
        </w:tc>
        <w:tc>
          <w:tcPr>
            <w:tcW w:w="1117" w:type="dxa"/>
            <w:tcBorders>
              <w:top w:val="single" w:color="auto" w:sz="4" w:space="0"/>
              <w:left w:val="single" w:color="auto" w:sz="4" w:space="0"/>
              <w:bottom w:val="single" w:color="auto" w:sz="4" w:space="0"/>
            </w:tcBorders>
            <w:shd w:val="clear" w:color="auto" w:fill="FFFFFF"/>
            <w:vAlign w:val="center"/>
          </w:tcPr>
          <w:p w14:paraId="225E03BE">
            <w:pPr>
              <w:pStyle w:val="45"/>
              <w:spacing w:after="0"/>
              <w:jc w:val="center"/>
              <w:rPr>
                <w:bCs/>
                <w:sz w:val="24"/>
                <w:szCs w:val="24"/>
                <w:lang w:eastAsia="zh-CN"/>
              </w:rPr>
            </w:pPr>
            <w:r>
              <w:rPr>
                <w:rFonts w:hint="eastAsia"/>
                <w:bCs/>
                <w:sz w:val="24"/>
                <w:szCs w:val="24"/>
                <w:lang w:eastAsia="zh-CN"/>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325BAC80">
            <w:pPr>
              <w:pStyle w:val="34"/>
              <w:jc w:val="center"/>
              <w:rPr>
                <w:rFonts w:ascii="宋体" w:hAnsi="宋体" w:cs="仿宋"/>
                <w:bCs/>
                <w:sz w:val="24"/>
                <w:szCs w:val="24"/>
                <w:lang w:eastAsia="zh-CN"/>
              </w:rPr>
            </w:pPr>
            <w:r>
              <w:rPr>
                <w:rFonts w:hint="eastAsia" w:ascii="宋体" w:hAnsi="宋体" w:cs="仿宋"/>
                <w:bCs/>
                <w:sz w:val="24"/>
                <w:szCs w:val="24"/>
                <w:lang w:eastAsia="zh-CN"/>
              </w:rPr>
              <w:t>多台（三台）以上同一型号每种一套，单一型号的高速端输入齿轮齿轮轴1套</w:t>
            </w:r>
          </w:p>
        </w:tc>
      </w:tr>
      <w:tr w14:paraId="3A80259A">
        <w:tblPrEx>
          <w:tblCellMar>
            <w:top w:w="0" w:type="dxa"/>
            <w:left w:w="10" w:type="dxa"/>
            <w:bottom w:w="0" w:type="dxa"/>
            <w:right w:w="10" w:type="dxa"/>
          </w:tblCellMar>
        </w:tblPrEx>
        <w:trPr>
          <w:trHeight w:val="928"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54B75EA1">
            <w:pPr>
              <w:pStyle w:val="45"/>
              <w:spacing w:after="0"/>
              <w:jc w:val="center"/>
              <w:rPr>
                <w:bCs/>
                <w:sz w:val="24"/>
                <w:szCs w:val="24"/>
                <w:lang w:val="en-US" w:eastAsia="zh-CN"/>
              </w:rPr>
            </w:pPr>
            <w:r>
              <w:rPr>
                <w:rFonts w:hint="eastAsia"/>
                <w:bCs/>
                <w:sz w:val="24"/>
                <w:szCs w:val="24"/>
                <w:lang w:val="en-US" w:eastAsia="zh-CN"/>
              </w:rPr>
              <w:t>12</w:t>
            </w:r>
          </w:p>
        </w:tc>
        <w:tc>
          <w:tcPr>
            <w:tcW w:w="1853" w:type="dxa"/>
            <w:tcBorders>
              <w:top w:val="single" w:color="auto" w:sz="4" w:space="0"/>
              <w:left w:val="single" w:color="auto" w:sz="4" w:space="0"/>
              <w:bottom w:val="single" w:color="auto" w:sz="4" w:space="0"/>
            </w:tcBorders>
            <w:shd w:val="clear" w:color="auto" w:fill="FFFFFF"/>
            <w:vAlign w:val="center"/>
          </w:tcPr>
          <w:p w14:paraId="0550DBD6">
            <w:pPr>
              <w:pStyle w:val="45"/>
              <w:spacing w:after="0"/>
              <w:jc w:val="center"/>
              <w:rPr>
                <w:bCs/>
                <w:sz w:val="24"/>
                <w:szCs w:val="24"/>
              </w:rPr>
            </w:pPr>
            <w:r>
              <w:rPr>
                <w:rFonts w:hint="eastAsia"/>
                <w:bCs/>
                <w:sz w:val="24"/>
                <w:szCs w:val="24"/>
                <w:lang w:val="en-US" w:eastAsia="zh-CN"/>
              </w:rPr>
              <w:t>皮带输送机</w:t>
            </w:r>
            <w:r>
              <w:rPr>
                <w:rFonts w:hint="eastAsia"/>
                <w:bCs/>
                <w:sz w:val="24"/>
                <w:szCs w:val="24"/>
                <w:lang w:eastAsia="zh-CN"/>
              </w:rPr>
              <w:t>（头轮、尾轮）</w:t>
            </w:r>
          </w:p>
        </w:tc>
        <w:tc>
          <w:tcPr>
            <w:tcW w:w="1117" w:type="dxa"/>
            <w:tcBorders>
              <w:top w:val="single" w:color="auto" w:sz="4" w:space="0"/>
              <w:left w:val="single" w:color="auto" w:sz="4" w:space="0"/>
              <w:bottom w:val="single" w:color="auto" w:sz="4" w:space="0"/>
            </w:tcBorders>
            <w:shd w:val="clear" w:color="auto" w:fill="FFFFFF"/>
            <w:vAlign w:val="center"/>
          </w:tcPr>
          <w:p w14:paraId="38A7D9E7">
            <w:pPr>
              <w:pStyle w:val="45"/>
              <w:spacing w:after="0"/>
              <w:jc w:val="center"/>
              <w:rPr>
                <w:bCs/>
                <w:sz w:val="24"/>
                <w:szCs w:val="24"/>
                <w:lang w:eastAsia="zh-CN"/>
              </w:rPr>
            </w:pPr>
            <w:r>
              <w:rPr>
                <w:rFonts w:hint="eastAsia"/>
                <w:bCs/>
                <w:sz w:val="24"/>
                <w:szCs w:val="24"/>
                <w:lang w:eastAsia="zh-CN"/>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1E0A0F30">
            <w:pPr>
              <w:pStyle w:val="34"/>
              <w:jc w:val="center"/>
              <w:rPr>
                <w:rFonts w:ascii="宋体" w:hAnsi="宋体"/>
                <w:bCs/>
                <w:sz w:val="24"/>
                <w:szCs w:val="24"/>
                <w:lang w:eastAsia="zh-CN"/>
              </w:rPr>
            </w:pPr>
            <w:r>
              <w:rPr>
                <w:rFonts w:hint="eastAsia" w:ascii="宋体" w:hAnsi="宋体" w:cs="仿宋"/>
                <w:bCs/>
                <w:sz w:val="24"/>
                <w:szCs w:val="24"/>
                <w:lang w:eastAsia="zh-CN"/>
              </w:rPr>
              <w:t>多台（三台及以上）尺寸规格相同的每种各1套（带轴承及轴承座且装配完整）</w:t>
            </w:r>
          </w:p>
        </w:tc>
      </w:tr>
      <w:tr w14:paraId="57B87688">
        <w:tblPrEx>
          <w:tblCellMar>
            <w:top w:w="0" w:type="dxa"/>
            <w:left w:w="10" w:type="dxa"/>
            <w:bottom w:w="0" w:type="dxa"/>
            <w:right w:w="10" w:type="dxa"/>
          </w:tblCellMar>
        </w:tblPrEx>
        <w:trPr>
          <w:trHeight w:val="852"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34C2243E">
            <w:pPr>
              <w:pStyle w:val="45"/>
              <w:spacing w:after="0"/>
              <w:jc w:val="center"/>
              <w:rPr>
                <w:bCs/>
                <w:sz w:val="24"/>
                <w:szCs w:val="24"/>
                <w:lang w:val="en-US" w:eastAsia="zh-CN"/>
              </w:rPr>
            </w:pPr>
            <w:r>
              <w:rPr>
                <w:rFonts w:hint="eastAsia"/>
                <w:bCs/>
                <w:sz w:val="24"/>
                <w:szCs w:val="24"/>
                <w:lang w:val="en-US" w:eastAsia="zh-CN"/>
              </w:rPr>
              <w:t>13</w:t>
            </w:r>
          </w:p>
        </w:tc>
        <w:tc>
          <w:tcPr>
            <w:tcW w:w="1853" w:type="dxa"/>
            <w:tcBorders>
              <w:top w:val="single" w:color="auto" w:sz="4" w:space="0"/>
              <w:left w:val="single" w:color="auto" w:sz="4" w:space="0"/>
              <w:bottom w:val="single" w:color="auto" w:sz="4" w:space="0"/>
            </w:tcBorders>
            <w:shd w:val="clear" w:color="auto" w:fill="FFFFFF"/>
            <w:vAlign w:val="center"/>
          </w:tcPr>
          <w:p w14:paraId="26678722">
            <w:pPr>
              <w:pStyle w:val="45"/>
              <w:spacing w:after="0"/>
              <w:jc w:val="center"/>
              <w:rPr>
                <w:bCs/>
                <w:sz w:val="24"/>
                <w:szCs w:val="24"/>
                <w:lang w:val="en-US" w:eastAsia="zh-CN"/>
              </w:rPr>
            </w:pPr>
            <w:r>
              <w:rPr>
                <w:rFonts w:hint="eastAsia"/>
                <w:bCs/>
                <w:sz w:val="24"/>
                <w:szCs w:val="24"/>
                <w:lang w:val="en-US" w:eastAsia="zh-CN"/>
              </w:rPr>
              <w:t>皮带输送机槽形托辊，下平托辊</w:t>
            </w:r>
          </w:p>
        </w:tc>
        <w:tc>
          <w:tcPr>
            <w:tcW w:w="1117" w:type="dxa"/>
            <w:tcBorders>
              <w:top w:val="single" w:color="auto" w:sz="4" w:space="0"/>
              <w:left w:val="single" w:color="auto" w:sz="4" w:space="0"/>
              <w:bottom w:val="single" w:color="auto" w:sz="4" w:space="0"/>
            </w:tcBorders>
            <w:shd w:val="clear" w:color="auto" w:fill="FFFFFF"/>
            <w:vAlign w:val="center"/>
          </w:tcPr>
          <w:p w14:paraId="19CB758B">
            <w:pPr>
              <w:pStyle w:val="45"/>
              <w:spacing w:after="0"/>
              <w:jc w:val="center"/>
              <w:rPr>
                <w:bCs/>
                <w:sz w:val="24"/>
                <w:szCs w:val="24"/>
                <w:lang w:val="en-US" w:eastAsia="zh-CN"/>
              </w:rPr>
            </w:pPr>
            <w:r>
              <w:rPr>
                <w:rFonts w:hint="eastAsia"/>
                <w:bCs/>
                <w:sz w:val="24"/>
                <w:szCs w:val="24"/>
                <w:lang w:val="en-US" w:eastAsia="zh-CN"/>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4E0D68C0">
            <w:pPr>
              <w:pStyle w:val="34"/>
              <w:jc w:val="center"/>
              <w:rPr>
                <w:rFonts w:ascii="宋体" w:hAnsi="宋体"/>
                <w:bCs/>
                <w:szCs w:val="21"/>
                <w:lang w:eastAsia="zh-CN"/>
              </w:rPr>
            </w:pPr>
            <w:r>
              <w:rPr>
                <w:rFonts w:hint="eastAsia" w:ascii="宋体" w:hAnsi="宋体" w:cs="仿宋"/>
                <w:bCs/>
                <w:sz w:val="24"/>
                <w:szCs w:val="24"/>
                <w:lang w:eastAsia="zh-CN"/>
              </w:rPr>
              <w:t>每种规格</w:t>
            </w:r>
            <w:r>
              <w:rPr>
                <w:rFonts w:ascii="宋体" w:hAnsi="宋体" w:cs="仿宋"/>
                <w:bCs/>
                <w:sz w:val="24"/>
                <w:szCs w:val="24"/>
                <w:lang w:eastAsia="zh-CN"/>
              </w:rPr>
              <w:t>10</w:t>
            </w:r>
            <w:r>
              <w:rPr>
                <w:rFonts w:hint="eastAsia" w:ascii="宋体" w:hAnsi="宋体" w:cs="仿宋"/>
                <w:bCs/>
                <w:sz w:val="24"/>
                <w:szCs w:val="24"/>
                <w:lang w:eastAsia="zh-CN"/>
              </w:rPr>
              <w:t>根</w:t>
            </w:r>
          </w:p>
        </w:tc>
      </w:tr>
      <w:tr w14:paraId="4E736B3F">
        <w:tblPrEx>
          <w:tblCellMar>
            <w:top w:w="0" w:type="dxa"/>
            <w:left w:w="10" w:type="dxa"/>
            <w:bottom w:w="0" w:type="dxa"/>
            <w:right w:w="10" w:type="dxa"/>
          </w:tblCellMar>
        </w:tblPrEx>
        <w:trPr>
          <w:trHeight w:val="965"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275A0684">
            <w:pPr>
              <w:pStyle w:val="45"/>
              <w:spacing w:after="0"/>
              <w:jc w:val="center"/>
              <w:rPr>
                <w:bCs/>
                <w:sz w:val="24"/>
                <w:szCs w:val="24"/>
                <w:lang w:val="en-US" w:eastAsia="zh-CN"/>
              </w:rPr>
            </w:pPr>
            <w:r>
              <w:rPr>
                <w:rFonts w:hint="eastAsia"/>
                <w:bCs/>
                <w:sz w:val="24"/>
                <w:szCs w:val="24"/>
                <w:lang w:val="en-US" w:eastAsia="zh-CN"/>
              </w:rPr>
              <w:t>14</w:t>
            </w:r>
          </w:p>
        </w:tc>
        <w:tc>
          <w:tcPr>
            <w:tcW w:w="1853" w:type="dxa"/>
            <w:tcBorders>
              <w:top w:val="single" w:color="auto" w:sz="4" w:space="0"/>
              <w:left w:val="single" w:color="auto" w:sz="4" w:space="0"/>
              <w:bottom w:val="single" w:color="auto" w:sz="4" w:space="0"/>
            </w:tcBorders>
            <w:shd w:val="clear" w:color="auto" w:fill="FFFFFF"/>
            <w:vAlign w:val="center"/>
          </w:tcPr>
          <w:p w14:paraId="27391E9D">
            <w:pPr>
              <w:pStyle w:val="45"/>
              <w:spacing w:after="0"/>
              <w:jc w:val="center"/>
              <w:rPr>
                <w:bCs/>
                <w:sz w:val="24"/>
                <w:szCs w:val="24"/>
                <w:lang w:val="en-US" w:eastAsia="zh-CN"/>
              </w:rPr>
            </w:pPr>
            <w:r>
              <w:rPr>
                <w:rFonts w:hint="eastAsia"/>
                <w:bCs/>
                <w:sz w:val="24"/>
                <w:szCs w:val="24"/>
                <w:lang w:val="en-US" w:eastAsia="zh-CN"/>
              </w:rPr>
              <w:t>螺旋出料机</w:t>
            </w:r>
            <w:r>
              <w:rPr>
                <w:rFonts w:hint="eastAsia"/>
                <w:bCs/>
                <w:sz w:val="24"/>
                <w:szCs w:val="24"/>
                <w:lang w:eastAsia="zh-CN"/>
              </w:rPr>
              <w:t>传动滚子链</w:t>
            </w:r>
          </w:p>
        </w:tc>
        <w:tc>
          <w:tcPr>
            <w:tcW w:w="1117" w:type="dxa"/>
            <w:tcBorders>
              <w:top w:val="single" w:color="auto" w:sz="4" w:space="0"/>
              <w:left w:val="single" w:color="auto" w:sz="4" w:space="0"/>
              <w:bottom w:val="single" w:color="auto" w:sz="4" w:space="0"/>
            </w:tcBorders>
            <w:shd w:val="clear" w:color="auto" w:fill="FFFFFF"/>
            <w:vAlign w:val="center"/>
          </w:tcPr>
          <w:p w14:paraId="39D645B1">
            <w:pPr>
              <w:pStyle w:val="45"/>
              <w:spacing w:after="0"/>
              <w:jc w:val="center"/>
              <w:rPr>
                <w:bCs/>
                <w:sz w:val="24"/>
                <w:szCs w:val="24"/>
                <w:lang w:val="en-US" w:eastAsia="zh-CN"/>
              </w:rPr>
            </w:pPr>
            <w:r>
              <w:rPr>
                <w:rFonts w:hint="eastAsia"/>
                <w:bCs/>
                <w:sz w:val="24"/>
                <w:szCs w:val="24"/>
                <w:lang w:val="en-US" w:eastAsia="zh-CN"/>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7E01864C">
            <w:pPr>
              <w:pStyle w:val="34"/>
              <w:jc w:val="center"/>
              <w:rPr>
                <w:rFonts w:ascii="宋体" w:hAnsi="宋体"/>
                <w:bCs/>
                <w:szCs w:val="21"/>
                <w:lang w:eastAsia="zh-CN"/>
              </w:rPr>
            </w:pPr>
            <w:r>
              <w:rPr>
                <w:rFonts w:hint="eastAsia" w:ascii="宋体" w:hAnsi="宋体" w:cs="仿宋"/>
                <w:bCs/>
                <w:sz w:val="24"/>
                <w:szCs w:val="24"/>
                <w:lang w:eastAsia="zh-CN"/>
              </w:rPr>
              <w:t>各规格型号1套</w:t>
            </w:r>
          </w:p>
        </w:tc>
      </w:tr>
      <w:tr w14:paraId="48B7D3B6">
        <w:tblPrEx>
          <w:tblCellMar>
            <w:top w:w="0" w:type="dxa"/>
            <w:left w:w="10" w:type="dxa"/>
            <w:bottom w:w="0" w:type="dxa"/>
            <w:right w:w="10" w:type="dxa"/>
          </w:tblCellMar>
        </w:tblPrEx>
        <w:trPr>
          <w:trHeight w:val="1212" w:hRule="exact"/>
          <w:jc w:val="center"/>
        </w:trPr>
        <w:tc>
          <w:tcPr>
            <w:tcW w:w="517" w:type="dxa"/>
            <w:tcBorders>
              <w:top w:val="single" w:color="auto" w:sz="4" w:space="0"/>
              <w:left w:val="single" w:color="auto" w:sz="4" w:space="0"/>
              <w:bottom w:val="single" w:color="auto" w:sz="4" w:space="0"/>
            </w:tcBorders>
            <w:shd w:val="clear" w:color="auto" w:fill="FFFFFF"/>
            <w:vAlign w:val="center"/>
          </w:tcPr>
          <w:p w14:paraId="66D8E68C">
            <w:pPr>
              <w:pStyle w:val="45"/>
              <w:spacing w:after="0"/>
              <w:jc w:val="center"/>
              <w:rPr>
                <w:bCs/>
                <w:sz w:val="24"/>
                <w:szCs w:val="24"/>
                <w:lang w:val="en-US" w:eastAsia="zh-CN"/>
              </w:rPr>
            </w:pPr>
            <w:r>
              <w:rPr>
                <w:rFonts w:hint="eastAsia"/>
                <w:bCs/>
                <w:sz w:val="24"/>
                <w:szCs w:val="24"/>
                <w:lang w:val="en-US" w:eastAsia="zh-CN"/>
              </w:rPr>
              <w:t>15</w:t>
            </w:r>
          </w:p>
        </w:tc>
        <w:tc>
          <w:tcPr>
            <w:tcW w:w="1853" w:type="dxa"/>
            <w:tcBorders>
              <w:top w:val="single" w:color="auto" w:sz="4" w:space="0"/>
              <w:left w:val="single" w:color="auto" w:sz="4" w:space="0"/>
              <w:bottom w:val="single" w:color="auto" w:sz="4" w:space="0"/>
            </w:tcBorders>
            <w:shd w:val="clear" w:color="auto" w:fill="FFFFFF"/>
            <w:vAlign w:val="center"/>
          </w:tcPr>
          <w:p w14:paraId="220E36EC">
            <w:pPr>
              <w:pStyle w:val="45"/>
              <w:spacing w:after="0"/>
              <w:jc w:val="center"/>
              <w:rPr>
                <w:bCs/>
                <w:sz w:val="24"/>
                <w:szCs w:val="24"/>
                <w:lang w:val="en-US" w:eastAsia="zh-CN"/>
              </w:rPr>
            </w:pPr>
            <w:r>
              <w:rPr>
                <w:rFonts w:hint="eastAsia"/>
                <w:bCs/>
                <w:sz w:val="24"/>
                <w:szCs w:val="24"/>
                <w:lang w:val="en-US" w:eastAsia="zh-CN"/>
              </w:rPr>
              <w:t>三角皮带</w:t>
            </w:r>
          </w:p>
        </w:tc>
        <w:tc>
          <w:tcPr>
            <w:tcW w:w="1117" w:type="dxa"/>
            <w:tcBorders>
              <w:top w:val="single" w:color="auto" w:sz="4" w:space="0"/>
              <w:left w:val="single" w:color="auto" w:sz="4" w:space="0"/>
              <w:bottom w:val="single" w:color="auto" w:sz="4" w:space="0"/>
            </w:tcBorders>
            <w:shd w:val="clear" w:color="auto" w:fill="FFFFFF"/>
            <w:vAlign w:val="center"/>
          </w:tcPr>
          <w:p w14:paraId="13F87265">
            <w:pPr>
              <w:pStyle w:val="45"/>
              <w:spacing w:after="0"/>
              <w:jc w:val="center"/>
              <w:rPr>
                <w:bCs/>
                <w:sz w:val="24"/>
                <w:szCs w:val="24"/>
                <w:lang w:val="en-US" w:eastAsia="zh-CN"/>
              </w:rPr>
            </w:pPr>
            <w:r>
              <w:rPr>
                <w:rFonts w:hint="eastAsia"/>
                <w:bCs/>
                <w:sz w:val="24"/>
                <w:szCs w:val="24"/>
                <w:lang w:val="en-US" w:eastAsia="zh-CN"/>
              </w:rPr>
              <w:t>1批</w:t>
            </w:r>
          </w:p>
        </w:tc>
        <w:tc>
          <w:tcPr>
            <w:tcW w:w="4839" w:type="dxa"/>
            <w:tcBorders>
              <w:top w:val="single" w:color="auto" w:sz="4" w:space="0"/>
              <w:left w:val="single" w:color="auto" w:sz="4" w:space="0"/>
              <w:bottom w:val="single" w:color="auto" w:sz="4" w:space="0"/>
              <w:right w:val="single" w:color="auto" w:sz="4" w:space="0"/>
            </w:tcBorders>
            <w:shd w:val="clear" w:color="auto" w:fill="FFFFFF"/>
            <w:vAlign w:val="center"/>
          </w:tcPr>
          <w:p w14:paraId="7F029033">
            <w:pPr>
              <w:pStyle w:val="34"/>
              <w:jc w:val="center"/>
              <w:rPr>
                <w:rFonts w:ascii="宋体" w:hAnsi="宋体"/>
                <w:bCs/>
                <w:szCs w:val="21"/>
                <w:lang w:eastAsia="zh-CN"/>
              </w:rPr>
            </w:pPr>
            <w:r>
              <w:rPr>
                <w:rFonts w:hint="eastAsia" w:ascii="宋体" w:hAnsi="宋体" w:cs="仿宋"/>
                <w:bCs/>
                <w:sz w:val="24"/>
                <w:szCs w:val="24"/>
                <w:lang w:eastAsia="zh-CN"/>
              </w:rPr>
              <w:t>各种规格不少于2套</w:t>
            </w:r>
          </w:p>
        </w:tc>
      </w:tr>
    </w:tbl>
    <w:p w14:paraId="50DF82B4">
      <w:pPr>
        <w:pStyle w:val="17"/>
        <w:ind w:left="0" w:leftChars="0" w:firstLine="0" w:firstLineChars="0"/>
        <w:rPr>
          <w:rFonts w:asciiTheme="minorEastAsia" w:hAnsiTheme="minorEastAsia" w:eastAsiaTheme="minorEastAsia" w:cstheme="minorEastAsia"/>
          <w:bCs/>
          <w:sz w:val="24"/>
          <w:szCs w:val="24"/>
        </w:rPr>
      </w:pPr>
    </w:p>
    <w:p w14:paraId="2EFCDA2C">
      <w:pPr>
        <w:pStyle w:val="17"/>
        <w:ind w:left="0" w:leftChars="0" w:firstLine="0" w:firstLineChars="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电气部分：</w:t>
      </w:r>
    </w:p>
    <w:p w14:paraId="5E1A0DCB">
      <w:pPr>
        <w:adjustRightInd w:val="0"/>
        <w:spacing w:line="400" w:lineRule="exact"/>
        <w:ind w:firstLine="360" w:firstLineChars="150"/>
        <w:jc w:val="left"/>
        <w:textAlignment w:val="baseline"/>
        <w:rPr>
          <w:rFonts w:ascii="宋体" w:hAnsi="宋体"/>
          <w:kern w:val="0"/>
          <w:sz w:val="24"/>
        </w:rPr>
      </w:pPr>
      <w:r>
        <w:rPr>
          <w:rFonts w:hint="eastAsia" w:ascii="宋体" w:hAnsi="宋体"/>
          <w:kern w:val="0"/>
          <w:sz w:val="24"/>
        </w:rPr>
        <w:t>1、提供两年易损元器件，并列出所需的备品备件的型号、数量。</w:t>
      </w:r>
    </w:p>
    <w:p w14:paraId="4AB0EF13">
      <w:pPr>
        <w:autoSpaceDE w:val="0"/>
        <w:autoSpaceDN w:val="0"/>
        <w:adjustRightInd w:val="0"/>
        <w:spacing w:line="400" w:lineRule="exact"/>
        <w:jc w:val="left"/>
        <w:textAlignment w:val="bottom"/>
        <w:rPr>
          <w:rFonts w:ascii="宋体" w:hAnsi="宋体"/>
          <w:sz w:val="24"/>
        </w:rPr>
      </w:pPr>
    </w:p>
    <w:tbl>
      <w:tblPr>
        <w:tblStyle w:val="18"/>
        <w:tblpPr w:leftFromText="180" w:rightFromText="180" w:vertAnchor="text" w:horzAnchor="page" w:tblpXSpec="center" w:tblpY="38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2871"/>
        <w:gridCol w:w="2297"/>
        <w:gridCol w:w="1244"/>
        <w:gridCol w:w="1519"/>
      </w:tblGrid>
      <w:tr w14:paraId="50C4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Borders>
              <w:bottom w:val="single" w:color="auto" w:sz="4" w:space="0"/>
              <w:right w:val="single" w:color="auto" w:sz="4" w:space="0"/>
            </w:tcBorders>
          </w:tcPr>
          <w:p w14:paraId="517B7738">
            <w:pPr>
              <w:spacing w:line="400" w:lineRule="exact"/>
              <w:jc w:val="center"/>
              <w:rPr>
                <w:rFonts w:ascii="宋体" w:hAnsi="宋体"/>
                <w:sz w:val="24"/>
              </w:rPr>
            </w:pPr>
            <w:r>
              <w:rPr>
                <w:rFonts w:hint="eastAsia" w:ascii="宋体" w:hAnsi="宋体"/>
                <w:sz w:val="24"/>
              </w:rPr>
              <w:t>序号</w:t>
            </w:r>
          </w:p>
        </w:tc>
        <w:tc>
          <w:tcPr>
            <w:tcW w:w="2871" w:type="dxa"/>
            <w:tcBorders>
              <w:left w:val="single" w:color="auto" w:sz="4" w:space="0"/>
              <w:bottom w:val="single" w:color="auto" w:sz="4" w:space="0"/>
              <w:right w:val="single" w:color="auto" w:sz="4" w:space="0"/>
            </w:tcBorders>
          </w:tcPr>
          <w:p w14:paraId="7FFF304E">
            <w:pPr>
              <w:spacing w:line="400" w:lineRule="exact"/>
              <w:jc w:val="left"/>
              <w:rPr>
                <w:rFonts w:ascii="宋体" w:hAnsi="宋体"/>
                <w:sz w:val="24"/>
              </w:rPr>
            </w:pPr>
            <w:r>
              <w:rPr>
                <w:rFonts w:hint="eastAsia" w:ascii="宋体" w:hAnsi="宋体"/>
                <w:sz w:val="24"/>
              </w:rPr>
              <w:t>设备名称</w:t>
            </w:r>
          </w:p>
        </w:tc>
        <w:tc>
          <w:tcPr>
            <w:tcW w:w="2297" w:type="dxa"/>
            <w:tcBorders>
              <w:left w:val="single" w:color="auto" w:sz="4" w:space="0"/>
              <w:bottom w:val="single" w:color="auto" w:sz="4" w:space="0"/>
              <w:right w:val="single" w:color="auto" w:sz="4" w:space="0"/>
            </w:tcBorders>
          </w:tcPr>
          <w:p w14:paraId="19A3D780">
            <w:pPr>
              <w:spacing w:line="400" w:lineRule="exact"/>
              <w:jc w:val="left"/>
              <w:rPr>
                <w:rFonts w:ascii="宋体" w:hAnsi="宋体"/>
                <w:sz w:val="24"/>
              </w:rPr>
            </w:pPr>
            <w:r>
              <w:rPr>
                <w:rFonts w:hint="eastAsia" w:ascii="宋体" w:hAnsi="宋体"/>
                <w:sz w:val="24"/>
              </w:rPr>
              <w:t>数量</w:t>
            </w:r>
          </w:p>
        </w:tc>
        <w:tc>
          <w:tcPr>
            <w:tcW w:w="1244" w:type="dxa"/>
            <w:tcBorders>
              <w:left w:val="single" w:color="auto" w:sz="4" w:space="0"/>
              <w:bottom w:val="single" w:color="auto" w:sz="4" w:space="0"/>
              <w:right w:val="single" w:color="auto" w:sz="4" w:space="0"/>
            </w:tcBorders>
          </w:tcPr>
          <w:p w14:paraId="7E6D68A0">
            <w:pPr>
              <w:spacing w:line="400" w:lineRule="exact"/>
              <w:jc w:val="left"/>
              <w:rPr>
                <w:rFonts w:ascii="宋体" w:hAnsi="宋体"/>
                <w:sz w:val="24"/>
              </w:rPr>
            </w:pPr>
            <w:r>
              <w:rPr>
                <w:rFonts w:hint="eastAsia" w:ascii="宋体" w:hAnsi="宋体"/>
                <w:sz w:val="24"/>
              </w:rPr>
              <w:t>用途</w:t>
            </w:r>
          </w:p>
        </w:tc>
        <w:tc>
          <w:tcPr>
            <w:tcW w:w="1519" w:type="dxa"/>
            <w:tcBorders>
              <w:left w:val="single" w:color="auto" w:sz="4" w:space="0"/>
              <w:bottom w:val="single" w:color="auto" w:sz="4" w:space="0"/>
            </w:tcBorders>
          </w:tcPr>
          <w:p w14:paraId="150D7061">
            <w:pPr>
              <w:spacing w:line="400" w:lineRule="exact"/>
              <w:jc w:val="left"/>
              <w:rPr>
                <w:rFonts w:ascii="宋体" w:hAnsi="宋体"/>
                <w:sz w:val="24"/>
              </w:rPr>
            </w:pPr>
            <w:r>
              <w:rPr>
                <w:rFonts w:hint="eastAsia" w:ascii="宋体" w:hAnsi="宋体"/>
                <w:sz w:val="24"/>
              </w:rPr>
              <w:t>备注</w:t>
            </w:r>
          </w:p>
        </w:tc>
      </w:tr>
      <w:tr w14:paraId="6D67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Borders>
              <w:top w:val="double" w:color="auto" w:sz="4" w:space="0"/>
              <w:bottom w:val="single" w:color="auto" w:sz="4" w:space="0"/>
              <w:right w:val="single" w:color="auto" w:sz="4" w:space="0"/>
            </w:tcBorders>
          </w:tcPr>
          <w:p w14:paraId="217A490E">
            <w:pPr>
              <w:spacing w:line="400" w:lineRule="exact"/>
              <w:jc w:val="left"/>
              <w:rPr>
                <w:rFonts w:ascii="宋体" w:hAnsi="宋体"/>
                <w:sz w:val="24"/>
              </w:rPr>
            </w:pPr>
            <w:r>
              <w:rPr>
                <w:rFonts w:hint="eastAsia" w:ascii="宋体" w:hAnsi="宋体"/>
                <w:sz w:val="24"/>
              </w:rPr>
              <w:t>1</w:t>
            </w:r>
          </w:p>
        </w:tc>
        <w:tc>
          <w:tcPr>
            <w:tcW w:w="2871" w:type="dxa"/>
            <w:tcBorders>
              <w:top w:val="single" w:color="auto" w:sz="4" w:space="0"/>
              <w:left w:val="single" w:color="auto" w:sz="4" w:space="0"/>
              <w:bottom w:val="single" w:color="auto" w:sz="4" w:space="0"/>
              <w:right w:val="single" w:color="auto" w:sz="4" w:space="0"/>
            </w:tcBorders>
            <w:vAlign w:val="center"/>
          </w:tcPr>
          <w:p w14:paraId="32EC0553">
            <w:pPr>
              <w:spacing w:line="400" w:lineRule="exact"/>
              <w:jc w:val="left"/>
              <w:rPr>
                <w:rFonts w:ascii="宋体" w:hAnsi="宋体"/>
                <w:sz w:val="24"/>
              </w:rPr>
            </w:pPr>
            <w:r>
              <w:rPr>
                <w:rFonts w:hint="eastAsia" w:ascii="宋体" w:hAnsi="宋体"/>
                <w:sz w:val="24"/>
              </w:rPr>
              <w:t>套管、法兰、散热器法兰、盖边等的密封圈</w:t>
            </w:r>
          </w:p>
        </w:tc>
        <w:tc>
          <w:tcPr>
            <w:tcW w:w="2297" w:type="dxa"/>
            <w:tcBorders>
              <w:top w:val="single" w:color="auto" w:sz="4" w:space="0"/>
              <w:left w:val="single" w:color="auto" w:sz="4" w:space="0"/>
              <w:bottom w:val="single" w:color="auto" w:sz="4" w:space="0"/>
              <w:right w:val="single" w:color="auto" w:sz="4" w:space="0"/>
            </w:tcBorders>
            <w:vAlign w:val="center"/>
          </w:tcPr>
          <w:p w14:paraId="53812B96">
            <w:pPr>
              <w:spacing w:line="400" w:lineRule="exact"/>
              <w:jc w:val="left"/>
              <w:rPr>
                <w:rFonts w:ascii="宋体" w:hAnsi="宋体"/>
                <w:sz w:val="24"/>
              </w:rPr>
            </w:pPr>
            <w:r>
              <w:rPr>
                <w:rFonts w:ascii="宋体" w:hAnsi="宋体"/>
                <w:sz w:val="24"/>
              </w:rPr>
              <w:t>1</w:t>
            </w:r>
            <w:r>
              <w:rPr>
                <w:rFonts w:hint="eastAsia" w:ascii="宋体" w:hAnsi="宋体"/>
                <w:sz w:val="24"/>
              </w:rPr>
              <w:t>套</w:t>
            </w:r>
          </w:p>
        </w:tc>
        <w:tc>
          <w:tcPr>
            <w:tcW w:w="1244" w:type="dxa"/>
            <w:tcBorders>
              <w:top w:val="single" w:color="auto" w:sz="4" w:space="0"/>
              <w:left w:val="single" w:color="auto" w:sz="4" w:space="0"/>
              <w:bottom w:val="single" w:color="auto" w:sz="4" w:space="0"/>
              <w:right w:val="single" w:color="auto" w:sz="4" w:space="0"/>
            </w:tcBorders>
            <w:vAlign w:val="center"/>
          </w:tcPr>
          <w:p w14:paraId="7CBE1A00">
            <w:pPr>
              <w:spacing w:line="400" w:lineRule="exact"/>
              <w:jc w:val="left"/>
              <w:rPr>
                <w:rFonts w:ascii="宋体" w:hAnsi="宋体"/>
                <w:sz w:val="24"/>
              </w:rPr>
            </w:pPr>
          </w:p>
        </w:tc>
        <w:tc>
          <w:tcPr>
            <w:tcW w:w="1519" w:type="dxa"/>
            <w:tcBorders>
              <w:top w:val="single" w:color="auto" w:sz="4" w:space="0"/>
              <w:left w:val="single" w:color="auto" w:sz="4" w:space="0"/>
              <w:bottom w:val="single" w:color="auto" w:sz="4" w:space="0"/>
            </w:tcBorders>
            <w:vAlign w:val="center"/>
          </w:tcPr>
          <w:p w14:paraId="7A522726">
            <w:pPr>
              <w:spacing w:line="400" w:lineRule="exact"/>
              <w:jc w:val="left"/>
              <w:rPr>
                <w:rFonts w:ascii="宋体" w:hAnsi="宋体"/>
                <w:sz w:val="24"/>
              </w:rPr>
            </w:pPr>
            <w:r>
              <w:rPr>
                <w:rFonts w:hint="eastAsia" w:ascii="宋体" w:hAnsi="宋体"/>
                <w:sz w:val="24"/>
              </w:rPr>
              <w:t>各种规格全套</w:t>
            </w:r>
          </w:p>
        </w:tc>
      </w:tr>
      <w:tr w14:paraId="545C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Borders>
              <w:top w:val="single" w:color="auto" w:sz="4" w:space="0"/>
              <w:bottom w:val="single" w:color="auto" w:sz="4" w:space="0"/>
              <w:right w:val="single" w:color="auto" w:sz="4" w:space="0"/>
            </w:tcBorders>
            <w:vAlign w:val="center"/>
          </w:tcPr>
          <w:p w14:paraId="4E41084F">
            <w:pPr>
              <w:spacing w:line="400" w:lineRule="exact"/>
              <w:jc w:val="left"/>
              <w:rPr>
                <w:rFonts w:ascii="宋体" w:hAnsi="宋体"/>
                <w:sz w:val="24"/>
              </w:rPr>
            </w:pPr>
            <w:r>
              <w:rPr>
                <w:rFonts w:hint="eastAsia" w:ascii="宋体" w:hAnsi="宋体"/>
                <w:sz w:val="24"/>
              </w:rPr>
              <w:t>2</w:t>
            </w:r>
          </w:p>
        </w:tc>
        <w:tc>
          <w:tcPr>
            <w:tcW w:w="2871" w:type="dxa"/>
            <w:tcBorders>
              <w:top w:val="single" w:color="auto" w:sz="4" w:space="0"/>
              <w:left w:val="single" w:color="auto" w:sz="4" w:space="0"/>
              <w:bottom w:val="single" w:color="auto" w:sz="4" w:space="0"/>
              <w:right w:val="single" w:color="auto" w:sz="4" w:space="0"/>
            </w:tcBorders>
            <w:vAlign w:val="center"/>
          </w:tcPr>
          <w:p w14:paraId="72714BEC">
            <w:pPr>
              <w:spacing w:line="400" w:lineRule="exact"/>
              <w:jc w:val="left"/>
              <w:rPr>
                <w:rFonts w:ascii="宋体" w:hAnsi="宋体"/>
                <w:sz w:val="24"/>
              </w:rPr>
            </w:pPr>
            <w:r>
              <w:rPr>
                <w:rFonts w:hint="eastAsia" w:ascii="宋体" w:hAnsi="宋体"/>
                <w:sz w:val="24"/>
              </w:rPr>
              <w:t>硅胶</w:t>
            </w:r>
          </w:p>
        </w:tc>
        <w:tc>
          <w:tcPr>
            <w:tcW w:w="2297" w:type="dxa"/>
            <w:tcBorders>
              <w:top w:val="single" w:color="auto" w:sz="4" w:space="0"/>
              <w:left w:val="single" w:color="auto" w:sz="4" w:space="0"/>
              <w:bottom w:val="single" w:color="auto" w:sz="4" w:space="0"/>
              <w:right w:val="single" w:color="auto" w:sz="4" w:space="0"/>
            </w:tcBorders>
            <w:vAlign w:val="center"/>
          </w:tcPr>
          <w:p w14:paraId="4A9E29F6">
            <w:pPr>
              <w:spacing w:line="400" w:lineRule="exact"/>
              <w:jc w:val="left"/>
              <w:rPr>
                <w:rFonts w:ascii="宋体" w:hAnsi="宋体"/>
                <w:sz w:val="24"/>
              </w:rPr>
            </w:pPr>
            <w:r>
              <w:rPr>
                <w:rFonts w:ascii="宋体" w:hAnsi="宋体"/>
                <w:sz w:val="24"/>
              </w:rPr>
              <w:t>1</w:t>
            </w:r>
            <w:r>
              <w:rPr>
                <w:rFonts w:hint="eastAsia" w:ascii="宋体" w:hAnsi="宋体"/>
                <w:sz w:val="24"/>
              </w:rPr>
              <w:t>套</w:t>
            </w:r>
          </w:p>
        </w:tc>
        <w:tc>
          <w:tcPr>
            <w:tcW w:w="1244" w:type="dxa"/>
            <w:tcBorders>
              <w:top w:val="single" w:color="auto" w:sz="4" w:space="0"/>
              <w:left w:val="single" w:color="auto" w:sz="4" w:space="0"/>
              <w:bottom w:val="single" w:color="auto" w:sz="4" w:space="0"/>
              <w:right w:val="single" w:color="auto" w:sz="4" w:space="0"/>
            </w:tcBorders>
            <w:vAlign w:val="center"/>
          </w:tcPr>
          <w:p w14:paraId="1C988D4C">
            <w:pPr>
              <w:spacing w:line="400" w:lineRule="exact"/>
              <w:jc w:val="left"/>
              <w:rPr>
                <w:rFonts w:ascii="宋体" w:hAnsi="宋体"/>
                <w:sz w:val="24"/>
              </w:rPr>
            </w:pPr>
          </w:p>
        </w:tc>
        <w:tc>
          <w:tcPr>
            <w:tcW w:w="1519" w:type="dxa"/>
            <w:tcBorders>
              <w:top w:val="single" w:color="auto" w:sz="4" w:space="0"/>
              <w:left w:val="single" w:color="auto" w:sz="4" w:space="0"/>
              <w:bottom w:val="single" w:color="auto" w:sz="4" w:space="0"/>
            </w:tcBorders>
            <w:vAlign w:val="center"/>
          </w:tcPr>
          <w:p w14:paraId="7443A507">
            <w:pPr>
              <w:spacing w:line="400" w:lineRule="exact"/>
              <w:jc w:val="left"/>
              <w:rPr>
                <w:rFonts w:ascii="宋体" w:hAnsi="宋体"/>
                <w:sz w:val="24"/>
              </w:rPr>
            </w:pPr>
          </w:p>
        </w:tc>
      </w:tr>
      <w:tr w14:paraId="5BD6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Borders>
              <w:top w:val="single" w:color="auto" w:sz="4" w:space="0"/>
              <w:bottom w:val="single" w:color="auto" w:sz="4" w:space="0"/>
              <w:right w:val="single" w:color="auto" w:sz="4" w:space="0"/>
            </w:tcBorders>
            <w:vAlign w:val="center"/>
          </w:tcPr>
          <w:p w14:paraId="2CC3C84C">
            <w:pPr>
              <w:spacing w:line="400" w:lineRule="exact"/>
              <w:jc w:val="left"/>
              <w:rPr>
                <w:rFonts w:ascii="宋体" w:hAnsi="宋体"/>
                <w:sz w:val="24"/>
              </w:rPr>
            </w:pPr>
            <w:r>
              <w:rPr>
                <w:rFonts w:hint="eastAsia" w:ascii="宋体" w:hAnsi="宋体"/>
                <w:sz w:val="24"/>
              </w:rPr>
              <w:t>3</w:t>
            </w:r>
          </w:p>
        </w:tc>
        <w:tc>
          <w:tcPr>
            <w:tcW w:w="2871" w:type="dxa"/>
            <w:tcBorders>
              <w:top w:val="single" w:color="auto" w:sz="4" w:space="0"/>
              <w:left w:val="single" w:color="auto" w:sz="4" w:space="0"/>
              <w:bottom w:val="single" w:color="auto" w:sz="4" w:space="0"/>
              <w:right w:val="single" w:color="auto" w:sz="4" w:space="0"/>
            </w:tcBorders>
            <w:vAlign w:val="center"/>
          </w:tcPr>
          <w:p w14:paraId="5E0C6214">
            <w:pPr>
              <w:spacing w:line="400" w:lineRule="exact"/>
              <w:jc w:val="left"/>
              <w:rPr>
                <w:rFonts w:ascii="宋体" w:hAnsi="宋体"/>
                <w:sz w:val="24"/>
              </w:rPr>
            </w:pPr>
            <w:r>
              <w:rPr>
                <w:rFonts w:hint="eastAsia" w:ascii="宋体" w:hAnsi="宋体"/>
                <w:sz w:val="24"/>
              </w:rPr>
              <w:t>温控仪</w:t>
            </w:r>
          </w:p>
        </w:tc>
        <w:tc>
          <w:tcPr>
            <w:tcW w:w="2297" w:type="dxa"/>
            <w:tcBorders>
              <w:top w:val="single" w:color="auto" w:sz="4" w:space="0"/>
              <w:left w:val="single" w:color="auto" w:sz="4" w:space="0"/>
              <w:bottom w:val="single" w:color="auto" w:sz="4" w:space="0"/>
              <w:right w:val="single" w:color="auto" w:sz="4" w:space="0"/>
            </w:tcBorders>
            <w:vAlign w:val="center"/>
          </w:tcPr>
          <w:p w14:paraId="2F884C76">
            <w:pPr>
              <w:spacing w:line="400" w:lineRule="exact"/>
              <w:jc w:val="left"/>
              <w:rPr>
                <w:rFonts w:ascii="宋体" w:hAnsi="宋体"/>
                <w:sz w:val="24"/>
              </w:rPr>
            </w:pPr>
            <w:r>
              <w:rPr>
                <w:rFonts w:ascii="宋体" w:hAnsi="宋体"/>
                <w:sz w:val="24"/>
              </w:rPr>
              <w:t>1</w:t>
            </w:r>
            <w:r>
              <w:rPr>
                <w:rFonts w:hint="eastAsia" w:ascii="宋体" w:hAnsi="宋体"/>
                <w:sz w:val="24"/>
              </w:rPr>
              <w:t>套</w:t>
            </w:r>
          </w:p>
        </w:tc>
        <w:tc>
          <w:tcPr>
            <w:tcW w:w="1244" w:type="dxa"/>
            <w:tcBorders>
              <w:top w:val="single" w:color="auto" w:sz="4" w:space="0"/>
              <w:left w:val="single" w:color="auto" w:sz="4" w:space="0"/>
              <w:bottom w:val="single" w:color="auto" w:sz="4" w:space="0"/>
              <w:right w:val="single" w:color="auto" w:sz="4" w:space="0"/>
            </w:tcBorders>
            <w:vAlign w:val="center"/>
          </w:tcPr>
          <w:p w14:paraId="130CB1E9">
            <w:pPr>
              <w:spacing w:line="400" w:lineRule="exact"/>
              <w:jc w:val="left"/>
              <w:rPr>
                <w:rFonts w:ascii="宋体" w:hAnsi="宋体"/>
                <w:sz w:val="24"/>
              </w:rPr>
            </w:pPr>
          </w:p>
        </w:tc>
        <w:tc>
          <w:tcPr>
            <w:tcW w:w="1519" w:type="dxa"/>
            <w:tcBorders>
              <w:top w:val="single" w:color="auto" w:sz="4" w:space="0"/>
              <w:left w:val="single" w:color="auto" w:sz="4" w:space="0"/>
              <w:bottom w:val="single" w:color="auto" w:sz="4" w:space="0"/>
            </w:tcBorders>
            <w:vAlign w:val="center"/>
          </w:tcPr>
          <w:p w14:paraId="0AC26D06">
            <w:pPr>
              <w:spacing w:line="400" w:lineRule="exact"/>
              <w:jc w:val="left"/>
              <w:rPr>
                <w:rFonts w:ascii="宋体" w:hAnsi="宋体"/>
                <w:sz w:val="24"/>
              </w:rPr>
            </w:pPr>
          </w:p>
        </w:tc>
      </w:tr>
      <w:tr w14:paraId="1F01E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Borders>
              <w:top w:val="single" w:color="auto" w:sz="4" w:space="0"/>
              <w:bottom w:val="single" w:color="auto" w:sz="4" w:space="0"/>
              <w:right w:val="single" w:color="auto" w:sz="4" w:space="0"/>
            </w:tcBorders>
            <w:vAlign w:val="center"/>
          </w:tcPr>
          <w:p w14:paraId="1C3A199C">
            <w:pPr>
              <w:spacing w:line="400" w:lineRule="exact"/>
              <w:jc w:val="left"/>
              <w:rPr>
                <w:rFonts w:ascii="宋体" w:hAnsi="宋体"/>
                <w:sz w:val="24"/>
              </w:rPr>
            </w:pPr>
            <w:r>
              <w:rPr>
                <w:rFonts w:hint="eastAsia" w:ascii="宋体" w:hAnsi="宋体"/>
                <w:sz w:val="24"/>
              </w:rPr>
              <w:t>4</w:t>
            </w:r>
          </w:p>
        </w:tc>
        <w:tc>
          <w:tcPr>
            <w:tcW w:w="2871" w:type="dxa"/>
            <w:tcBorders>
              <w:top w:val="single" w:color="auto" w:sz="4" w:space="0"/>
              <w:left w:val="single" w:color="auto" w:sz="4" w:space="0"/>
              <w:bottom w:val="single" w:color="auto" w:sz="4" w:space="0"/>
              <w:right w:val="single" w:color="auto" w:sz="4" w:space="0"/>
            </w:tcBorders>
            <w:vAlign w:val="center"/>
          </w:tcPr>
          <w:p w14:paraId="188B97DF">
            <w:pPr>
              <w:spacing w:line="400" w:lineRule="exact"/>
              <w:jc w:val="left"/>
              <w:rPr>
                <w:rFonts w:ascii="宋体" w:hAnsi="宋体"/>
                <w:sz w:val="24"/>
              </w:rPr>
            </w:pPr>
            <w:r>
              <w:rPr>
                <w:rFonts w:hint="eastAsia" w:ascii="宋体" w:hAnsi="宋体"/>
                <w:sz w:val="24"/>
              </w:rPr>
              <w:t>呼吸器</w:t>
            </w:r>
          </w:p>
        </w:tc>
        <w:tc>
          <w:tcPr>
            <w:tcW w:w="2297" w:type="dxa"/>
            <w:tcBorders>
              <w:top w:val="single" w:color="auto" w:sz="4" w:space="0"/>
              <w:left w:val="single" w:color="auto" w:sz="4" w:space="0"/>
              <w:bottom w:val="single" w:color="auto" w:sz="4" w:space="0"/>
              <w:right w:val="single" w:color="auto" w:sz="4" w:space="0"/>
            </w:tcBorders>
            <w:vAlign w:val="center"/>
          </w:tcPr>
          <w:p w14:paraId="6415D16F">
            <w:pPr>
              <w:spacing w:line="400" w:lineRule="exact"/>
              <w:jc w:val="left"/>
              <w:rPr>
                <w:rFonts w:ascii="宋体" w:hAnsi="宋体"/>
                <w:sz w:val="24"/>
              </w:rPr>
            </w:pPr>
            <w:r>
              <w:rPr>
                <w:rFonts w:ascii="宋体" w:hAnsi="宋体"/>
                <w:sz w:val="24"/>
              </w:rPr>
              <w:t>1</w:t>
            </w:r>
            <w:r>
              <w:rPr>
                <w:rFonts w:hint="eastAsia" w:ascii="宋体" w:hAnsi="宋体"/>
                <w:sz w:val="24"/>
              </w:rPr>
              <w:t>个</w:t>
            </w:r>
          </w:p>
        </w:tc>
        <w:tc>
          <w:tcPr>
            <w:tcW w:w="1244" w:type="dxa"/>
            <w:tcBorders>
              <w:top w:val="single" w:color="auto" w:sz="4" w:space="0"/>
              <w:left w:val="single" w:color="auto" w:sz="4" w:space="0"/>
              <w:bottom w:val="single" w:color="auto" w:sz="4" w:space="0"/>
              <w:right w:val="single" w:color="auto" w:sz="4" w:space="0"/>
            </w:tcBorders>
            <w:vAlign w:val="center"/>
          </w:tcPr>
          <w:p w14:paraId="09D8E05D">
            <w:pPr>
              <w:spacing w:line="400" w:lineRule="exact"/>
              <w:jc w:val="left"/>
              <w:rPr>
                <w:rFonts w:ascii="宋体" w:hAnsi="宋体"/>
                <w:sz w:val="24"/>
              </w:rPr>
            </w:pPr>
          </w:p>
        </w:tc>
        <w:tc>
          <w:tcPr>
            <w:tcW w:w="1519" w:type="dxa"/>
            <w:tcBorders>
              <w:top w:val="single" w:color="auto" w:sz="4" w:space="0"/>
              <w:left w:val="single" w:color="auto" w:sz="4" w:space="0"/>
              <w:bottom w:val="single" w:color="auto" w:sz="4" w:space="0"/>
            </w:tcBorders>
            <w:vAlign w:val="center"/>
          </w:tcPr>
          <w:p w14:paraId="25CC05DA">
            <w:pPr>
              <w:spacing w:line="400" w:lineRule="exact"/>
              <w:jc w:val="left"/>
              <w:rPr>
                <w:rFonts w:ascii="宋体" w:hAnsi="宋体"/>
                <w:sz w:val="24"/>
              </w:rPr>
            </w:pPr>
          </w:p>
        </w:tc>
      </w:tr>
      <w:tr w14:paraId="7F73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Borders>
              <w:top w:val="single" w:color="auto" w:sz="4" w:space="0"/>
              <w:right w:val="single" w:color="auto" w:sz="4" w:space="0"/>
            </w:tcBorders>
            <w:vAlign w:val="center"/>
          </w:tcPr>
          <w:p w14:paraId="2681BF3E">
            <w:pPr>
              <w:spacing w:line="400" w:lineRule="exact"/>
              <w:jc w:val="left"/>
              <w:rPr>
                <w:rFonts w:ascii="宋体" w:hAnsi="宋体"/>
                <w:sz w:val="24"/>
              </w:rPr>
            </w:pPr>
            <w:r>
              <w:rPr>
                <w:rFonts w:hint="eastAsia" w:ascii="宋体" w:hAnsi="宋体"/>
                <w:sz w:val="24"/>
              </w:rPr>
              <w:t>5</w:t>
            </w:r>
          </w:p>
        </w:tc>
        <w:tc>
          <w:tcPr>
            <w:tcW w:w="2871" w:type="dxa"/>
            <w:tcBorders>
              <w:top w:val="single" w:color="auto" w:sz="4" w:space="0"/>
              <w:left w:val="single" w:color="auto" w:sz="4" w:space="0"/>
              <w:right w:val="single" w:color="auto" w:sz="4" w:space="0"/>
            </w:tcBorders>
            <w:vAlign w:val="center"/>
          </w:tcPr>
          <w:p w14:paraId="5198E752">
            <w:pPr>
              <w:spacing w:line="400" w:lineRule="exact"/>
              <w:jc w:val="left"/>
              <w:rPr>
                <w:rFonts w:ascii="宋体" w:hAnsi="宋体"/>
                <w:sz w:val="24"/>
              </w:rPr>
            </w:pPr>
            <w:r>
              <w:rPr>
                <w:rFonts w:hint="eastAsia" w:ascii="宋体" w:hAnsi="宋体"/>
                <w:sz w:val="24"/>
              </w:rPr>
              <w:t>瓦斯继电器</w:t>
            </w:r>
          </w:p>
        </w:tc>
        <w:tc>
          <w:tcPr>
            <w:tcW w:w="2297" w:type="dxa"/>
            <w:tcBorders>
              <w:top w:val="single" w:color="auto" w:sz="4" w:space="0"/>
              <w:left w:val="single" w:color="auto" w:sz="4" w:space="0"/>
              <w:right w:val="single" w:color="auto" w:sz="4" w:space="0"/>
            </w:tcBorders>
            <w:vAlign w:val="center"/>
          </w:tcPr>
          <w:p w14:paraId="4960FAF3">
            <w:pPr>
              <w:spacing w:line="400" w:lineRule="exact"/>
              <w:jc w:val="left"/>
              <w:rPr>
                <w:rFonts w:ascii="宋体" w:hAnsi="宋体"/>
                <w:sz w:val="24"/>
              </w:rPr>
            </w:pPr>
            <w:r>
              <w:rPr>
                <w:rFonts w:hint="eastAsia" w:ascii="宋体" w:hAnsi="宋体"/>
                <w:sz w:val="24"/>
              </w:rPr>
              <w:t>1套</w:t>
            </w:r>
          </w:p>
        </w:tc>
        <w:tc>
          <w:tcPr>
            <w:tcW w:w="1244" w:type="dxa"/>
            <w:tcBorders>
              <w:top w:val="single" w:color="auto" w:sz="4" w:space="0"/>
              <w:left w:val="single" w:color="auto" w:sz="4" w:space="0"/>
              <w:right w:val="single" w:color="auto" w:sz="4" w:space="0"/>
            </w:tcBorders>
            <w:vAlign w:val="center"/>
          </w:tcPr>
          <w:p w14:paraId="57549AA0">
            <w:pPr>
              <w:spacing w:line="400" w:lineRule="exact"/>
              <w:jc w:val="left"/>
              <w:rPr>
                <w:rFonts w:ascii="宋体" w:hAnsi="宋体"/>
                <w:sz w:val="24"/>
              </w:rPr>
            </w:pPr>
          </w:p>
        </w:tc>
        <w:tc>
          <w:tcPr>
            <w:tcW w:w="1519" w:type="dxa"/>
            <w:tcBorders>
              <w:top w:val="single" w:color="auto" w:sz="4" w:space="0"/>
              <w:left w:val="single" w:color="auto" w:sz="4" w:space="0"/>
            </w:tcBorders>
            <w:vAlign w:val="center"/>
          </w:tcPr>
          <w:p w14:paraId="5A763175">
            <w:pPr>
              <w:spacing w:line="400" w:lineRule="exact"/>
              <w:jc w:val="left"/>
              <w:rPr>
                <w:rFonts w:ascii="宋体" w:hAnsi="宋体"/>
                <w:sz w:val="24"/>
              </w:rPr>
            </w:pPr>
          </w:p>
        </w:tc>
      </w:tr>
    </w:tbl>
    <w:p w14:paraId="07CCF05B">
      <w:pPr>
        <w:spacing w:line="400" w:lineRule="exact"/>
        <w:rPr>
          <w:rFonts w:ascii="宋体" w:hAnsi="宋体" w:cs="宋体"/>
          <w:sz w:val="24"/>
        </w:rPr>
      </w:pPr>
      <w:r>
        <w:rPr>
          <w:rFonts w:hint="eastAsia" w:ascii="宋体" w:hAnsi="宋体" w:cs="宋体"/>
          <w:sz w:val="24"/>
        </w:rPr>
        <w:t>3、6.3kV变压器备品备件清单及供货（包含但不限于以下设备，投标方填写）</w:t>
      </w:r>
    </w:p>
    <w:p w14:paraId="3368BBAF">
      <w:pPr>
        <w:spacing w:line="400" w:lineRule="exact"/>
        <w:rPr>
          <w:rFonts w:ascii="宋体" w:hAnsi="宋体" w:cs="宋体"/>
          <w:sz w:val="24"/>
        </w:rPr>
      </w:pPr>
    </w:p>
    <w:p w14:paraId="019264E1">
      <w:pPr>
        <w:spacing w:line="400" w:lineRule="exact"/>
        <w:jc w:val="left"/>
        <w:rPr>
          <w:rFonts w:ascii="宋体" w:hAnsi="宋体"/>
          <w:sz w:val="24"/>
        </w:rPr>
      </w:pPr>
      <w:r>
        <w:rPr>
          <w:rFonts w:hint="eastAsia" w:ascii="宋体" w:hAnsi="宋体" w:cs="宋体"/>
          <w:sz w:val="24"/>
        </w:rPr>
        <w:t>4、高压柜</w:t>
      </w:r>
      <w:r>
        <w:rPr>
          <w:rFonts w:hint="eastAsia" w:ascii="宋体" w:hAnsi="宋体"/>
          <w:sz w:val="24"/>
        </w:rPr>
        <w:t>备品备件及专用工具</w:t>
      </w:r>
    </w:p>
    <w:p w14:paraId="74169E56">
      <w:pPr>
        <w:spacing w:line="400" w:lineRule="exact"/>
        <w:ind w:firstLine="480" w:firstLineChars="200"/>
      </w:pPr>
      <w:r>
        <w:rPr>
          <w:rFonts w:hint="eastAsia" w:ascii="宋体" w:hAnsi="宋体"/>
          <w:sz w:val="24"/>
        </w:rPr>
        <w:t>备品备件清单</w:t>
      </w:r>
      <w:r>
        <w:rPr>
          <w:rFonts w:hint="eastAsia" w:ascii="宋体" w:hAnsi="宋体" w:cs="宋体"/>
          <w:sz w:val="24"/>
        </w:rPr>
        <w:t>及供货（包含但不限于以下设备，投标方填写）</w:t>
      </w:r>
      <w:r>
        <w:rPr>
          <w:rFonts w:hint="eastAsia" w:ascii="宋体" w:hAnsi="宋体"/>
          <w:sz w:val="24"/>
        </w:rPr>
        <w:t xml:space="preserve">       </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2"/>
        <w:gridCol w:w="2871"/>
        <w:gridCol w:w="1668"/>
        <w:gridCol w:w="1418"/>
        <w:gridCol w:w="1701"/>
      </w:tblGrid>
      <w:tr w14:paraId="7D63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Pr>
          <w:p w14:paraId="0D0D05CC">
            <w:pPr>
              <w:spacing w:line="400" w:lineRule="exact"/>
              <w:jc w:val="center"/>
              <w:rPr>
                <w:rFonts w:ascii="宋体" w:hAnsi="宋体" w:cs="宋体"/>
                <w:sz w:val="24"/>
              </w:rPr>
            </w:pPr>
            <w:r>
              <w:rPr>
                <w:rFonts w:hint="eastAsia" w:ascii="宋体" w:hAnsi="宋体" w:cs="宋体"/>
                <w:sz w:val="24"/>
              </w:rPr>
              <w:t>序号</w:t>
            </w:r>
          </w:p>
        </w:tc>
        <w:tc>
          <w:tcPr>
            <w:tcW w:w="2871" w:type="dxa"/>
          </w:tcPr>
          <w:p w14:paraId="7FEC97C1">
            <w:pPr>
              <w:spacing w:line="400" w:lineRule="exact"/>
              <w:jc w:val="center"/>
              <w:rPr>
                <w:rFonts w:ascii="宋体" w:hAnsi="宋体" w:cs="宋体"/>
                <w:sz w:val="24"/>
              </w:rPr>
            </w:pPr>
            <w:r>
              <w:rPr>
                <w:rFonts w:hint="eastAsia" w:ascii="宋体" w:hAnsi="宋体" w:cs="宋体"/>
                <w:sz w:val="24"/>
              </w:rPr>
              <w:t>设备名称</w:t>
            </w:r>
          </w:p>
        </w:tc>
        <w:tc>
          <w:tcPr>
            <w:tcW w:w="1668" w:type="dxa"/>
          </w:tcPr>
          <w:p w14:paraId="2FA7F0DF">
            <w:pPr>
              <w:spacing w:line="400" w:lineRule="exact"/>
              <w:jc w:val="center"/>
              <w:rPr>
                <w:rFonts w:ascii="宋体" w:hAnsi="宋体" w:cs="宋体"/>
                <w:sz w:val="24"/>
              </w:rPr>
            </w:pPr>
            <w:r>
              <w:rPr>
                <w:rFonts w:hint="eastAsia" w:ascii="宋体" w:hAnsi="宋体" w:cs="宋体"/>
                <w:sz w:val="24"/>
              </w:rPr>
              <w:t>数量</w:t>
            </w:r>
          </w:p>
        </w:tc>
        <w:tc>
          <w:tcPr>
            <w:tcW w:w="1418" w:type="dxa"/>
          </w:tcPr>
          <w:p w14:paraId="33288AF4">
            <w:pPr>
              <w:spacing w:line="400" w:lineRule="exact"/>
              <w:jc w:val="center"/>
              <w:rPr>
                <w:rFonts w:ascii="宋体" w:hAnsi="宋体" w:cs="宋体"/>
                <w:sz w:val="24"/>
              </w:rPr>
            </w:pPr>
            <w:r>
              <w:rPr>
                <w:rFonts w:hint="eastAsia" w:ascii="宋体" w:hAnsi="宋体"/>
                <w:sz w:val="24"/>
              </w:rPr>
              <w:t>用途</w:t>
            </w:r>
          </w:p>
        </w:tc>
        <w:tc>
          <w:tcPr>
            <w:tcW w:w="1701" w:type="dxa"/>
          </w:tcPr>
          <w:p w14:paraId="69900F42">
            <w:pPr>
              <w:spacing w:line="400" w:lineRule="exact"/>
              <w:jc w:val="center"/>
              <w:rPr>
                <w:rFonts w:ascii="宋体" w:hAnsi="宋体" w:cs="宋体"/>
                <w:sz w:val="24"/>
              </w:rPr>
            </w:pPr>
            <w:r>
              <w:rPr>
                <w:rFonts w:hint="eastAsia" w:ascii="宋体" w:hAnsi="宋体" w:cs="宋体"/>
                <w:sz w:val="24"/>
              </w:rPr>
              <w:t>备注</w:t>
            </w:r>
          </w:p>
        </w:tc>
      </w:tr>
      <w:tr w14:paraId="026E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tcBorders>
              <w:top w:val="double" w:color="auto" w:sz="4" w:space="0"/>
            </w:tcBorders>
          </w:tcPr>
          <w:p w14:paraId="31DB6CB4">
            <w:pPr>
              <w:spacing w:line="400" w:lineRule="exact"/>
              <w:jc w:val="center"/>
              <w:rPr>
                <w:rFonts w:ascii="宋体" w:hAnsi="宋体" w:cs="宋体"/>
                <w:sz w:val="24"/>
              </w:rPr>
            </w:pPr>
            <w:r>
              <w:rPr>
                <w:rFonts w:hint="eastAsia" w:ascii="宋体" w:hAnsi="宋体" w:cs="宋体"/>
                <w:sz w:val="24"/>
              </w:rPr>
              <w:t>1</w:t>
            </w:r>
          </w:p>
        </w:tc>
        <w:tc>
          <w:tcPr>
            <w:tcW w:w="2871" w:type="dxa"/>
            <w:tcBorders>
              <w:top w:val="double" w:color="auto" w:sz="4" w:space="0"/>
            </w:tcBorders>
          </w:tcPr>
          <w:p w14:paraId="350CE6CC">
            <w:pPr>
              <w:spacing w:line="400" w:lineRule="exact"/>
              <w:jc w:val="center"/>
              <w:rPr>
                <w:rFonts w:ascii="宋体" w:hAnsi="宋体" w:cs="宋体"/>
                <w:sz w:val="24"/>
              </w:rPr>
            </w:pPr>
            <w:r>
              <w:rPr>
                <w:rFonts w:hint="eastAsia" w:ascii="宋体" w:hAnsi="宋体" w:cs="宋体"/>
                <w:sz w:val="24"/>
              </w:rPr>
              <w:t>高压熔断器</w:t>
            </w:r>
          </w:p>
        </w:tc>
        <w:tc>
          <w:tcPr>
            <w:tcW w:w="1668" w:type="dxa"/>
            <w:tcBorders>
              <w:top w:val="double" w:color="auto" w:sz="4" w:space="0"/>
            </w:tcBorders>
          </w:tcPr>
          <w:p w14:paraId="0A12DCA3">
            <w:pPr>
              <w:spacing w:line="400" w:lineRule="exact"/>
              <w:jc w:val="center"/>
              <w:rPr>
                <w:rFonts w:ascii="宋体" w:hAnsi="宋体" w:cs="宋体"/>
                <w:sz w:val="24"/>
              </w:rPr>
            </w:pPr>
            <w:r>
              <w:rPr>
                <w:rFonts w:ascii="宋体" w:hAnsi="宋体" w:cs="宋体"/>
                <w:sz w:val="24"/>
              </w:rPr>
              <w:t>9</w:t>
            </w:r>
            <w:r>
              <w:rPr>
                <w:rFonts w:hint="eastAsia" w:ascii="宋体" w:hAnsi="宋体" w:cs="宋体"/>
                <w:sz w:val="24"/>
              </w:rPr>
              <w:t>个</w:t>
            </w:r>
          </w:p>
        </w:tc>
        <w:tc>
          <w:tcPr>
            <w:tcW w:w="1418" w:type="dxa"/>
            <w:tcBorders>
              <w:top w:val="double" w:color="auto" w:sz="4" w:space="0"/>
            </w:tcBorders>
          </w:tcPr>
          <w:p w14:paraId="3A02DF10">
            <w:pPr>
              <w:spacing w:line="400" w:lineRule="exact"/>
              <w:jc w:val="center"/>
              <w:rPr>
                <w:rFonts w:ascii="宋体" w:hAnsi="宋体" w:cs="宋体"/>
                <w:sz w:val="24"/>
              </w:rPr>
            </w:pPr>
          </w:p>
        </w:tc>
        <w:tc>
          <w:tcPr>
            <w:tcW w:w="1701" w:type="dxa"/>
            <w:tcBorders>
              <w:top w:val="double" w:color="auto" w:sz="4" w:space="0"/>
            </w:tcBorders>
          </w:tcPr>
          <w:p w14:paraId="3B310BAE">
            <w:pPr>
              <w:spacing w:line="400" w:lineRule="exact"/>
              <w:jc w:val="center"/>
              <w:rPr>
                <w:rFonts w:ascii="宋体" w:hAnsi="宋体" w:cs="宋体"/>
                <w:sz w:val="24"/>
              </w:rPr>
            </w:pPr>
            <w:r>
              <w:rPr>
                <w:rFonts w:hint="eastAsia" w:ascii="宋体" w:hAnsi="宋体" w:cs="宋体"/>
                <w:sz w:val="24"/>
              </w:rPr>
              <w:t>各规格</w:t>
            </w:r>
          </w:p>
        </w:tc>
      </w:tr>
      <w:tr w14:paraId="0C87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39B8DAAE">
            <w:pPr>
              <w:spacing w:line="400" w:lineRule="exact"/>
              <w:jc w:val="center"/>
              <w:rPr>
                <w:rFonts w:ascii="宋体" w:hAnsi="宋体" w:cs="宋体"/>
                <w:sz w:val="24"/>
              </w:rPr>
            </w:pPr>
            <w:r>
              <w:rPr>
                <w:rFonts w:hint="eastAsia" w:ascii="宋体" w:hAnsi="宋体" w:cs="宋体"/>
                <w:sz w:val="24"/>
              </w:rPr>
              <w:t>2</w:t>
            </w:r>
          </w:p>
        </w:tc>
        <w:tc>
          <w:tcPr>
            <w:tcW w:w="2871" w:type="dxa"/>
            <w:vAlign w:val="center"/>
          </w:tcPr>
          <w:p w14:paraId="1C1C85FF">
            <w:pPr>
              <w:spacing w:line="400" w:lineRule="exact"/>
              <w:jc w:val="center"/>
              <w:rPr>
                <w:rFonts w:ascii="宋体" w:hAnsi="宋体" w:cs="宋体"/>
                <w:sz w:val="24"/>
              </w:rPr>
            </w:pPr>
            <w:r>
              <w:rPr>
                <w:rFonts w:hint="eastAsia" w:ascii="宋体" w:hAnsi="宋体" w:cs="宋体"/>
                <w:sz w:val="24"/>
              </w:rPr>
              <w:t>控制回路断路器</w:t>
            </w:r>
          </w:p>
        </w:tc>
        <w:tc>
          <w:tcPr>
            <w:tcW w:w="1668" w:type="dxa"/>
            <w:vAlign w:val="center"/>
          </w:tcPr>
          <w:p w14:paraId="15FA1786">
            <w:pPr>
              <w:spacing w:line="400" w:lineRule="exact"/>
              <w:jc w:val="center"/>
              <w:rPr>
                <w:rFonts w:ascii="宋体" w:hAnsi="宋体" w:cs="宋体"/>
                <w:sz w:val="24"/>
              </w:rPr>
            </w:pPr>
            <w:r>
              <w:rPr>
                <w:rFonts w:ascii="宋体" w:hAnsi="宋体" w:cs="宋体"/>
                <w:sz w:val="24"/>
              </w:rPr>
              <w:t>9</w:t>
            </w:r>
            <w:r>
              <w:rPr>
                <w:rFonts w:hint="eastAsia" w:ascii="宋体" w:hAnsi="宋体" w:cs="宋体"/>
                <w:sz w:val="24"/>
              </w:rPr>
              <w:t>个</w:t>
            </w:r>
          </w:p>
        </w:tc>
        <w:tc>
          <w:tcPr>
            <w:tcW w:w="1418" w:type="dxa"/>
            <w:vAlign w:val="center"/>
          </w:tcPr>
          <w:p w14:paraId="3B061A88">
            <w:pPr>
              <w:spacing w:line="400" w:lineRule="exact"/>
              <w:jc w:val="center"/>
              <w:rPr>
                <w:rFonts w:ascii="宋体" w:hAnsi="宋体" w:cs="宋体"/>
                <w:sz w:val="24"/>
              </w:rPr>
            </w:pPr>
          </w:p>
        </w:tc>
        <w:tc>
          <w:tcPr>
            <w:tcW w:w="1701" w:type="dxa"/>
            <w:vAlign w:val="center"/>
          </w:tcPr>
          <w:p w14:paraId="35E2680F">
            <w:pPr>
              <w:spacing w:line="400" w:lineRule="exact"/>
              <w:jc w:val="center"/>
              <w:rPr>
                <w:rFonts w:ascii="宋体" w:hAnsi="宋体" w:cs="宋体"/>
                <w:sz w:val="24"/>
              </w:rPr>
            </w:pPr>
            <w:r>
              <w:rPr>
                <w:rFonts w:hint="eastAsia" w:ascii="宋体" w:hAnsi="宋体" w:cs="宋体"/>
                <w:sz w:val="24"/>
              </w:rPr>
              <w:t>各规格</w:t>
            </w:r>
          </w:p>
        </w:tc>
      </w:tr>
      <w:tr w14:paraId="289C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077CDB33">
            <w:pPr>
              <w:spacing w:line="400" w:lineRule="exact"/>
              <w:jc w:val="center"/>
              <w:rPr>
                <w:rFonts w:ascii="宋体" w:hAnsi="宋体" w:cs="宋体"/>
                <w:sz w:val="24"/>
              </w:rPr>
            </w:pPr>
            <w:r>
              <w:rPr>
                <w:rFonts w:hint="eastAsia" w:ascii="宋体" w:hAnsi="宋体" w:cs="宋体"/>
                <w:sz w:val="24"/>
              </w:rPr>
              <w:t>3</w:t>
            </w:r>
          </w:p>
        </w:tc>
        <w:tc>
          <w:tcPr>
            <w:tcW w:w="2871" w:type="dxa"/>
            <w:vAlign w:val="center"/>
          </w:tcPr>
          <w:p w14:paraId="7BE406A0">
            <w:pPr>
              <w:spacing w:line="400" w:lineRule="exact"/>
              <w:jc w:val="center"/>
              <w:rPr>
                <w:rFonts w:ascii="宋体" w:hAnsi="宋体" w:cs="宋体"/>
                <w:sz w:val="24"/>
              </w:rPr>
            </w:pPr>
            <w:r>
              <w:rPr>
                <w:rFonts w:hint="eastAsia" w:ascii="宋体" w:hAnsi="宋体" w:cs="宋体"/>
                <w:sz w:val="24"/>
              </w:rPr>
              <w:t>一次动静触头</w:t>
            </w:r>
          </w:p>
        </w:tc>
        <w:tc>
          <w:tcPr>
            <w:tcW w:w="1668" w:type="dxa"/>
            <w:vAlign w:val="center"/>
          </w:tcPr>
          <w:p w14:paraId="7947FAC0">
            <w:pPr>
              <w:spacing w:line="400" w:lineRule="exact"/>
              <w:jc w:val="center"/>
              <w:rPr>
                <w:rFonts w:ascii="宋体" w:hAnsi="宋体" w:cs="宋体"/>
                <w:sz w:val="24"/>
              </w:rPr>
            </w:pPr>
            <w:r>
              <w:rPr>
                <w:rFonts w:ascii="宋体" w:hAnsi="宋体" w:cs="宋体"/>
                <w:sz w:val="24"/>
              </w:rPr>
              <w:t>1</w:t>
            </w:r>
            <w:r>
              <w:rPr>
                <w:rFonts w:hint="eastAsia" w:ascii="宋体" w:hAnsi="宋体" w:cs="宋体"/>
                <w:sz w:val="24"/>
              </w:rPr>
              <w:t>套</w:t>
            </w:r>
          </w:p>
        </w:tc>
        <w:tc>
          <w:tcPr>
            <w:tcW w:w="1418" w:type="dxa"/>
            <w:vAlign w:val="center"/>
          </w:tcPr>
          <w:p w14:paraId="22FA57A6">
            <w:pPr>
              <w:spacing w:line="400" w:lineRule="exact"/>
              <w:jc w:val="center"/>
              <w:rPr>
                <w:rFonts w:ascii="宋体" w:hAnsi="宋体" w:cs="宋体"/>
                <w:sz w:val="24"/>
              </w:rPr>
            </w:pPr>
          </w:p>
        </w:tc>
        <w:tc>
          <w:tcPr>
            <w:tcW w:w="1701" w:type="dxa"/>
            <w:vAlign w:val="center"/>
          </w:tcPr>
          <w:p w14:paraId="674E718D">
            <w:pPr>
              <w:spacing w:line="400" w:lineRule="exact"/>
              <w:jc w:val="center"/>
              <w:rPr>
                <w:rFonts w:ascii="宋体" w:hAnsi="宋体" w:cs="宋体"/>
                <w:sz w:val="24"/>
              </w:rPr>
            </w:pPr>
            <w:r>
              <w:rPr>
                <w:rFonts w:hint="eastAsia" w:ascii="宋体" w:hAnsi="宋体" w:cs="宋体"/>
                <w:sz w:val="24"/>
              </w:rPr>
              <w:t>各规格</w:t>
            </w:r>
          </w:p>
        </w:tc>
      </w:tr>
      <w:tr w14:paraId="133C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4FE4E410">
            <w:pPr>
              <w:spacing w:line="400" w:lineRule="exact"/>
              <w:jc w:val="center"/>
              <w:rPr>
                <w:rFonts w:ascii="宋体" w:hAnsi="宋体" w:cs="宋体"/>
                <w:sz w:val="24"/>
              </w:rPr>
            </w:pPr>
            <w:r>
              <w:rPr>
                <w:rFonts w:hint="eastAsia" w:ascii="宋体" w:hAnsi="宋体" w:cs="宋体"/>
                <w:sz w:val="24"/>
              </w:rPr>
              <w:t>4</w:t>
            </w:r>
          </w:p>
        </w:tc>
        <w:tc>
          <w:tcPr>
            <w:tcW w:w="2871" w:type="dxa"/>
            <w:vAlign w:val="center"/>
          </w:tcPr>
          <w:p w14:paraId="5825E1DC">
            <w:pPr>
              <w:spacing w:line="400" w:lineRule="exact"/>
              <w:jc w:val="center"/>
              <w:rPr>
                <w:rFonts w:ascii="宋体" w:hAnsi="宋体" w:cs="宋体"/>
                <w:sz w:val="24"/>
              </w:rPr>
            </w:pPr>
            <w:r>
              <w:rPr>
                <w:rFonts w:hint="eastAsia" w:ascii="宋体" w:hAnsi="宋体" w:cs="宋体"/>
                <w:sz w:val="24"/>
              </w:rPr>
              <w:t>避雷器</w:t>
            </w:r>
          </w:p>
        </w:tc>
        <w:tc>
          <w:tcPr>
            <w:tcW w:w="1668" w:type="dxa"/>
            <w:vAlign w:val="center"/>
          </w:tcPr>
          <w:p w14:paraId="650D60E1">
            <w:pPr>
              <w:spacing w:line="400" w:lineRule="exact"/>
              <w:jc w:val="center"/>
              <w:rPr>
                <w:rFonts w:ascii="宋体" w:hAnsi="宋体" w:cs="宋体"/>
                <w:sz w:val="24"/>
              </w:rPr>
            </w:pPr>
            <w:r>
              <w:rPr>
                <w:rFonts w:ascii="宋体" w:hAnsi="宋体" w:cs="宋体"/>
                <w:sz w:val="24"/>
              </w:rPr>
              <w:t>1</w:t>
            </w:r>
            <w:r>
              <w:rPr>
                <w:rFonts w:hint="eastAsia" w:ascii="宋体" w:hAnsi="宋体" w:cs="宋体"/>
                <w:sz w:val="24"/>
              </w:rPr>
              <w:t>套</w:t>
            </w:r>
          </w:p>
        </w:tc>
        <w:tc>
          <w:tcPr>
            <w:tcW w:w="1418" w:type="dxa"/>
            <w:vAlign w:val="center"/>
          </w:tcPr>
          <w:p w14:paraId="0C04661E">
            <w:pPr>
              <w:spacing w:line="400" w:lineRule="exact"/>
              <w:jc w:val="center"/>
              <w:rPr>
                <w:rFonts w:ascii="宋体" w:hAnsi="宋体" w:cs="宋体"/>
                <w:sz w:val="24"/>
              </w:rPr>
            </w:pPr>
          </w:p>
        </w:tc>
        <w:tc>
          <w:tcPr>
            <w:tcW w:w="1701" w:type="dxa"/>
            <w:vAlign w:val="center"/>
          </w:tcPr>
          <w:p w14:paraId="5A706C27">
            <w:pPr>
              <w:spacing w:line="400" w:lineRule="exact"/>
              <w:jc w:val="center"/>
              <w:rPr>
                <w:rFonts w:ascii="宋体" w:hAnsi="宋体" w:cs="宋体"/>
                <w:sz w:val="24"/>
              </w:rPr>
            </w:pPr>
            <w:r>
              <w:rPr>
                <w:rFonts w:hint="eastAsia" w:ascii="宋体" w:hAnsi="宋体" w:cs="宋体"/>
                <w:sz w:val="24"/>
              </w:rPr>
              <w:t>各规格</w:t>
            </w:r>
          </w:p>
        </w:tc>
      </w:tr>
      <w:tr w14:paraId="10515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3FE1090D">
            <w:pPr>
              <w:spacing w:line="400" w:lineRule="exact"/>
              <w:jc w:val="center"/>
              <w:rPr>
                <w:rFonts w:ascii="宋体" w:hAnsi="宋体" w:cs="宋体"/>
                <w:sz w:val="24"/>
              </w:rPr>
            </w:pPr>
            <w:r>
              <w:rPr>
                <w:rFonts w:hint="eastAsia" w:ascii="宋体" w:hAnsi="宋体" w:cs="宋体"/>
                <w:sz w:val="24"/>
              </w:rPr>
              <w:t>5</w:t>
            </w:r>
          </w:p>
        </w:tc>
        <w:tc>
          <w:tcPr>
            <w:tcW w:w="2871" w:type="dxa"/>
            <w:vAlign w:val="center"/>
          </w:tcPr>
          <w:p w14:paraId="5208498D">
            <w:pPr>
              <w:spacing w:line="400" w:lineRule="exact"/>
              <w:jc w:val="center"/>
              <w:rPr>
                <w:rFonts w:ascii="宋体" w:hAnsi="宋体" w:cs="宋体"/>
                <w:sz w:val="24"/>
              </w:rPr>
            </w:pPr>
            <w:r>
              <w:rPr>
                <w:rFonts w:hint="eastAsia" w:ascii="宋体" w:hAnsi="宋体" w:cs="宋体"/>
                <w:sz w:val="24"/>
              </w:rPr>
              <w:t>二次插头、插座</w:t>
            </w:r>
          </w:p>
        </w:tc>
        <w:tc>
          <w:tcPr>
            <w:tcW w:w="1668" w:type="dxa"/>
            <w:vAlign w:val="center"/>
          </w:tcPr>
          <w:p w14:paraId="46E5246A">
            <w:pPr>
              <w:spacing w:line="400" w:lineRule="exact"/>
              <w:jc w:val="center"/>
              <w:rPr>
                <w:rFonts w:ascii="宋体" w:hAnsi="宋体" w:cs="宋体"/>
                <w:sz w:val="24"/>
              </w:rPr>
            </w:pPr>
            <w:r>
              <w:rPr>
                <w:rFonts w:hint="eastAsia" w:ascii="宋体" w:hAnsi="宋体" w:cs="宋体"/>
                <w:sz w:val="24"/>
              </w:rPr>
              <w:t>2</w:t>
            </w:r>
          </w:p>
        </w:tc>
        <w:tc>
          <w:tcPr>
            <w:tcW w:w="1418" w:type="dxa"/>
            <w:vAlign w:val="center"/>
          </w:tcPr>
          <w:p w14:paraId="25CE23DE">
            <w:pPr>
              <w:spacing w:line="400" w:lineRule="exact"/>
              <w:jc w:val="center"/>
              <w:rPr>
                <w:rFonts w:ascii="宋体" w:hAnsi="宋体" w:cs="宋体"/>
                <w:sz w:val="24"/>
              </w:rPr>
            </w:pPr>
            <w:r>
              <w:rPr>
                <w:rFonts w:hint="eastAsia" w:ascii="宋体" w:hAnsi="宋体" w:cs="宋体"/>
                <w:sz w:val="24"/>
              </w:rPr>
              <w:t>套</w:t>
            </w:r>
          </w:p>
        </w:tc>
        <w:tc>
          <w:tcPr>
            <w:tcW w:w="1701" w:type="dxa"/>
            <w:vAlign w:val="center"/>
          </w:tcPr>
          <w:p w14:paraId="7216DDD7">
            <w:pPr>
              <w:spacing w:line="400" w:lineRule="exact"/>
              <w:jc w:val="center"/>
              <w:rPr>
                <w:rFonts w:ascii="宋体" w:hAnsi="宋体" w:cs="宋体"/>
                <w:sz w:val="24"/>
              </w:rPr>
            </w:pPr>
          </w:p>
        </w:tc>
      </w:tr>
      <w:tr w14:paraId="35FD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4ADADEBF">
            <w:pPr>
              <w:spacing w:line="400" w:lineRule="exact"/>
              <w:jc w:val="center"/>
              <w:rPr>
                <w:rFonts w:ascii="宋体" w:hAnsi="宋体" w:cs="宋体"/>
                <w:sz w:val="24"/>
              </w:rPr>
            </w:pPr>
            <w:r>
              <w:rPr>
                <w:rFonts w:hint="eastAsia" w:ascii="宋体" w:hAnsi="宋体" w:cs="宋体"/>
                <w:sz w:val="24"/>
              </w:rPr>
              <w:t>6</w:t>
            </w:r>
          </w:p>
        </w:tc>
        <w:tc>
          <w:tcPr>
            <w:tcW w:w="2871" w:type="dxa"/>
            <w:vAlign w:val="center"/>
          </w:tcPr>
          <w:p w14:paraId="70495881">
            <w:pPr>
              <w:spacing w:line="400" w:lineRule="exact"/>
              <w:jc w:val="center"/>
              <w:rPr>
                <w:rFonts w:ascii="宋体" w:hAnsi="宋体" w:cs="宋体"/>
                <w:sz w:val="24"/>
              </w:rPr>
            </w:pPr>
            <w:r>
              <w:rPr>
                <w:rFonts w:hint="eastAsia" w:ascii="宋体" w:hAnsi="宋体" w:cs="宋体"/>
                <w:sz w:val="24"/>
              </w:rPr>
              <w:t>行程开关和微动开关</w:t>
            </w:r>
          </w:p>
        </w:tc>
        <w:tc>
          <w:tcPr>
            <w:tcW w:w="1668" w:type="dxa"/>
            <w:vAlign w:val="center"/>
          </w:tcPr>
          <w:p w14:paraId="6FC4493F">
            <w:pPr>
              <w:spacing w:line="400" w:lineRule="exact"/>
              <w:jc w:val="center"/>
              <w:rPr>
                <w:rFonts w:ascii="宋体" w:hAnsi="宋体" w:cs="宋体"/>
                <w:sz w:val="24"/>
              </w:rPr>
            </w:pPr>
            <w:r>
              <w:rPr>
                <w:rFonts w:ascii="宋体" w:hAnsi="宋体" w:cs="宋体"/>
                <w:sz w:val="24"/>
              </w:rPr>
              <w:t>2</w:t>
            </w:r>
          </w:p>
        </w:tc>
        <w:tc>
          <w:tcPr>
            <w:tcW w:w="1418" w:type="dxa"/>
            <w:vAlign w:val="center"/>
          </w:tcPr>
          <w:p w14:paraId="03977E2D">
            <w:pPr>
              <w:spacing w:line="400" w:lineRule="exact"/>
              <w:jc w:val="center"/>
              <w:rPr>
                <w:rFonts w:ascii="宋体" w:hAnsi="宋体" w:cs="宋体"/>
                <w:sz w:val="24"/>
              </w:rPr>
            </w:pPr>
            <w:r>
              <w:rPr>
                <w:rFonts w:hint="eastAsia" w:ascii="宋体" w:hAnsi="宋体" w:cs="宋体"/>
                <w:sz w:val="24"/>
              </w:rPr>
              <w:t>套</w:t>
            </w:r>
          </w:p>
        </w:tc>
        <w:tc>
          <w:tcPr>
            <w:tcW w:w="1701" w:type="dxa"/>
            <w:vAlign w:val="center"/>
          </w:tcPr>
          <w:p w14:paraId="66BA1FD1">
            <w:pPr>
              <w:spacing w:line="400" w:lineRule="exact"/>
              <w:jc w:val="center"/>
              <w:rPr>
                <w:rFonts w:ascii="宋体" w:hAnsi="宋体" w:cs="宋体"/>
                <w:sz w:val="24"/>
              </w:rPr>
            </w:pPr>
          </w:p>
        </w:tc>
      </w:tr>
      <w:tr w14:paraId="5D3C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33091A00">
            <w:pPr>
              <w:spacing w:line="400" w:lineRule="exact"/>
              <w:jc w:val="center"/>
              <w:rPr>
                <w:rFonts w:ascii="宋体" w:hAnsi="宋体" w:cs="宋体"/>
                <w:sz w:val="24"/>
              </w:rPr>
            </w:pPr>
            <w:r>
              <w:rPr>
                <w:rFonts w:hint="eastAsia" w:ascii="宋体" w:hAnsi="宋体" w:cs="宋体"/>
                <w:sz w:val="24"/>
              </w:rPr>
              <w:t>7</w:t>
            </w:r>
          </w:p>
        </w:tc>
        <w:tc>
          <w:tcPr>
            <w:tcW w:w="2871" w:type="dxa"/>
            <w:vAlign w:val="center"/>
          </w:tcPr>
          <w:p w14:paraId="5686DEEF">
            <w:pPr>
              <w:spacing w:line="400" w:lineRule="exact"/>
              <w:jc w:val="center"/>
              <w:rPr>
                <w:rFonts w:ascii="宋体" w:hAnsi="宋体" w:cs="宋体"/>
                <w:sz w:val="24"/>
              </w:rPr>
            </w:pPr>
            <w:r>
              <w:rPr>
                <w:rFonts w:hint="eastAsia" w:ascii="宋体" w:hAnsi="宋体" w:cs="宋体"/>
                <w:sz w:val="24"/>
              </w:rPr>
              <w:t>跳合闸线圈</w:t>
            </w:r>
          </w:p>
        </w:tc>
        <w:tc>
          <w:tcPr>
            <w:tcW w:w="1668" w:type="dxa"/>
            <w:vAlign w:val="center"/>
          </w:tcPr>
          <w:p w14:paraId="37A28161">
            <w:pPr>
              <w:spacing w:line="400" w:lineRule="exact"/>
              <w:jc w:val="center"/>
              <w:rPr>
                <w:rFonts w:ascii="宋体" w:hAnsi="宋体" w:cs="宋体"/>
                <w:sz w:val="24"/>
              </w:rPr>
            </w:pPr>
            <w:r>
              <w:rPr>
                <w:rFonts w:ascii="宋体" w:hAnsi="宋体" w:cs="宋体"/>
                <w:sz w:val="24"/>
              </w:rPr>
              <w:t>2</w:t>
            </w:r>
          </w:p>
        </w:tc>
        <w:tc>
          <w:tcPr>
            <w:tcW w:w="1418" w:type="dxa"/>
            <w:vAlign w:val="center"/>
          </w:tcPr>
          <w:p w14:paraId="2CBBF575">
            <w:pPr>
              <w:spacing w:line="400" w:lineRule="exact"/>
              <w:jc w:val="center"/>
              <w:rPr>
                <w:rFonts w:ascii="宋体" w:hAnsi="宋体" w:cs="宋体"/>
                <w:sz w:val="24"/>
              </w:rPr>
            </w:pPr>
            <w:r>
              <w:rPr>
                <w:rFonts w:hint="eastAsia" w:ascii="宋体" w:hAnsi="宋体" w:cs="宋体"/>
                <w:sz w:val="24"/>
              </w:rPr>
              <w:t>套</w:t>
            </w:r>
          </w:p>
        </w:tc>
        <w:tc>
          <w:tcPr>
            <w:tcW w:w="1701" w:type="dxa"/>
            <w:vAlign w:val="center"/>
          </w:tcPr>
          <w:p w14:paraId="1EE06D14">
            <w:pPr>
              <w:spacing w:line="400" w:lineRule="exact"/>
              <w:jc w:val="center"/>
              <w:rPr>
                <w:rFonts w:ascii="宋体" w:hAnsi="宋体" w:cs="宋体"/>
                <w:sz w:val="24"/>
              </w:rPr>
            </w:pPr>
          </w:p>
        </w:tc>
      </w:tr>
      <w:tr w14:paraId="108E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36DBCA14">
            <w:pPr>
              <w:spacing w:line="400" w:lineRule="exact"/>
              <w:jc w:val="center"/>
              <w:rPr>
                <w:rFonts w:ascii="宋体" w:hAnsi="宋体" w:cs="宋体"/>
                <w:sz w:val="24"/>
              </w:rPr>
            </w:pPr>
            <w:r>
              <w:rPr>
                <w:rFonts w:hint="eastAsia" w:ascii="宋体" w:hAnsi="宋体" w:cs="宋体"/>
                <w:sz w:val="24"/>
              </w:rPr>
              <w:t>8</w:t>
            </w:r>
          </w:p>
        </w:tc>
        <w:tc>
          <w:tcPr>
            <w:tcW w:w="2871" w:type="dxa"/>
            <w:vAlign w:val="center"/>
          </w:tcPr>
          <w:p w14:paraId="5111EA2D">
            <w:pPr>
              <w:spacing w:line="400" w:lineRule="exact"/>
              <w:jc w:val="center"/>
              <w:rPr>
                <w:rFonts w:ascii="宋体" w:hAnsi="宋体" w:cs="宋体"/>
                <w:sz w:val="24"/>
              </w:rPr>
            </w:pPr>
            <w:r>
              <w:rPr>
                <w:rFonts w:hint="eastAsia" w:ascii="宋体" w:hAnsi="宋体" w:cs="宋体"/>
                <w:sz w:val="24"/>
              </w:rPr>
              <w:t>储能电机</w:t>
            </w:r>
          </w:p>
        </w:tc>
        <w:tc>
          <w:tcPr>
            <w:tcW w:w="1668" w:type="dxa"/>
            <w:vAlign w:val="center"/>
          </w:tcPr>
          <w:p w14:paraId="567FEEA4">
            <w:pPr>
              <w:spacing w:line="400" w:lineRule="exact"/>
              <w:jc w:val="center"/>
              <w:rPr>
                <w:rFonts w:ascii="宋体" w:hAnsi="宋体" w:cs="宋体"/>
                <w:sz w:val="24"/>
              </w:rPr>
            </w:pPr>
            <w:r>
              <w:rPr>
                <w:rFonts w:ascii="宋体" w:hAnsi="宋体" w:cs="宋体"/>
                <w:sz w:val="24"/>
              </w:rPr>
              <w:t>1</w:t>
            </w:r>
          </w:p>
        </w:tc>
        <w:tc>
          <w:tcPr>
            <w:tcW w:w="1418" w:type="dxa"/>
            <w:vAlign w:val="center"/>
          </w:tcPr>
          <w:p w14:paraId="5BE0BE6E">
            <w:pPr>
              <w:spacing w:line="400" w:lineRule="exact"/>
              <w:jc w:val="center"/>
              <w:rPr>
                <w:rFonts w:ascii="宋体" w:hAnsi="宋体" w:cs="宋体"/>
                <w:sz w:val="24"/>
              </w:rPr>
            </w:pPr>
            <w:r>
              <w:rPr>
                <w:rFonts w:hint="eastAsia" w:ascii="宋体" w:hAnsi="宋体" w:cs="宋体"/>
                <w:sz w:val="24"/>
              </w:rPr>
              <w:t>台</w:t>
            </w:r>
          </w:p>
        </w:tc>
        <w:tc>
          <w:tcPr>
            <w:tcW w:w="1701" w:type="dxa"/>
            <w:vAlign w:val="center"/>
          </w:tcPr>
          <w:p w14:paraId="213BBF44">
            <w:pPr>
              <w:spacing w:line="400" w:lineRule="exact"/>
              <w:jc w:val="center"/>
              <w:rPr>
                <w:rFonts w:ascii="宋体" w:hAnsi="宋体" w:cs="宋体"/>
                <w:sz w:val="24"/>
              </w:rPr>
            </w:pPr>
          </w:p>
        </w:tc>
      </w:tr>
      <w:tr w14:paraId="6F9D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2" w:type="dxa"/>
            <w:vAlign w:val="center"/>
          </w:tcPr>
          <w:p w14:paraId="4DACEDB3">
            <w:pPr>
              <w:spacing w:line="400" w:lineRule="exact"/>
              <w:jc w:val="center"/>
              <w:rPr>
                <w:rFonts w:ascii="宋体" w:hAnsi="宋体" w:cs="宋体"/>
                <w:sz w:val="24"/>
              </w:rPr>
            </w:pPr>
            <w:r>
              <w:rPr>
                <w:rFonts w:hint="eastAsia" w:ascii="宋体" w:hAnsi="宋体" w:cs="宋体"/>
                <w:sz w:val="24"/>
              </w:rPr>
              <w:t>9</w:t>
            </w:r>
          </w:p>
        </w:tc>
        <w:tc>
          <w:tcPr>
            <w:tcW w:w="2871" w:type="dxa"/>
            <w:vAlign w:val="center"/>
          </w:tcPr>
          <w:p w14:paraId="3926C900">
            <w:pPr>
              <w:spacing w:line="400" w:lineRule="exact"/>
              <w:jc w:val="center"/>
              <w:rPr>
                <w:rFonts w:ascii="宋体" w:hAnsi="宋体" w:cs="宋体"/>
                <w:sz w:val="24"/>
              </w:rPr>
            </w:pPr>
            <w:r>
              <w:rPr>
                <w:rFonts w:hint="eastAsia" w:ascii="宋体" w:hAnsi="宋体" w:cs="宋体"/>
                <w:sz w:val="24"/>
              </w:rPr>
              <w:t>多功能表</w:t>
            </w:r>
          </w:p>
        </w:tc>
        <w:tc>
          <w:tcPr>
            <w:tcW w:w="1668" w:type="dxa"/>
            <w:vAlign w:val="center"/>
          </w:tcPr>
          <w:p w14:paraId="4AAB0DDB">
            <w:pPr>
              <w:spacing w:line="400" w:lineRule="exact"/>
              <w:jc w:val="center"/>
              <w:rPr>
                <w:rFonts w:ascii="宋体" w:hAnsi="宋体" w:cs="宋体"/>
                <w:sz w:val="24"/>
              </w:rPr>
            </w:pPr>
            <w:r>
              <w:rPr>
                <w:rFonts w:hint="eastAsia" w:ascii="宋体" w:hAnsi="宋体" w:cs="宋体"/>
                <w:sz w:val="24"/>
              </w:rPr>
              <w:t>2</w:t>
            </w:r>
          </w:p>
        </w:tc>
        <w:tc>
          <w:tcPr>
            <w:tcW w:w="1418" w:type="dxa"/>
            <w:vAlign w:val="center"/>
          </w:tcPr>
          <w:p w14:paraId="7F502045">
            <w:pPr>
              <w:spacing w:line="400" w:lineRule="exact"/>
              <w:jc w:val="center"/>
              <w:rPr>
                <w:rFonts w:ascii="宋体" w:hAnsi="宋体" w:cs="宋体"/>
                <w:sz w:val="24"/>
              </w:rPr>
            </w:pPr>
          </w:p>
        </w:tc>
        <w:tc>
          <w:tcPr>
            <w:tcW w:w="1701" w:type="dxa"/>
            <w:vAlign w:val="center"/>
          </w:tcPr>
          <w:p w14:paraId="58036B29">
            <w:pPr>
              <w:spacing w:line="400" w:lineRule="exact"/>
              <w:jc w:val="center"/>
              <w:rPr>
                <w:rFonts w:ascii="宋体" w:hAnsi="宋体" w:cs="宋体"/>
                <w:sz w:val="24"/>
              </w:rPr>
            </w:pPr>
            <w:r>
              <w:rPr>
                <w:rFonts w:hint="eastAsia" w:ascii="宋体" w:hAnsi="宋体" w:cs="宋体"/>
                <w:sz w:val="24"/>
              </w:rPr>
              <w:t>各规格</w:t>
            </w:r>
          </w:p>
        </w:tc>
      </w:tr>
      <w:tr w14:paraId="2227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672" w:type="dxa"/>
            <w:vAlign w:val="center"/>
          </w:tcPr>
          <w:p w14:paraId="600FA390">
            <w:pPr>
              <w:spacing w:line="400" w:lineRule="exact"/>
              <w:jc w:val="center"/>
              <w:rPr>
                <w:rFonts w:ascii="宋体" w:hAnsi="宋体" w:cs="宋体"/>
                <w:sz w:val="24"/>
              </w:rPr>
            </w:pPr>
            <w:r>
              <w:rPr>
                <w:rFonts w:hint="eastAsia" w:ascii="宋体" w:hAnsi="宋体" w:cs="宋体"/>
                <w:sz w:val="24"/>
              </w:rPr>
              <w:t>11</w:t>
            </w:r>
          </w:p>
        </w:tc>
        <w:tc>
          <w:tcPr>
            <w:tcW w:w="2871" w:type="dxa"/>
            <w:vAlign w:val="center"/>
          </w:tcPr>
          <w:p w14:paraId="63EC1CE2">
            <w:pPr>
              <w:spacing w:line="400" w:lineRule="exact"/>
              <w:jc w:val="center"/>
              <w:rPr>
                <w:rFonts w:ascii="宋体" w:hAnsi="宋体" w:cs="宋体"/>
                <w:sz w:val="24"/>
              </w:rPr>
            </w:pPr>
            <w:r>
              <w:rPr>
                <w:rFonts w:hint="eastAsia" w:ascii="宋体" w:hAnsi="宋体" w:cs="宋体"/>
                <w:sz w:val="24"/>
              </w:rPr>
              <w:t>接地刀闸</w:t>
            </w:r>
          </w:p>
        </w:tc>
        <w:tc>
          <w:tcPr>
            <w:tcW w:w="1668" w:type="dxa"/>
            <w:vAlign w:val="center"/>
          </w:tcPr>
          <w:p w14:paraId="4C44FC59">
            <w:pPr>
              <w:spacing w:line="400" w:lineRule="exact"/>
              <w:jc w:val="center"/>
              <w:rPr>
                <w:rFonts w:ascii="宋体" w:hAnsi="宋体" w:cs="宋体"/>
                <w:sz w:val="24"/>
              </w:rPr>
            </w:pPr>
            <w:r>
              <w:rPr>
                <w:rFonts w:hint="eastAsia" w:ascii="宋体" w:hAnsi="宋体" w:cs="宋体"/>
                <w:sz w:val="24"/>
              </w:rPr>
              <w:t>2</w:t>
            </w:r>
          </w:p>
        </w:tc>
        <w:tc>
          <w:tcPr>
            <w:tcW w:w="1418" w:type="dxa"/>
            <w:vAlign w:val="center"/>
          </w:tcPr>
          <w:p w14:paraId="0997EA43">
            <w:pPr>
              <w:spacing w:line="400" w:lineRule="exact"/>
              <w:jc w:val="center"/>
              <w:rPr>
                <w:rFonts w:ascii="宋体" w:hAnsi="宋体" w:cs="宋体"/>
                <w:sz w:val="24"/>
              </w:rPr>
            </w:pPr>
            <w:r>
              <w:rPr>
                <w:rFonts w:hint="eastAsia" w:ascii="宋体" w:hAnsi="宋体" w:cs="宋体"/>
                <w:sz w:val="24"/>
              </w:rPr>
              <w:t>套</w:t>
            </w:r>
          </w:p>
        </w:tc>
        <w:tc>
          <w:tcPr>
            <w:tcW w:w="1701" w:type="dxa"/>
            <w:vAlign w:val="center"/>
          </w:tcPr>
          <w:p w14:paraId="47FBD5E5">
            <w:pPr>
              <w:spacing w:line="400" w:lineRule="exact"/>
              <w:jc w:val="center"/>
              <w:rPr>
                <w:rFonts w:ascii="宋体" w:hAnsi="宋体" w:cs="宋体"/>
                <w:sz w:val="24"/>
              </w:rPr>
            </w:pPr>
          </w:p>
        </w:tc>
      </w:tr>
    </w:tbl>
    <w:p w14:paraId="633CEC3D">
      <w:pPr>
        <w:spacing w:line="400" w:lineRule="exact"/>
        <w:jc w:val="left"/>
        <w:rPr>
          <w:rFonts w:ascii="宋体" w:hAnsi="宋体" w:cs="宋体"/>
          <w:sz w:val="24"/>
        </w:rPr>
      </w:pPr>
    </w:p>
    <w:p w14:paraId="207C9F61">
      <w:pPr>
        <w:spacing w:line="400" w:lineRule="exact"/>
        <w:jc w:val="left"/>
        <w:rPr>
          <w:rFonts w:ascii="宋体" w:hAnsi="宋体"/>
          <w:sz w:val="24"/>
        </w:rPr>
      </w:pPr>
      <w:r>
        <w:rPr>
          <w:rFonts w:hint="eastAsia" w:ascii="宋体" w:hAnsi="宋体"/>
          <w:sz w:val="24"/>
        </w:rPr>
        <w:t>5、低压变频器及软启动器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418"/>
        <w:gridCol w:w="1559"/>
        <w:gridCol w:w="851"/>
        <w:gridCol w:w="850"/>
        <w:gridCol w:w="1275"/>
        <w:gridCol w:w="851"/>
      </w:tblGrid>
      <w:tr w14:paraId="259EF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673" w:type="dxa"/>
            <w:vAlign w:val="center"/>
          </w:tcPr>
          <w:p w14:paraId="5BEF219C">
            <w:pPr>
              <w:spacing w:line="400" w:lineRule="exact"/>
              <w:jc w:val="left"/>
              <w:rPr>
                <w:rFonts w:ascii="宋体" w:hAnsi="宋体" w:cs="宋体"/>
                <w:spacing w:val="5"/>
                <w:sz w:val="24"/>
              </w:rPr>
            </w:pPr>
            <w:r>
              <w:rPr>
                <w:rFonts w:hint="eastAsia" w:ascii="宋体" w:hAnsi="宋体" w:cs="宋体"/>
                <w:spacing w:val="5"/>
                <w:sz w:val="24"/>
              </w:rPr>
              <w:t>序号</w:t>
            </w:r>
          </w:p>
        </w:tc>
        <w:tc>
          <w:tcPr>
            <w:tcW w:w="1418" w:type="dxa"/>
            <w:vAlign w:val="center"/>
          </w:tcPr>
          <w:p w14:paraId="11CDCCAD">
            <w:pPr>
              <w:spacing w:line="400" w:lineRule="exact"/>
              <w:jc w:val="left"/>
              <w:rPr>
                <w:rFonts w:ascii="宋体" w:hAnsi="宋体" w:cs="宋体"/>
                <w:spacing w:val="5"/>
                <w:sz w:val="24"/>
              </w:rPr>
            </w:pPr>
            <w:r>
              <w:rPr>
                <w:rFonts w:hint="eastAsia" w:ascii="宋体" w:hAnsi="宋体" w:cs="宋体"/>
                <w:spacing w:val="5"/>
                <w:sz w:val="24"/>
              </w:rPr>
              <w:t>名称</w:t>
            </w:r>
          </w:p>
        </w:tc>
        <w:tc>
          <w:tcPr>
            <w:tcW w:w="1559" w:type="dxa"/>
            <w:vAlign w:val="center"/>
          </w:tcPr>
          <w:p w14:paraId="5292DB8E">
            <w:pPr>
              <w:spacing w:line="400" w:lineRule="exact"/>
              <w:jc w:val="left"/>
              <w:rPr>
                <w:rFonts w:ascii="宋体" w:hAnsi="宋体" w:cs="宋体"/>
                <w:spacing w:val="5"/>
                <w:sz w:val="24"/>
              </w:rPr>
            </w:pPr>
            <w:r>
              <w:rPr>
                <w:rFonts w:hint="eastAsia" w:ascii="宋体" w:hAnsi="宋体" w:cs="宋体"/>
                <w:spacing w:val="5"/>
                <w:sz w:val="24"/>
              </w:rPr>
              <w:t>规格和型号</w:t>
            </w:r>
          </w:p>
        </w:tc>
        <w:tc>
          <w:tcPr>
            <w:tcW w:w="851" w:type="dxa"/>
            <w:vAlign w:val="center"/>
          </w:tcPr>
          <w:p w14:paraId="16F5ED83">
            <w:pPr>
              <w:spacing w:line="400" w:lineRule="exact"/>
              <w:jc w:val="left"/>
              <w:rPr>
                <w:rFonts w:ascii="宋体" w:hAnsi="宋体" w:cs="宋体"/>
                <w:spacing w:val="5"/>
                <w:sz w:val="24"/>
              </w:rPr>
            </w:pPr>
            <w:r>
              <w:rPr>
                <w:rFonts w:hint="eastAsia" w:ascii="宋体" w:hAnsi="宋体" w:cs="宋体"/>
                <w:spacing w:val="5"/>
                <w:sz w:val="24"/>
              </w:rPr>
              <w:t>单位</w:t>
            </w:r>
          </w:p>
        </w:tc>
        <w:tc>
          <w:tcPr>
            <w:tcW w:w="850" w:type="dxa"/>
            <w:vAlign w:val="center"/>
          </w:tcPr>
          <w:p w14:paraId="375F3780">
            <w:pPr>
              <w:spacing w:line="400" w:lineRule="exact"/>
              <w:jc w:val="left"/>
              <w:rPr>
                <w:rFonts w:ascii="宋体" w:hAnsi="宋体" w:cs="宋体"/>
                <w:spacing w:val="5"/>
                <w:sz w:val="24"/>
              </w:rPr>
            </w:pPr>
            <w:r>
              <w:rPr>
                <w:rFonts w:hint="eastAsia" w:ascii="宋体" w:hAnsi="宋体" w:cs="宋体"/>
                <w:spacing w:val="5"/>
                <w:sz w:val="24"/>
              </w:rPr>
              <w:t>数量</w:t>
            </w:r>
          </w:p>
        </w:tc>
        <w:tc>
          <w:tcPr>
            <w:tcW w:w="1275" w:type="dxa"/>
            <w:vAlign w:val="center"/>
          </w:tcPr>
          <w:p w14:paraId="6B2D496A">
            <w:pPr>
              <w:spacing w:line="400" w:lineRule="exact"/>
              <w:jc w:val="left"/>
              <w:rPr>
                <w:rFonts w:ascii="宋体" w:hAnsi="宋体" w:cs="宋体"/>
                <w:spacing w:val="5"/>
                <w:sz w:val="24"/>
              </w:rPr>
            </w:pPr>
            <w:r>
              <w:rPr>
                <w:rFonts w:hint="eastAsia" w:ascii="宋体" w:hAnsi="宋体" w:cs="宋体"/>
                <w:spacing w:val="5"/>
                <w:sz w:val="24"/>
              </w:rPr>
              <w:t>生产厂家</w:t>
            </w:r>
          </w:p>
        </w:tc>
        <w:tc>
          <w:tcPr>
            <w:tcW w:w="851" w:type="dxa"/>
            <w:vAlign w:val="center"/>
          </w:tcPr>
          <w:p w14:paraId="43EBCE13">
            <w:pPr>
              <w:spacing w:line="400" w:lineRule="exact"/>
              <w:jc w:val="left"/>
              <w:rPr>
                <w:rFonts w:ascii="宋体" w:hAnsi="宋体" w:cs="宋体"/>
                <w:spacing w:val="5"/>
                <w:sz w:val="24"/>
              </w:rPr>
            </w:pPr>
            <w:r>
              <w:rPr>
                <w:rFonts w:hint="eastAsia" w:ascii="宋体" w:hAnsi="宋体" w:cs="宋体"/>
                <w:spacing w:val="5"/>
                <w:sz w:val="24"/>
              </w:rPr>
              <w:t>备注</w:t>
            </w:r>
          </w:p>
        </w:tc>
      </w:tr>
      <w:tr w14:paraId="457EA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vAlign w:val="center"/>
          </w:tcPr>
          <w:p w14:paraId="3B39373A">
            <w:pPr>
              <w:spacing w:line="400" w:lineRule="exact"/>
              <w:jc w:val="center"/>
              <w:rPr>
                <w:rFonts w:ascii="宋体" w:hAnsi="宋体" w:cs="宋体"/>
                <w:sz w:val="24"/>
              </w:rPr>
            </w:pPr>
            <w:r>
              <w:rPr>
                <w:rFonts w:hint="eastAsia" w:ascii="宋体" w:hAnsi="宋体" w:cs="宋体"/>
                <w:sz w:val="24"/>
              </w:rPr>
              <w:t>1</w:t>
            </w:r>
          </w:p>
        </w:tc>
        <w:tc>
          <w:tcPr>
            <w:tcW w:w="1418" w:type="dxa"/>
            <w:vAlign w:val="center"/>
          </w:tcPr>
          <w:p w14:paraId="07C73463">
            <w:pPr>
              <w:spacing w:line="400" w:lineRule="exact"/>
              <w:jc w:val="left"/>
              <w:rPr>
                <w:rFonts w:ascii="宋体" w:hAnsi="宋体" w:cs="宋体"/>
                <w:sz w:val="24"/>
              </w:rPr>
            </w:pPr>
            <w:r>
              <w:rPr>
                <w:rFonts w:hint="eastAsia" w:ascii="宋体" w:hAnsi="宋体" w:cs="宋体"/>
                <w:sz w:val="24"/>
              </w:rPr>
              <w:t xml:space="preserve">  变频器</w:t>
            </w:r>
          </w:p>
        </w:tc>
        <w:tc>
          <w:tcPr>
            <w:tcW w:w="1559" w:type="dxa"/>
            <w:vAlign w:val="center"/>
          </w:tcPr>
          <w:p w14:paraId="4FCD36A4">
            <w:pPr>
              <w:spacing w:line="400" w:lineRule="exact"/>
              <w:jc w:val="left"/>
              <w:rPr>
                <w:rFonts w:ascii="宋体" w:hAnsi="宋体" w:cs="宋体"/>
                <w:sz w:val="24"/>
              </w:rPr>
            </w:pPr>
            <w:r>
              <w:rPr>
                <w:rFonts w:hint="eastAsia" w:ascii="宋体" w:hAnsi="宋体" w:cs="宋体"/>
                <w:sz w:val="24"/>
              </w:rPr>
              <w:t>同尺寸备用功率最大</w:t>
            </w:r>
          </w:p>
        </w:tc>
        <w:tc>
          <w:tcPr>
            <w:tcW w:w="851" w:type="dxa"/>
            <w:vAlign w:val="center"/>
          </w:tcPr>
          <w:p w14:paraId="37ACA1CC">
            <w:pPr>
              <w:spacing w:line="400" w:lineRule="exact"/>
              <w:jc w:val="left"/>
              <w:rPr>
                <w:rFonts w:ascii="宋体" w:hAnsi="宋体" w:cs="宋体"/>
                <w:sz w:val="24"/>
              </w:rPr>
            </w:pPr>
            <w:r>
              <w:rPr>
                <w:rFonts w:hint="eastAsia" w:ascii="宋体" w:hAnsi="宋体" w:cs="宋体"/>
                <w:sz w:val="24"/>
              </w:rPr>
              <w:t>台</w:t>
            </w:r>
          </w:p>
        </w:tc>
        <w:tc>
          <w:tcPr>
            <w:tcW w:w="850" w:type="dxa"/>
            <w:vAlign w:val="center"/>
          </w:tcPr>
          <w:p w14:paraId="3470BDDA">
            <w:pPr>
              <w:spacing w:line="400" w:lineRule="exact"/>
              <w:ind w:firstLine="240" w:firstLineChars="100"/>
              <w:jc w:val="left"/>
              <w:rPr>
                <w:rFonts w:ascii="宋体" w:hAnsi="宋体" w:cs="宋体"/>
                <w:sz w:val="24"/>
              </w:rPr>
            </w:pPr>
            <w:r>
              <w:rPr>
                <w:rFonts w:hint="eastAsia" w:ascii="宋体" w:hAnsi="宋体" w:cs="宋体"/>
                <w:sz w:val="24"/>
              </w:rPr>
              <w:t>1</w:t>
            </w:r>
          </w:p>
        </w:tc>
        <w:tc>
          <w:tcPr>
            <w:tcW w:w="1275" w:type="dxa"/>
          </w:tcPr>
          <w:p w14:paraId="3312E690">
            <w:pPr>
              <w:spacing w:line="400" w:lineRule="exact"/>
              <w:jc w:val="left"/>
              <w:rPr>
                <w:rFonts w:ascii="宋体" w:hAnsi="宋体" w:cs="宋体"/>
                <w:spacing w:val="5"/>
                <w:sz w:val="24"/>
              </w:rPr>
            </w:pPr>
          </w:p>
        </w:tc>
        <w:tc>
          <w:tcPr>
            <w:tcW w:w="851" w:type="dxa"/>
          </w:tcPr>
          <w:p w14:paraId="48808153">
            <w:pPr>
              <w:spacing w:line="400" w:lineRule="exact"/>
              <w:jc w:val="left"/>
              <w:rPr>
                <w:rFonts w:ascii="宋体" w:hAnsi="宋体" w:cs="宋体"/>
                <w:spacing w:val="5"/>
                <w:sz w:val="24"/>
              </w:rPr>
            </w:pPr>
          </w:p>
        </w:tc>
      </w:tr>
      <w:tr w14:paraId="3837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vAlign w:val="center"/>
          </w:tcPr>
          <w:p w14:paraId="737E19F0">
            <w:pPr>
              <w:spacing w:line="400" w:lineRule="exact"/>
              <w:jc w:val="center"/>
              <w:rPr>
                <w:rFonts w:ascii="宋体" w:hAnsi="宋体" w:cs="宋体"/>
                <w:sz w:val="24"/>
              </w:rPr>
            </w:pPr>
            <w:r>
              <w:rPr>
                <w:rFonts w:hint="eastAsia" w:ascii="宋体" w:hAnsi="宋体" w:cs="宋体"/>
                <w:sz w:val="24"/>
              </w:rPr>
              <w:t>2</w:t>
            </w:r>
          </w:p>
        </w:tc>
        <w:tc>
          <w:tcPr>
            <w:tcW w:w="1418" w:type="dxa"/>
            <w:vAlign w:val="center"/>
          </w:tcPr>
          <w:p w14:paraId="03CE5616">
            <w:pPr>
              <w:spacing w:line="400" w:lineRule="exact"/>
              <w:ind w:firstLine="120" w:firstLineChars="50"/>
              <w:jc w:val="left"/>
              <w:rPr>
                <w:rFonts w:ascii="宋体" w:hAnsi="宋体" w:cs="宋体"/>
                <w:sz w:val="24"/>
              </w:rPr>
            </w:pPr>
            <w:r>
              <w:rPr>
                <w:rFonts w:hint="eastAsia" w:ascii="宋体" w:hAnsi="宋体" w:cs="宋体"/>
                <w:sz w:val="24"/>
              </w:rPr>
              <w:t>软启动器</w:t>
            </w:r>
          </w:p>
        </w:tc>
        <w:tc>
          <w:tcPr>
            <w:tcW w:w="1559" w:type="dxa"/>
            <w:vAlign w:val="center"/>
          </w:tcPr>
          <w:p w14:paraId="165CD4CB">
            <w:pPr>
              <w:spacing w:line="400" w:lineRule="exact"/>
              <w:ind w:firstLine="240" w:firstLineChars="100"/>
              <w:jc w:val="left"/>
              <w:rPr>
                <w:rFonts w:ascii="宋体" w:hAnsi="宋体" w:cs="宋体"/>
                <w:sz w:val="24"/>
              </w:rPr>
            </w:pPr>
            <w:r>
              <w:rPr>
                <w:rFonts w:hint="eastAsia" w:ascii="宋体" w:hAnsi="宋体" w:cs="宋体"/>
                <w:sz w:val="24"/>
              </w:rPr>
              <w:t>各规格</w:t>
            </w:r>
          </w:p>
        </w:tc>
        <w:tc>
          <w:tcPr>
            <w:tcW w:w="851" w:type="dxa"/>
            <w:vAlign w:val="center"/>
          </w:tcPr>
          <w:p w14:paraId="5CD3E220">
            <w:pPr>
              <w:spacing w:line="400" w:lineRule="exact"/>
              <w:jc w:val="left"/>
              <w:rPr>
                <w:rFonts w:ascii="宋体" w:hAnsi="宋体" w:cs="宋体"/>
                <w:sz w:val="24"/>
              </w:rPr>
            </w:pPr>
            <w:r>
              <w:rPr>
                <w:rFonts w:hint="eastAsia" w:ascii="宋体" w:hAnsi="宋体" w:cs="宋体"/>
                <w:sz w:val="24"/>
              </w:rPr>
              <w:t>台</w:t>
            </w:r>
          </w:p>
        </w:tc>
        <w:tc>
          <w:tcPr>
            <w:tcW w:w="850" w:type="dxa"/>
            <w:vAlign w:val="center"/>
          </w:tcPr>
          <w:p w14:paraId="6F8387F3">
            <w:pPr>
              <w:spacing w:line="400" w:lineRule="exact"/>
              <w:ind w:firstLine="240" w:firstLineChars="100"/>
              <w:jc w:val="left"/>
              <w:rPr>
                <w:rFonts w:ascii="宋体" w:hAnsi="宋体" w:cs="宋体"/>
                <w:sz w:val="24"/>
              </w:rPr>
            </w:pPr>
            <w:r>
              <w:rPr>
                <w:rFonts w:hint="eastAsia" w:ascii="宋体" w:hAnsi="宋体" w:cs="宋体"/>
                <w:sz w:val="24"/>
              </w:rPr>
              <w:t>1</w:t>
            </w:r>
          </w:p>
        </w:tc>
        <w:tc>
          <w:tcPr>
            <w:tcW w:w="1275" w:type="dxa"/>
          </w:tcPr>
          <w:p w14:paraId="7DDA175F">
            <w:pPr>
              <w:spacing w:line="400" w:lineRule="exact"/>
              <w:jc w:val="left"/>
              <w:rPr>
                <w:rFonts w:ascii="宋体" w:hAnsi="宋体" w:cs="宋体"/>
                <w:spacing w:val="5"/>
                <w:sz w:val="24"/>
              </w:rPr>
            </w:pPr>
          </w:p>
        </w:tc>
        <w:tc>
          <w:tcPr>
            <w:tcW w:w="851" w:type="dxa"/>
          </w:tcPr>
          <w:p w14:paraId="62AC97A8">
            <w:pPr>
              <w:spacing w:line="400" w:lineRule="exact"/>
              <w:jc w:val="left"/>
              <w:rPr>
                <w:rFonts w:ascii="宋体" w:hAnsi="宋体" w:cs="宋体"/>
                <w:spacing w:val="5"/>
                <w:sz w:val="24"/>
              </w:rPr>
            </w:pPr>
          </w:p>
        </w:tc>
      </w:tr>
      <w:tr w14:paraId="4B55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vAlign w:val="center"/>
          </w:tcPr>
          <w:p w14:paraId="5B925F7F">
            <w:pPr>
              <w:spacing w:line="400" w:lineRule="exact"/>
              <w:jc w:val="center"/>
              <w:rPr>
                <w:rFonts w:ascii="宋体" w:hAnsi="宋体" w:cs="宋体"/>
                <w:sz w:val="24"/>
              </w:rPr>
            </w:pPr>
            <w:r>
              <w:rPr>
                <w:rFonts w:hint="eastAsia" w:ascii="宋体" w:hAnsi="宋体" w:cs="宋体"/>
                <w:sz w:val="24"/>
              </w:rPr>
              <w:t>3</w:t>
            </w:r>
          </w:p>
        </w:tc>
        <w:tc>
          <w:tcPr>
            <w:tcW w:w="1418" w:type="dxa"/>
            <w:vAlign w:val="center"/>
          </w:tcPr>
          <w:p w14:paraId="48FCF2FE">
            <w:pPr>
              <w:spacing w:line="400" w:lineRule="exact"/>
              <w:jc w:val="left"/>
              <w:rPr>
                <w:rFonts w:ascii="宋体" w:hAnsi="宋体" w:cs="宋体"/>
                <w:sz w:val="24"/>
              </w:rPr>
            </w:pPr>
          </w:p>
        </w:tc>
        <w:tc>
          <w:tcPr>
            <w:tcW w:w="1559" w:type="dxa"/>
          </w:tcPr>
          <w:p w14:paraId="3B8DAA37">
            <w:pPr>
              <w:spacing w:line="400" w:lineRule="exact"/>
              <w:jc w:val="left"/>
              <w:rPr>
                <w:rFonts w:ascii="宋体" w:hAnsi="宋体" w:cs="宋体"/>
                <w:sz w:val="24"/>
              </w:rPr>
            </w:pPr>
          </w:p>
        </w:tc>
        <w:tc>
          <w:tcPr>
            <w:tcW w:w="851" w:type="dxa"/>
          </w:tcPr>
          <w:p w14:paraId="2F853D31">
            <w:pPr>
              <w:spacing w:line="400" w:lineRule="exact"/>
              <w:jc w:val="left"/>
              <w:rPr>
                <w:rFonts w:ascii="宋体" w:hAnsi="宋体" w:cs="宋体"/>
                <w:sz w:val="24"/>
              </w:rPr>
            </w:pPr>
          </w:p>
        </w:tc>
        <w:tc>
          <w:tcPr>
            <w:tcW w:w="850" w:type="dxa"/>
          </w:tcPr>
          <w:p w14:paraId="0DF60A03">
            <w:pPr>
              <w:spacing w:line="400" w:lineRule="exact"/>
              <w:jc w:val="left"/>
              <w:rPr>
                <w:rFonts w:ascii="宋体" w:hAnsi="宋体" w:cs="宋体"/>
                <w:sz w:val="24"/>
              </w:rPr>
            </w:pPr>
          </w:p>
        </w:tc>
        <w:tc>
          <w:tcPr>
            <w:tcW w:w="1275" w:type="dxa"/>
          </w:tcPr>
          <w:p w14:paraId="132421CA">
            <w:pPr>
              <w:spacing w:line="400" w:lineRule="exact"/>
              <w:jc w:val="left"/>
              <w:rPr>
                <w:rFonts w:ascii="宋体" w:hAnsi="宋体" w:cs="宋体"/>
                <w:spacing w:val="5"/>
                <w:sz w:val="24"/>
              </w:rPr>
            </w:pPr>
          </w:p>
        </w:tc>
        <w:tc>
          <w:tcPr>
            <w:tcW w:w="851" w:type="dxa"/>
          </w:tcPr>
          <w:p w14:paraId="55C9A8BE">
            <w:pPr>
              <w:spacing w:line="400" w:lineRule="exact"/>
              <w:jc w:val="left"/>
              <w:rPr>
                <w:rFonts w:ascii="宋体" w:hAnsi="宋体" w:cs="宋体"/>
                <w:spacing w:val="5"/>
                <w:sz w:val="24"/>
              </w:rPr>
            </w:pPr>
          </w:p>
        </w:tc>
      </w:tr>
      <w:tr w14:paraId="0B4A6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vAlign w:val="center"/>
          </w:tcPr>
          <w:p w14:paraId="465182F0">
            <w:pPr>
              <w:spacing w:line="400" w:lineRule="exact"/>
              <w:jc w:val="center"/>
              <w:rPr>
                <w:rFonts w:ascii="宋体" w:hAnsi="宋体" w:cs="宋体"/>
                <w:sz w:val="24"/>
              </w:rPr>
            </w:pPr>
            <w:r>
              <w:rPr>
                <w:rFonts w:hint="eastAsia" w:ascii="宋体" w:hAnsi="宋体" w:cs="宋体"/>
                <w:sz w:val="24"/>
              </w:rPr>
              <w:t>4</w:t>
            </w:r>
          </w:p>
        </w:tc>
        <w:tc>
          <w:tcPr>
            <w:tcW w:w="1418" w:type="dxa"/>
            <w:vAlign w:val="center"/>
          </w:tcPr>
          <w:p w14:paraId="19A30E52">
            <w:pPr>
              <w:spacing w:line="400" w:lineRule="exact"/>
              <w:jc w:val="left"/>
              <w:rPr>
                <w:rFonts w:ascii="宋体" w:hAnsi="宋体" w:cs="宋体"/>
                <w:sz w:val="24"/>
              </w:rPr>
            </w:pPr>
          </w:p>
        </w:tc>
        <w:tc>
          <w:tcPr>
            <w:tcW w:w="1559" w:type="dxa"/>
            <w:vAlign w:val="center"/>
          </w:tcPr>
          <w:p w14:paraId="1CB1B906">
            <w:pPr>
              <w:spacing w:line="400" w:lineRule="exact"/>
              <w:jc w:val="left"/>
              <w:rPr>
                <w:rFonts w:ascii="宋体" w:hAnsi="宋体" w:cs="宋体"/>
                <w:sz w:val="24"/>
              </w:rPr>
            </w:pPr>
          </w:p>
        </w:tc>
        <w:tc>
          <w:tcPr>
            <w:tcW w:w="851" w:type="dxa"/>
            <w:vAlign w:val="center"/>
          </w:tcPr>
          <w:p w14:paraId="6EB15435">
            <w:pPr>
              <w:spacing w:line="400" w:lineRule="exact"/>
              <w:jc w:val="left"/>
              <w:rPr>
                <w:rFonts w:ascii="宋体" w:hAnsi="宋体" w:cs="宋体"/>
                <w:sz w:val="24"/>
              </w:rPr>
            </w:pPr>
          </w:p>
        </w:tc>
        <w:tc>
          <w:tcPr>
            <w:tcW w:w="850" w:type="dxa"/>
            <w:vAlign w:val="center"/>
          </w:tcPr>
          <w:p w14:paraId="2D127CDF">
            <w:pPr>
              <w:spacing w:line="400" w:lineRule="exact"/>
              <w:jc w:val="left"/>
              <w:rPr>
                <w:rFonts w:ascii="宋体" w:hAnsi="宋体" w:cs="宋体"/>
                <w:sz w:val="24"/>
              </w:rPr>
            </w:pPr>
          </w:p>
        </w:tc>
        <w:tc>
          <w:tcPr>
            <w:tcW w:w="1275" w:type="dxa"/>
          </w:tcPr>
          <w:p w14:paraId="6E5DE3C0">
            <w:pPr>
              <w:spacing w:line="400" w:lineRule="exact"/>
              <w:jc w:val="left"/>
              <w:rPr>
                <w:rFonts w:ascii="宋体" w:hAnsi="宋体" w:cs="宋体"/>
                <w:spacing w:val="5"/>
                <w:sz w:val="24"/>
              </w:rPr>
            </w:pPr>
          </w:p>
        </w:tc>
        <w:tc>
          <w:tcPr>
            <w:tcW w:w="851" w:type="dxa"/>
          </w:tcPr>
          <w:p w14:paraId="656F7AE8">
            <w:pPr>
              <w:spacing w:line="400" w:lineRule="exact"/>
              <w:jc w:val="left"/>
              <w:rPr>
                <w:rFonts w:ascii="宋体" w:hAnsi="宋体" w:cs="宋体"/>
                <w:spacing w:val="5"/>
                <w:sz w:val="24"/>
              </w:rPr>
            </w:pPr>
          </w:p>
        </w:tc>
      </w:tr>
      <w:tr w14:paraId="055C3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vAlign w:val="center"/>
          </w:tcPr>
          <w:p w14:paraId="4D14EDFA">
            <w:pPr>
              <w:spacing w:line="400" w:lineRule="exact"/>
              <w:jc w:val="center"/>
              <w:rPr>
                <w:rFonts w:ascii="宋体" w:hAnsi="宋体" w:cs="宋体"/>
                <w:sz w:val="24"/>
              </w:rPr>
            </w:pPr>
            <w:r>
              <w:rPr>
                <w:rFonts w:hint="eastAsia" w:ascii="宋体" w:hAnsi="宋体" w:cs="宋体"/>
                <w:sz w:val="24"/>
              </w:rPr>
              <w:t>5</w:t>
            </w:r>
          </w:p>
        </w:tc>
        <w:tc>
          <w:tcPr>
            <w:tcW w:w="1418" w:type="dxa"/>
            <w:vAlign w:val="center"/>
          </w:tcPr>
          <w:p w14:paraId="6289D5EC">
            <w:pPr>
              <w:spacing w:line="400" w:lineRule="exact"/>
              <w:jc w:val="left"/>
              <w:rPr>
                <w:rFonts w:ascii="宋体" w:hAnsi="宋体" w:cs="宋体"/>
                <w:sz w:val="24"/>
              </w:rPr>
            </w:pPr>
          </w:p>
        </w:tc>
        <w:tc>
          <w:tcPr>
            <w:tcW w:w="1559" w:type="dxa"/>
            <w:vAlign w:val="center"/>
          </w:tcPr>
          <w:p w14:paraId="1071CEA3">
            <w:pPr>
              <w:spacing w:line="400" w:lineRule="exact"/>
              <w:jc w:val="left"/>
              <w:rPr>
                <w:rFonts w:ascii="宋体" w:hAnsi="宋体" w:cs="宋体"/>
                <w:sz w:val="24"/>
              </w:rPr>
            </w:pPr>
          </w:p>
        </w:tc>
        <w:tc>
          <w:tcPr>
            <w:tcW w:w="851" w:type="dxa"/>
            <w:vAlign w:val="center"/>
          </w:tcPr>
          <w:p w14:paraId="0D51FE2B">
            <w:pPr>
              <w:spacing w:line="400" w:lineRule="exact"/>
              <w:jc w:val="left"/>
              <w:rPr>
                <w:rFonts w:ascii="宋体" w:hAnsi="宋体" w:cs="宋体"/>
                <w:sz w:val="24"/>
              </w:rPr>
            </w:pPr>
          </w:p>
        </w:tc>
        <w:tc>
          <w:tcPr>
            <w:tcW w:w="850" w:type="dxa"/>
            <w:vAlign w:val="center"/>
          </w:tcPr>
          <w:p w14:paraId="0AC5A751">
            <w:pPr>
              <w:spacing w:line="400" w:lineRule="exact"/>
              <w:jc w:val="left"/>
              <w:rPr>
                <w:rFonts w:ascii="宋体" w:hAnsi="宋体" w:cs="宋体"/>
                <w:sz w:val="24"/>
              </w:rPr>
            </w:pPr>
          </w:p>
        </w:tc>
        <w:tc>
          <w:tcPr>
            <w:tcW w:w="1275" w:type="dxa"/>
          </w:tcPr>
          <w:p w14:paraId="3F0B449A">
            <w:pPr>
              <w:spacing w:line="400" w:lineRule="exact"/>
              <w:jc w:val="left"/>
              <w:rPr>
                <w:rFonts w:ascii="宋体" w:hAnsi="宋体" w:cs="宋体"/>
                <w:spacing w:val="5"/>
                <w:sz w:val="24"/>
              </w:rPr>
            </w:pPr>
          </w:p>
        </w:tc>
        <w:tc>
          <w:tcPr>
            <w:tcW w:w="851" w:type="dxa"/>
          </w:tcPr>
          <w:p w14:paraId="0089057C">
            <w:pPr>
              <w:spacing w:line="400" w:lineRule="exact"/>
              <w:jc w:val="left"/>
              <w:rPr>
                <w:rFonts w:ascii="宋体" w:hAnsi="宋体" w:cs="宋体"/>
                <w:spacing w:val="5"/>
                <w:sz w:val="24"/>
              </w:rPr>
            </w:pPr>
          </w:p>
        </w:tc>
      </w:tr>
    </w:tbl>
    <w:p w14:paraId="64965110">
      <w:pPr>
        <w:spacing w:line="400" w:lineRule="exact"/>
        <w:rPr>
          <w:rFonts w:ascii="宋体" w:hAnsi="宋体" w:cs="宋体"/>
          <w:kern w:val="0"/>
          <w:sz w:val="24"/>
        </w:rPr>
      </w:pPr>
    </w:p>
    <w:p w14:paraId="4D06D00A">
      <w:pPr>
        <w:spacing w:line="400" w:lineRule="exact"/>
        <w:jc w:val="left"/>
        <w:rPr>
          <w:rFonts w:ascii="宋体" w:hAnsi="宋体"/>
          <w:sz w:val="24"/>
        </w:rPr>
      </w:pPr>
      <w:r>
        <w:rPr>
          <w:rFonts w:hint="eastAsia" w:ascii="宋体" w:hAnsi="宋体"/>
          <w:sz w:val="24"/>
        </w:rPr>
        <w:t>6、综保及电力监控系统备品备件</w:t>
      </w:r>
    </w:p>
    <w:p w14:paraId="3D00FC08">
      <w:pPr>
        <w:spacing w:line="400" w:lineRule="exact"/>
        <w:rPr>
          <w:rFonts w:ascii="宋体" w:hAnsi="宋体" w:cs="宋体"/>
          <w:sz w:val="24"/>
        </w:rPr>
      </w:pPr>
      <w:r>
        <w:rPr>
          <w:rFonts w:hint="eastAsia" w:ascii="宋体" w:hAnsi="宋体" w:cs="Arial"/>
          <w:bCs/>
          <w:sz w:val="24"/>
        </w:rPr>
        <w:t>备品备件清单</w:t>
      </w:r>
      <w:r>
        <w:rPr>
          <w:rFonts w:hint="eastAsia" w:ascii="宋体" w:hAnsi="宋体"/>
          <w:sz w:val="24"/>
        </w:rPr>
        <w:t>备品备件及供货</w:t>
      </w:r>
      <w:r>
        <w:rPr>
          <w:rFonts w:hint="eastAsia" w:ascii="宋体" w:hAnsi="宋体" w:cs="宋体"/>
          <w:sz w:val="24"/>
        </w:rPr>
        <w:t>（包含但不限于以下设备，投标方填写）</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2949"/>
        <w:gridCol w:w="1625"/>
        <w:gridCol w:w="719"/>
        <w:gridCol w:w="723"/>
        <w:gridCol w:w="1419"/>
      </w:tblGrid>
      <w:tr w14:paraId="307B7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60A1074A">
            <w:pPr>
              <w:spacing w:line="400" w:lineRule="exact"/>
              <w:jc w:val="left"/>
              <w:rPr>
                <w:rFonts w:ascii="宋体" w:hAnsi="宋体" w:cs="宋体"/>
                <w:bCs/>
                <w:sz w:val="24"/>
              </w:rPr>
            </w:pPr>
            <w:r>
              <w:rPr>
                <w:rFonts w:hint="eastAsia" w:ascii="宋体" w:hAnsi="宋体" w:cs="宋体"/>
                <w:bCs/>
                <w:sz w:val="24"/>
              </w:rPr>
              <w:t>序号</w:t>
            </w:r>
          </w:p>
        </w:tc>
        <w:tc>
          <w:tcPr>
            <w:tcW w:w="2949" w:type="dxa"/>
          </w:tcPr>
          <w:p w14:paraId="566F10F7">
            <w:pPr>
              <w:spacing w:line="400" w:lineRule="exact"/>
              <w:jc w:val="left"/>
              <w:rPr>
                <w:rFonts w:ascii="宋体" w:hAnsi="宋体" w:cs="宋体"/>
                <w:bCs/>
                <w:sz w:val="24"/>
              </w:rPr>
            </w:pPr>
            <w:r>
              <w:rPr>
                <w:rFonts w:hint="eastAsia" w:ascii="宋体" w:hAnsi="宋体" w:cs="宋体"/>
                <w:bCs/>
                <w:sz w:val="24"/>
              </w:rPr>
              <w:t>名 称</w:t>
            </w:r>
          </w:p>
        </w:tc>
        <w:tc>
          <w:tcPr>
            <w:tcW w:w="1625" w:type="dxa"/>
          </w:tcPr>
          <w:p w14:paraId="6AC25039">
            <w:pPr>
              <w:spacing w:line="400" w:lineRule="exact"/>
              <w:jc w:val="left"/>
              <w:rPr>
                <w:rFonts w:ascii="宋体" w:hAnsi="宋体" w:cs="宋体"/>
                <w:bCs/>
                <w:sz w:val="24"/>
              </w:rPr>
            </w:pPr>
            <w:r>
              <w:rPr>
                <w:rFonts w:hint="eastAsia" w:ascii="宋体" w:hAnsi="宋体" w:cs="宋体"/>
                <w:bCs/>
                <w:sz w:val="24"/>
              </w:rPr>
              <w:t>型号和规范</w:t>
            </w:r>
          </w:p>
        </w:tc>
        <w:tc>
          <w:tcPr>
            <w:tcW w:w="719" w:type="dxa"/>
          </w:tcPr>
          <w:p w14:paraId="70560774">
            <w:pPr>
              <w:spacing w:line="400" w:lineRule="exact"/>
              <w:jc w:val="left"/>
              <w:rPr>
                <w:rFonts w:ascii="宋体" w:hAnsi="宋体" w:cs="宋体"/>
                <w:bCs/>
                <w:sz w:val="24"/>
              </w:rPr>
            </w:pPr>
            <w:r>
              <w:rPr>
                <w:rFonts w:hint="eastAsia" w:ascii="宋体" w:hAnsi="宋体" w:cs="宋体"/>
                <w:bCs/>
                <w:sz w:val="24"/>
              </w:rPr>
              <w:t>单位</w:t>
            </w:r>
          </w:p>
        </w:tc>
        <w:tc>
          <w:tcPr>
            <w:tcW w:w="723" w:type="dxa"/>
          </w:tcPr>
          <w:p w14:paraId="01645EA1">
            <w:pPr>
              <w:spacing w:line="400" w:lineRule="exact"/>
              <w:jc w:val="left"/>
              <w:rPr>
                <w:rFonts w:ascii="宋体" w:hAnsi="宋体" w:cs="宋体"/>
                <w:bCs/>
                <w:sz w:val="24"/>
              </w:rPr>
            </w:pPr>
            <w:r>
              <w:rPr>
                <w:rFonts w:hint="eastAsia" w:ascii="宋体" w:hAnsi="宋体" w:cs="宋体"/>
                <w:bCs/>
                <w:sz w:val="24"/>
              </w:rPr>
              <w:t>数量</w:t>
            </w:r>
          </w:p>
        </w:tc>
        <w:tc>
          <w:tcPr>
            <w:tcW w:w="1419" w:type="dxa"/>
          </w:tcPr>
          <w:p w14:paraId="3E647083">
            <w:pPr>
              <w:spacing w:line="400" w:lineRule="exact"/>
              <w:jc w:val="left"/>
              <w:rPr>
                <w:rFonts w:ascii="宋体" w:hAnsi="宋体" w:cs="宋体"/>
                <w:bCs/>
                <w:sz w:val="24"/>
              </w:rPr>
            </w:pPr>
            <w:r>
              <w:rPr>
                <w:rFonts w:hint="eastAsia" w:ascii="宋体" w:hAnsi="宋体" w:cs="宋体"/>
                <w:bCs/>
                <w:sz w:val="24"/>
              </w:rPr>
              <w:t>用 途</w:t>
            </w:r>
          </w:p>
        </w:tc>
      </w:tr>
      <w:tr w14:paraId="3268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04581433">
            <w:pPr>
              <w:spacing w:line="400" w:lineRule="exact"/>
              <w:jc w:val="center"/>
              <w:rPr>
                <w:rFonts w:ascii="宋体" w:hAnsi="宋体" w:cs="宋体"/>
                <w:bCs/>
                <w:sz w:val="24"/>
              </w:rPr>
            </w:pPr>
            <w:r>
              <w:rPr>
                <w:rFonts w:ascii="宋体" w:hAnsi="宋体" w:cs="宋体"/>
                <w:bCs/>
                <w:sz w:val="24"/>
              </w:rPr>
              <w:t>1</w:t>
            </w:r>
          </w:p>
        </w:tc>
        <w:tc>
          <w:tcPr>
            <w:tcW w:w="2949" w:type="dxa"/>
          </w:tcPr>
          <w:p w14:paraId="3DA58AAE">
            <w:pPr>
              <w:spacing w:line="400" w:lineRule="exact"/>
              <w:jc w:val="left"/>
              <w:rPr>
                <w:rFonts w:ascii="宋体" w:hAnsi="宋体" w:cs="宋体"/>
                <w:bCs/>
                <w:sz w:val="24"/>
              </w:rPr>
            </w:pPr>
            <w:r>
              <w:rPr>
                <w:rFonts w:hint="eastAsia" w:ascii="宋体" w:hAnsi="宋体" w:cs="宋体"/>
                <w:bCs/>
                <w:sz w:val="24"/>
              </w:rPr>
              <w:t>每种型号规格的光纤通讯接头附件</w:t>
            </w:r>
          </w:p>
        </w:tc>
        <w:tc>
          <w:tcPr>
            <w:tcW w:w="1625" w:type="dxa"/>
          </w:tcPr>
          <w:p w14:paraId="4FF595C1">
            <w:pPr>
              <w:spacing w:line="400" w:lineRule="exact"/>
              <w:jc w:val="left"/>
              <w:rPr>
                <w:rFonts w:ascii="宋体" w:hAnsi="宋体" w:cs="宋体"/>
                <w:bCs/>
                <w:sz w:val="24"/>
              </w:rPr>
            </w:pPr>
          </w:p>
        </w:tc>
        <w:tc>
          <w:tcPr>
            <w:tcW w:w="719" w:type="dxa"/>
          </w:tcPr>
          <w:p w14:paraId="78201A23">
            <w:pPr>
              <w:spacing w:line="400" w:lineRule="exact"/>
              <w:jc w:val="left"/>
              <w:rPr>
                <w:rFonts w:ascii="宋体" w:hAnsi="宋体" w:cs="宋体"/>
                <w:bCs/>
                <w:sz w:val="24"/>
              </w:rPr>
            </w:pPr>
            <w:r>
              <w:rPr>
                <w:rFonts w:hint="eastAsia" w:ascii="宋体" w:hAnsi="宋体" w:cs="宋体"/>
                <w:bCs/>
                <w:sz w:val="24"/>
              </w:rPr>
              <w:t>套</w:t>
            </w:r>
          </w:p>
        </w:tc>
        <w:tc>
          <w:tcPr>
            <w:tcW w:w="723" w:type="dxa"/>
          </w:tcPr>
          <w:p w14:paraId="6CFBFDD9">
            <w:pPr>
              <w:spacing w:line="400" w:lineRule="exact"/>
              <w:jc w:val="left"/>
              <w:rPr>
                <w:rFonts w:ascii="宋体" w:hAnsi="宋体" w:cs="宋体"/>
                <w:bCs/>
                <w:sz w:val="24"/>
              </w:rPr>
            </w:pPr>
            <w:r>
              <w:rPr>
                <w:rFonts w:hint="eastAsia" w:ascii="宋体" w:hAnsi="宋体" w:cs="宋体"/>
                <w:bCs/>
                <w:sz w:val="24"/>
              </w:rPr>
              <w:t>2</w:t>
            </w:r>
          </w:p>
        </w:tc>
        <w:tc>
          <w:tcPr>
            <w:tcW w:w="1419" w:type="dxa"/>
          </w:tcPr>
          <w:p w14:paraId="54D8A6A4">
            <w:pPr>
              <w:spacing w:line="400" w:lineRule="exact"/>
              <w:jc w:val="left"/>
              <w:rPr>
                <w:rFonts w:ascii="宋体" w:hAnsi="宋体" w:cs="宋体"/>
                <w:bCs/>
                <w:sz w:val="24"/>
              </w:rPr>
            </w:pPr>
          </w:p>
        </w:tc>
      </w:tr>
      <w:tr w14:paraId="1112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637DF6FA">
            <w:pPr>
              <w:spacing w:line="400" w:lineRule="exact"/>
              <w:jc w:val="center"/>
              <w:rPr>
                <w:rFonts w:ascii="宋体" w:hAnsi="宋体" w:cs="宋体"/>
                <w:bCs/>
                <w:sz w:val="24"/>
              </w:rPr>
            </w:pPr>
            <w:r>
              <w:rPr>
                <w:rFonts w:ascii="宋体" w:hAnsi="宋体" w:cs="宋体"/>
                <w:bCs/>
                <w:sz w:val="24"/>
              </w:rPr>
              <w:t>2</w:t>
            </w:r>
          </w:p>
        </w:tc>
        <w:tc>
          <w:tcPr>
            <w:tcW w:w="2949" w:type="dxa"/>
          </w:tcPr>
          <w:p w14:paraId="5A367201">
            <w:pPr>
              <w:spacing w:line="400" w:lineRule="exact"/>
              <w:jc w:val="left"/>
              <w:rPr>
                <w:rFonts w:ascii="宋体" w:hAnsi="宋体" w:cs="宋体"/>
                <w:bCs/>
                <w:sz w:val="24"/>
              </w:rPr>
            </w:pPr>
            <w:r>
              <w:rPr>
                <w:rFonts w:hint="eastAsia" w:ascii="宋体" w:hAnsi="宋体" w:cs="宋体"/>
                <w:bCs/>
                <w:sz w:val="24"/>
              </w:rPr>
              <w:t>每种型号规格的微型断路器</w:t>
            </w:r>
          </w:p>
        </w:tc>
        <w:tc>
          <w:tcPr>
            <w:tcW w:w="1625" w:type="dxa"/>
          </w:tcPr>
          <w:p w14:paraId="64DF4536">
            <w:pPr>
              <w:spacing w:line="400" w:lineRule="exact"/>
              <w:jc w:val="left"/>
              <w:rPr>
                <w:rFonts w:ascii="宋体" w:hAnsi="宋体" w:cs="宋体"/>
                <w:bCs/>
                <w:sz w:val="24"/>
              </w:rPr>
            </w:pPr>
          </w:p>
        </w:tc>
        <w:tc>
          <w:tcPr>
            <w:tcW w:w="719" w:type="dxa"/>
          </w:tcPr>
          <w:p w14:paraId="04554A8F">
            <w:pPr>
              <w:spacing w:line="400" w:lineRule="exact"/>
              <w:jc w:val="left"/>
              <w:rPr>
                <w:rFonts w:ascii="宋体" w:hAnsi="宋体" w:cs="宋体"/>
                <w:bCs/>
                <w:sz w:val="24"/>
              </w:rPr>
            </w:pPr>
            <w:r>
              <w:rPr>
                <w:rFonts w:hint="eastAsia" w:ascii="宋体" w:hAnsi="宋体" w:cs="宋体"/>
                <w:bCs/>
                <w:sz w:val="24"/>
              </w:rPr>
              <w:t>套</w:t>
            </w:r>
          </w:p>
        </w:tc>
        <w:tc>
          <w:tcPr>
            <w:tcW w:w="723" w:type="dxa"/>
          </w:tcPr>
          <w:p w14:paraId="6BD963D1">
            <w:pPr>
              <w:spacing w:line="400" w:lineRule="exact"/>
              <w:jc w:val="left"/>
              <w:rPr>
                <w:rFonts w:ascii="宋体" w:hAnsi="宋体" w:cs="宋体"/>
                <w:bCs/>
                <w:sz w:val="24"/>
              </w:rPr>
            </w:pPr>
            <w:r>
              <w:rPr>
                <w:rFonts w:hint="eastAsia" w:ascii="宋体" w:hAnsi="宋体" w:cs="宋体"/>
                <w:bCs/>
                <w:sz w:val="24"/>
              </w:rPr>
              <w:t>5</w:t>
            </w:r>
          </w:p>
        </w:tc>
        <w:tc>
          <w:tcPr>
            <w:tcW w:w="1419" w:type="dxa"/>
          </w:tcPr>
          <w:p w14:paraId="72418E0A">
            <w:pPr>
              <w:spacing w:line="400" w:lineRule="exact"/>
              <w:jc w:val="left"/>
              <w:rPr>
                <w:rFonts w:ascii="宋体" w:hAnsi="宋体" w:cs="宋体"/>
                <w:bCs/>
                <w:sz w:val="24"/>
              </w:rPr>
            </w:pPr>
          </w:p>
        </w:tc>
      </w:tr>
    </w:tbl>
    <w:p w14:paraId="7AD427E4">
      <w:pPr>
        <w:spacing w:line="400" w:lineRule="exact"/>
        <w:rPr>
          <w:rFonts w:ascii="宋体" w:hAnsi="宋体"/>
          <w:sz w:val="24"/>
        </w:rPr>
      </w:pPr>
    </w:p>
    <w:p w14:paraId="3ACFE4E0">
      <w:pPr>
        <w:spacing w:line="400" w:lineRule="exact"/>
        <w:jc w:val="left"/>
        <w:rPr>
          <w:rFonts w:ascii="宋体" w:hAnsi="宋体"/>
          <w:sz w:val="24"/>
        </w:rPr>
      </w:pPr>
      <w:r>
        <w:rPr>
          <w:rFonts w:hint="eastAsia" w:ascii="宋体" w:hAnsi="宋体"/>
          <w:sz w:val="24"/>
        </w:rPr>
        <w:t>7、其他备品备件</w:t>
      </w:r>
    </w:p>
    <w:p w14:paraId="6720F123">
      <w:pPr>
        <w:spacing w:line="400" w:lineRule="exact"/>
        <w:rPr>
          <w:rFonts w:ascii="宋体" w:hAnsi="宋体" w:cs="宋体"/>
          <w:sz w:val="24"/>
        </w:rPr>
      </w:pPr>
      <w:r>
        <w:rPr>
          <w:rFonts w:hint="eastAsia" w:ascii="宋体" w:hAnsi="宋体" w:cs="Arial"/>
          <w:bCs/>
          <w:sz w:val="24"/>
        </w:rPr>
        <w:t>备品备件清单</w:t>
      </w:r>
      <w:r>
        <w:rPr>
          <w:rFonts w:hint="eastAsia" w:ascii="宋体" w:hAnsi="宋体"/>
          <w:sz w:val="24"/>
        </w:rPr>
        <w:t>备品备件及供货</w:t>
      </w:r>
      <w:r>
        <w:rPr>
          <w:rFonts w:hint="eastAsia" w:ascii="宋体" w:hAnsi="宋体" w:cs="宋体"/>
          <w:sz w:val="24"/>
        </w:rPr>
        <w:t>（投标方填写）</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2949"/>
        <w:gridCol w:w="1625"/>
        <w:gridCol w:w="719"/>
        <w:gridCol w:w="711"/>
        <w:gridCol w:w="1431"/>
      </w:tblGrid>
      <w:tr w14:paraId="34DE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529AE9B5">
            <w:pPr>
              <w:spacing w:line="400" w:lineRule="exact"/>
              <w:jc w:val="left"/>
              <w:rPr>
                <w:rFonts w:ascii="宋体" w:hAnsi="宋体" w:cs="宋体"/>
                <w:bCs/>
                <w:sz w:val="24"/>
              </w:rPr>
            </w:pPr>
            <w:r>
              <w:rPr>
                <w:rFonts w:hint="eastAsia" w:ascii="宋体" w:hAnsi="宋体" w:cs="宋体"/>
                <w:bCs/>
                <w:sz w:val="24"/>
              </w:rPr>
              <w:t>序号</w:t>
            </w:r>
          </w:p>
        </w:tc>
        <w:tc>
          <w:tcPr>
            <w:tcW w:w="2949" w:type="dxa"/>
          </w:tcPr>
          <w:p w14:paraId="3242AC5D">
            <w:pPr>
              <w:spacing w:line="400" w:lineRule="exact"/>
              <w:jc w:val="left"/>
              <w:rPr>
                <w:rFonts w:ascii="宋体" w:hAnsi="宋体" w:cs="宋体"/>
                <w:bCs/>
                <w:sz w:val="24"/>
              </w:rPr>
            </w:pPr>
            <w:r>
              <w:rPr>
                <w:rFonts w:hint="eastAsia" w:ascii="宋体" w:hAnsi="宋体" w:cs="宋体"/>
                <w:bCs/>
                <w:sz w:val="24"/>
              </w:rPr>
              <w:t>名 称</w:t>
            </w:r>
          </w:p>
        </w:tc>
        <w:tc>
          <w:tcPr>
            <w:tcW w:w="1625" w:type="dxa"/>
          </w:tcPr>
          <w:p w14:paraId="30DB174C">
            <w:pPr>
              <w:spacing w:line="400" w:lineRule="exact"/>
              <w:jc w:val="left"/>
              <w:rPr>
                <w:rFonts w:ascii="宋体" w:hAnsi="宋体" w:cs="宋体"/>
                <w:bCs/>
                <w:sz w:val="24"/>
              </w:rPr>
            </w:pPr>
            <w:r>
              <w:rPr>
                <w:rFonts w:hint="eastAsia" w:ascii="宋体" w:hAnsi="宋体" w:cs="宋体"/>
                <w:bCs/>
                <w:sz w:val="24"/>
              </w:rPr>
              <w:t>型号和规范</w:t>
            </w:r>
          </w:p>
        </w:tc>
        <w:tc>
          <w:tcPr>
            <w:tcW w:w="719" w:type="dxa"/>
          </w:tcPr>
          <w:p w14:paraId="52F5B633">
            <w:pPr>
              <w:spacing w:line="400" w:lineRule="exact"/>
              <w:jc w:val="left"/>
              <w:rPr>
                <w:rFonts w:ascii="宋体" w:hAnsi="宋体" w:cs="宋体"/>
                <w:bCs/>
                <w:sz w:val="24"/>
              </w:rPr>
            </w:pPr>
            <w:r>
              <w:rPr>
                <w:rFonts w:hint="eastAsia" w:ascii="宋体" w:hAnsi="宋体" w:cs="宋体"/>
                <w:bCs/>
                <w:sz w:val="24"/>
              </w:rPr>
              <w:t>单位</w:t>
            </w:r>
          </w:p>
        </w:tc>
        <w:tc>
          <w:tcPr>
            <w:tcW w:w="711" w:type="dxa"/>
          </w:tcPr>
          <w:p w14:paraId="69B20F0A">
            <w:pPr>
              <w:spacing w:line="400" w:lineRule="exact"/>
              <w:jc w:val="left"/>
              <w:rPr>
                <w:rFonts w:ascii="宋体" w:hAnsi="宋体" w:cs="宋体"/>
                <w:bCs/>
                <w:sz w:val="24"/>
              </w:rPr>
            </w:pPr>
            <w:r>
              <w:rPr>
                <w:rFonts w:hint="eastAsia" w:ascii="宋体" w:hAnsi="宋体" w:cs="宋体"/>
                <w:bCs/>
                <w:sz w:val="24"/>
              </w:rPr>
              <w:t>数量</w:t>
            </w:r>
          </w:p>
        </w:tc>
        <w:tc>
          <w:tcPr>
            <w:tcW w:w="1431" w:type="dxa"/>
          </w:tcPr>
          <w:p w14:paraId="6CF62DB0">
            <w:pPr>
              <w:spacing w:line="400" w:lineRule="exact"/>
              <w:jc w:val="left"/>
              <w:rPr>
                <w:rFonts w:ascii="宋体" w:hAnsi="宋体" w:cs="宋体"/>
                <w:bCs/>
                <w:sz w:val="24"/>
              </w:rPr>
            </w:pPr>
            <w:r>
              <w:rPr>
                <w:rFonts w:hint="eastAsia" w:ascii="宋体" w:hAnsi="宋体" w:cs="宋体"/>
                <w:bCs/>
                <w:sz w:val="24"/>
              </w:rPr>
              <w:t>用 途</w:t>
            </w:r>
          </w:p>
        </w:tc>
      </w:tr>
      <w:tr w14:paraId="27A6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649CB02F">
            <w:pPr>
              <w:spacing w:line="400" w:lineRule="exact"/>
              <w:jc w:val="left"/>
              <w:rPr>
                <w:rFonts w:ascii="宋体" w:hAnsi="宋体" w:cs="宋体"/>
                <w:bCs/>
                <w:sz w:val="24"/>
              </w:rPr>
            </w:pPr>
            <w:r>
              <w:rPr>
                <w:rFonts w:hint="eastAsia" w:ascii="宋体" w:hAnsi="宋体" w:cs="宋体"/>
                <w:bCs/>
                <w:sz w:val="24"/>
              </w:rPr>
              <w:t>1</w:t>
            </w:r>
          </w:p>
        </w:tc>
        <w:tc>
          <w:tcPr>
            <w:tcW w:w="2949" w:type="dxa"/>
          </w:tcPr>
          <w:p w14:paraId="58C4C422">
            <w:pPr>
              <w:spacing w:line="400" w:lineRule="exact"/>
              <w:jc w:val="left"/>
              <w:rPr>
                <w:rFonts w:ascii="宋体" w:hAnsi="宋体" w:cs="宋体"/>
                <w:bCs/>
                <w:sz w:val="24"/>
              </w:rPr>
            </w:pPr>
            <w:r>
              <w:rPr>
                <w:rFonts w:hint="eastAsia" w:ascii="宋体" w:hAnsi="宋体" w:cs="宋体"/>
                <w:bCs/>
                <w:sz w:val="24"/>
              </w:rPr>
              <w:t>变频电机通风机</w:t>
            </w:r>
          </w:p>
        </w:tc>
        <w:tc>
          <w:tcPr>
            <w:tcW w:w="1625" w:type="dxa"/>
          </w:tcPr>
          <w:p w14:paraId="4DAF6DEC">
            <w:pPr>
              <w:spacing w:line="400" w:lineRule="exact"/>
              <w:jc w:val="left"/>
              <w:rPr>
                <w:rFonts w:ascii="宋体" w:hAnsi="宋体" w:cs="宋体"/>
                <w:bCs/>
                <w:sz w:val="24"/>
              </w:rPr>
            </w:pPr>
            <w:r>
              <w:rPr>
                <w:rFonts w:hint="eastAsia" w:ascii="宋体" w:hAnsi="宋体" w:cs="宋体"/>
                <w:bCs/>
                <w:sz w:val="24"/>
              </w:rPr>
              <w:t>各规格</w:t>
            </w:r>
          </w:p>
        </w:tc>
        <w:tc>
          <w:tcPr>
            <w:tcW w:w="719" w:type="dxa"/>
          </w:tcPr>
          <w:p w14:paraId="37236E1E">
            <w:pPr>
              <w:spacing w:line="400" w:lineRule="exact"/>
              <w:jc w:val="left"/>
              <w:rPr>
                <w:rFonts w:ascii="宋体" w:hAnsi="宋体" w:cs="宋体"/>
                <w:bCs/>
                <w:sz w:val="24"/>
              </w:rPr>
            </w:pPr>
            <w:r>
              <w:rPr>
                <w:rFonts w:hint="eastAsia" w:ascii="宋体" w:hAnsi="宋体" w:cs="宋体"/>
                <w:bCs/>
                <w:sz w:val="24"/>
              </w:rPr>
              <w:t>台</w:t>
            </w:r>
          </w:p>
        </w:tc>
        <w:tc>
          <w:tcPr>
            <w:tcW w:w="711" w:type="dxa"/>
          </w:tcPr>
          <w:p w14:paraId="1208BE71">
            <w:pPr>
              <w:spacing w:line="400" w:lineRule="exact"/>
              <w:jc w:val="left"/>
              <w:rPr>
                <w:rFonts w:ascii="宋体" w:hAnsi="宋体" w:cs="宋体"/>
                <w:bCs/>
                <w:sz w:val="24"/>
              </w:rPr>
            </w:pPr>
            <w:r>
              <w:rPr>
                <w:rFonts w:hint="eastAsia" w:ascii="宋体" w:hAnsi="宋体" w:cs="宋体"/>
                <w:bCs/>
                <w:sz w:val="24"/>
              </w:rPr>
              <w:t>1</w:t>
            </w:r>
          </w:p>
        </w:tc>
        <w:tc>
          <w:tcPr>
            <w:tcW w:w="1431" w:type="dxa"/>
          </w:tcPr>
          <w:p w14:paraId="7D2D71BF">
            <w:pPr>
              <w:spacing w:line="400" w:lineRule="exact"/>
              <w:jc w:val="left"/>
              <w:rPr>
                <w:rFonts w:ascii="宋体" w:hAnsi="宋体" w:cs="宋体"/>
                <w:bCs/>
                <w:sz w:val="24"/>
              </w:rPr>
            </w:pPr>
          </w:p>
        </w:tc>
      </w:tr>
      <w:tr w14:paraId="2956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602C2FCF">
            <w:pPr>
              <w:spacing w:line="400" w:lineRule="exact"/>
              <w:jc w:val="left"/>
              <w:rPr>
                <w:rFonts w:ascii="宋体" w:hAnsi="宋体" w:cs="宋体"/>
                <w:bCs/>
                <w:sz w:val="24"/>
              </w:rPr>
            </w:pPr>
            <w:r>
              <w:rPr>
                <w:rFonts w:hint="eastAsia" w:ascii="宋体" w:hAnsi="宋体" w:cs="宋体"/>
                <w:bCs/>
                <w:sz w:val="24"/>
              </w:rPr>
              <w:t>2</w:t>
            </w:r>
          </w:p>
        </w:tc>
        <w:tc>
          <w:tcPr>
            <w:tcW w:w="2949" w:type="dxa"/>
          </w:tcPr>
          <w:p w14:paraId="58DBC13F">
            <w:pPr>
              <w:spacing w:line="400" w:lineRule="exact"/>
              <w:jc w:val="left"/>
              <w:rPr>
                <w:rFonts w:ascii="宋体" w:hAnsi="宋体" w:cs="宋体"/>
                <w:bCs/>
                <w:sz w:val="24"/>
              </w:rPr>
            </w:pPr>
          </w:p>
        </w:tc>
        <w:tc>
          <w:tcPr>
            <w:tcW w:w="1625" w:type="dxa"/>
          </w:tcPr>
          <w:p w14:paraId="57EC0E40">
            <w:pPr>
              <w:spacing w:line="400" w:lineRule="exact"/>
              <w:jc w:val="left"/>
              <w:rPr>
                <w:rFonts w:ascii="宋体" w:hAnsi="宋体" w:cs="宋体"/>
                <w:bCs/>
                <w:sz w:val="24"/>
              </w:rPr>
            </w:pPr>
          </w:p>
        </w:tc>
        <w:tc>
          <w:tcPr>
            <w:tcW w:w="719" w:type="dxa"/>
          </w:tcPr>
          <w:p w14:paraId="344DDE75">
            <w:pPr>
              <w:spacing w:line="400" w:lineRule="exact"/>
              <w:jc w:val="left"/>
              <w:rPr>
                <w:rFonts w:ascii="宋体" w:hAnsi="宋体" w:cs="宋体"/>
                <w:bCs/>
                <w:sz w:val="24"/>
              </w:rPr>
            </w:pPr>
          </w:p>
        </w:tc>
        <w:tc>
          <w:tcPr>
            <w:tcW w:w="711" w:type="dxa"/>
          </w:tcPr>
          <w:p w14:paraId="053B2028">
            <w:pPr>
              <w:spacing w:line="400" w:lineRule="exact"/>
              <w:jc w:val="left"/>
              <w:rPr>
                <w:rFonts w:ascii="宋体" w:hAnsi="宋体" w:cs="宋体"/>
                <w:bCs/>
                <w:sz w:val="24"/>
              </w:rPr>
            </w:pPr>
          </w:p>
        </w:tc>
        <w:tc>
          <w:tcPr>
            <w:tcW w:w="1431" w:type="dxa"/>
          </w:tcPr>
          <w:p w14:paraId="6C53DAB0">
            <w:pPr>
              <w:spacing w:line="400" w:lineRule="exact"/>
              <w:jc w:val="left"/>
              <w:rPr>
                <w:rFonts w:ascii="宋体" w:hAnsi="宋体" w:cs="宋体"/>
                <w:bCs/>
                <w:sz w:val="24"/>
              </w:rPr>
            </w:pPr>
          </w:p>
        </w:tc>
      </w:tr>
      <w:tr w14:paraId="58D2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15965B52">
            <w:pPr>
              <w:spacing w:line="400" w:lineRule="exact"/>
              <w:jc w:val="left"/>
              <w:rPr>
                <w:rFonts w:ascii="宋体" w:hAnsi="宋体" w:cs="宋体"/>
                <w:bCs/>
                <w:sz w:val="24"/>
              </w:rPr>
            </w:pPr>
            <w:r>
              <w:rPr>
                <w:rFonts w:hint="eastAsia" w:ascii="宋体" w:hAnsi="宋体" w:cs="宋体"/>
                <w:bCs/>
                <w:sz w:val="24"/>
              </w:rPr>
              <w:t>3</w:t>
            </w:r>
          </w:p>
        </w:tc>
        <w:tc>
          <w:tcPr>
            <w:tcW w:w="2949" w:type="dxa"/>
          </w:tcPr>
          <w:p w14:paraId="7DF5D82C">
            <w:pPr>
              <w:spacing w:line="400" w:lineRule="exact"/>
              <w:jc w:val="left"/>
              <w:rPr>
                <w:rFonts w:ascii="宋体" w:hAnsi="宋体" w:cs="宋体"/>
                <w:bCs/>
                <w:sz w:val="24"/>
              </w:rPr>
            </w:pPr>
          </w:p>
        </w:tc>
        <w:tc>
          <w:tcPr>
            <w:tcW w:w="1625" w:type="dxa"/>
          </w:tcPr>
          <w:p w14:paraId="3A344AD9">
            <w:pPr>
              <w:spacing w:line="400" w:lineRule="exact"/>
              <w:jc w:val="left"/>
              <w:rPr>
                <w:rFonts w:ascii="宋体" w:hAnsi="宋体" w:cs="宋体"/>
                <w:bCs/>
                <w:sz w:val="24"/>
              </w:rPr>
            </w:pPr>
          </w:p>
        </w:tc>
        <w:tc>
          <w:tcPr>
            <w:tcW w:w="719" w:type="dxa"/>
          </w:tcPr>
          <w:p w14:paraId="06CD4389">
            <w:pPr>
              <w:spacing w:line="400" w:lineRule="exact"/>
              <w:jc w:val="left"/>
              <w:rPr>
                <w:rFonts w:ascii="宋体" w:hAnsi="宋体" w:cs="宋体"/>
                <w:bCs/>
                <w:sz w:val="24"/>
              </w:rPr>
            </w:pPr>
          </w:p>
        </w:tc>
        <w:tc>
          <w:tcPr>
            <w:tcW w:w="711" w:type="dxa"/>
          </w:tcPr>
          <w:p w14:paraId="69FC1060">
            <w:pPr>
              <w:spacing w:line="400" w:lineRule="exact"/>
              <w:jc w:val="left"/>
              <w:rPr>
                <w:rFonts w:ascii="宋体" w:hAnsi="宋体" w:cs="宋体"/>
                <w:bCs/>
                <w:sz w:val="24"/>
              </w:rPr>
            </w:pPr>
          </w:p>
        </w:tc>
        <w:tc>
          <w:tcPr>
            <w:tcW w:w="1431" w:type="dxa"/>
          </w:tcPr>
          <w:p w14:paraId="64AC10BA">
            <w:pPr>
              <w:spacing w:line="400" w:lineRule="exact"/>
              <w:jc w:val="left"/>
              <w:rPr>
                <w:rFonts w:ascii="宋体" w:hAnsi="宋体" w:cs="宋体"/>
                <w:bCs/>
                <w:sz w:val="24"/>
              </w:rPr>
            </w:pPr>
          </w:p>
        </w:tc>
      </w:tr>
      <w:tr w14:paraId="34C1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tcPr>
          <w:p w14:paraId="27054D18">
            <w:pPr>
              <w:spacing w:line="400" w:lineRule="exact"/>
              <w:jc w:val="left"/>
              <w:rPr>
                <w:rFonts w:ascii="宋体" w:hAnsi="宋体" w:cs="宋体"/>
                <w:bCs/>
                <w:sz w:val="24"/>
              </w:rPr>
            </w:pPr>
            <w:r>
              <w:rPr>
                <w:rFonts w:hint="eastAsia" w:ascii="宋体" w:hAnsi="宋体" w:cs="宋体"/>
                <w:bCs/>
                <w:sz w:val="24"/>
              </w:rPr>
              <w:t>4</w:t>
            </w:r>
          </w:p>
        </w:tc>
        <w:tc>
          <w:tcPr>
            <w:tcW w:w="2949" w:type="dxa"/>
          </w:tcPr>
          <w:p w14:paraId="7EA57E0F">
            <w:pPr>
              <w:spacing w:line="400" w:lineRule="exact"/>
              <w:jc w:val="left"/>
              <w:rPr>
                <w:rFonts w:ascii="宋体" w:hAnsi="宋体" w:cs="宋体"/>
                <w:bCs/>
                <w:sz w:val="24"/>
              </w:rPr>
            </w:pPr>
          </w:p>
        </w:tc>
        <w:tc>
          <w:tcPr>
            <w:tcW w:w="1625" w:type="dxa"/>
          </w:tcPr>
          <w:p w14:paraId="4512D03B">
            <w:pPr>
              <w:spacing w:line="400" w:lineRule="exact"/>
              <w:jc w:val="left"/>
              <w:rPr>
                <w:rFonts w:ascii="宋体" w:hAnsi="宋体" w:cs="宋体"/>
                <w:bCs/>
                <w:sz w:val="24"/>
              </w:rPr>
            </w:pPr>
          </w:p>
        </w:tc>
        <w:tc>
          <w:tcPr>
            <w:tcW w:w="719" w:type="dxa"/>
          </w:tcPr>
          <w:p w14:paraId="6E45BEB0">
            <w:pPr>
              <w:spacing w:line="400" w:lineRule="exact"/>
              <w:jc w:val="left"/>
              <w:rPr>
                <w:rFonts w:ascii="宋体" w:hAnsi="宋体" w:cs="宋体"/>
                <w:bCs/>
                <w:sz w:val="24"/>
              </w:rPr>
            </w:pPr>
          </w:p>
        </w:tc>
        <w:tc>
          <w:tcPr>
            <w:tcW w:w="711" w:type="dxa"/>
          </w:tcPr>
          <w:p w14:paraId="1685472C">
            <w:pPr>
              <w:spacing w:line="400" w:lineRule="exact"/>
              <w:jc w:val="left"/>
              <w:rPr>
                <w:rFonts w:ascii="宋体" w:hAnsi="宋体" w:cs="宋体"/>
                <w:bCs/>
                <w:sz w:val="24"/>
              </w:rPr>
            </w:pPr>
          </w:p>
        </w:tc>
        <w:tc>
          <w:tcPr>
            <w:tcW w:w="1431" w:type="dxa"/>
          </w:tcPr>
          <w:p w14:paraId="3493290F">
            <w:pPr>
              <w:spacing w:line="400" w:lineRule="exact"/>
              <w:jc w:val="left"/>
              <w:rPr>
                <w:rFonts w:ascii="宋体" w:hAnsi="宋体" w:cs="宋体"/>
                <w:bCs/>
                <w:sz w:val="24"/>
              </w:rPr>
            </w:pPr>
          </w:p>
        </w:tc>
      </w:tr>
    </w:tbl>
    <w:p w14:paraId="319DD352">
      <w:pPr>
        <w:pStyle w:val="17"/>
        <w:ind w:left="0" w:leftChars="0" w:firstLine="0" w:firstLineChars="0"/>
        <w:rPr>
          <w:rFonts w:asciiTheme="minorEastAsia" w:hAnsiTheme="minorEastAsia" w:eastAsiaTheme="minorEastAsia" w:cstheme="minorEastAsia"/>
          <w:bCs/>
          <w:sz w:val="24"/>
          <w:szCs w:val="24"/>
        </w:rPr>
      </w:pPr>
    </w:p>
    <w:p w14:paraId="38AC2E1E">
      <w:pPr>
        <w:pStyle w:val="17"/>
        <w:ind w:left="0" w:leftChars="0" w:firstLine="0" w:firstLineChars="0"/>
        <w:rPr>
          <w:rFonts w:asciiTheme="minorEastAsia" w:hAnsiTheme="minorEastAsia" w:eastAsiaTheme="minorEastAsia" w:cstheme="minorEastAsia"/>
          <w:bCs/>
          <w:sz w:val="24"/>
          <w:szCs w:val="24"/>
        </w:rPr>
      </w:pPr>
    </w:p>
    <w:p w14:paraId="7360F9C4">
      <w:pPr>
        <w:pStyle w:val="17"/>
        <w:ind w:left="0" w:leftChars="0" w:firstLine="0" w:firstLineChars="0"/>
        <w:rPr>
          <w:rFonts w:asciiTheme="minorEastAsia" w:hAnsiTheme="minorEastAsia" w:eastAsiaTheme="minorEastAsia" w:cstheme="minorEastAsia"/>
          <w:bCs/>
          <w:sz w:val="28"/>
          <w:szCs w:val="28"/>
        </w:rPr>
      </w:pPr>
    </w:p>
    <w:p w14:paraId="67B1A83D">
      <w:pPr>
        <w:pStyle w:val="17"/>
        <w:ind w:left="0" w:leftChars="0" w:firstLine="0" w:firstLineChars="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8"/>
          <w:szCs w:val="28"/>
        </w:rPr>
        <w:t>仪表方面</w:t>
      </w:r>
      <w:r>
        <w:rPr>
          <w:rFonts w:hint="eastAsia" w:asciiTheme="minorEastAsia" w:hAnsiTheme="minorEastAsia" w:eastAsiaTheme="minorEastAsia" w:cstheme="minorEastAsia"/>
          <w:bCs/>
          <w:sz w:val="24"/>
          <w:szCs w:val="24"/>
        </w:rPr>
        <w:t>：</w:t>
      </w:r>
    </w:p>
    <w:p w14:paraId="7BC7FE6C">
      <w:pPr>
        <w:snapToGrid w:val="0"/>
        <w:spacing w:before="100" w:after="100" w:line="360" w:lineRule="exact"/>
        <w:ind w:left="425"/>
        <w:rPr>
          <w:rFonts w:ascii="宋体" w:hAnsi="宋体" w:cs="宋体"/>
          <w:bCs/>
          <w:sz w:val="24"/>
          <w:szCs w:val="24"/>
        </w:rPr>
      </w:pPr>
      <w:r>
        <w:rPr>
          <w:rFonts w:hint="eastAsia" w:ascii="宋体" w:hAnsi="宋体" w:cs="宋体"/>
          <w:bCs/>
          <w:sz w:val="24"/>
          <w:szCs w:val="24"/>
        </w:rPr>
        <w:t>1.控制阀：</w:t>
      </w:r>
    </w:p>
    <w:p w14:paraId="162A7679">
      <w:pPr>
        <w:pStyle w:val="8"/>
        <w:numPr>
          <w:ilvl w:val="3"/>
          <w:numId w:val="0"/>
        </w:numPr>
        <w:ind w:left="560" w:leftChars="200" w:firstLine="240" w:firstLineChars="100"/>
      </w:pPr>
      <w:r>
        <w:rPr>
          <w:rFonts w:hint="eastAsia" w:ascii="宋体" w:hAnsi="宋体" w:cs="宋体"/>
          <w:bCs/>
          <w:kern w:val="2"/>
          <w:sz w:val="24"/>
          <w:szCs w:val="24"/>
        </w:rPr>
        <w:t>蒸煮工段在用DN（25～400）/PN（16～40）V型球阀和O型球阀按规格各备一套（国产一线品牌，阀芯、阀座材质SS316,调节阀不含定位器）。</w:t>
      </w:r>
    </w:p>
    <w:p w14:paraId="378A67E3">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2.</w:t>
      </w:r>
      <w:r>
        <w:rPr>
          <w:rFonts w:hint="eastAsia" w:ascii="宋体" w:hAnsi="宋体" w:cs="宋体"/>
          <w:bCs/>
          <w:sz w:val="24"/>
          <w:szCs w:val="24"/>
          <w:lang w:val="zh-CN"/>
        </w:rPr>
        <w:t>阀门定位器：在用的每个型号</w:t>
      </w:r>
      <w:r>
        <w:rPr>
          <w:rFonts w:ascii="宋体" w:hAnsi="宋体" w:cs="宋体"/>
          <w:bCs/>
          <w:sz w:val="24"/>
          <w:szCs w:val="24"/>
          <w:lang w:val="zh-CN"/>
        </w:rPr>
        <w:t>5%</w:t>
      </w:r>
      <w:r>
        <w:rPr>
          <w:rFonts w:hint="eastAsia" w:ascii="宋体" w:hAnsi="宋体" w:cs="宋体"/>
          <w:bCs/>
          <w:sz w:val="24"/>
          <w:szCs w:val="24"/>
          <w:lang w:val="zh-CN"/>
        </w:rPr>
        <w:t>（</w:t>
      </w:r>
      <w:r>
        <w:rPr>
          <w:rFonts w:hint="eastAsia" w:ascii="宋体" w:hAnsi="宋体" w:cs="宋体"/>
          <w:bCs/>
          <w:sz w:val="24"/>
          <w:szCs w:val="24"/>
        </w:rPr>
        <w:t>四舍五入取整数</w:t>
      </w:r>
      <w:r>
        <w:rPr>
          <w:rFonts w:hint="eastAsia" w:ascii="宋体" w:hAnsi="宋体" w:cs="宋体"/>
          <w:bCs/>
          <w:sz w:val="24"/>
          <w:szCs w:val="24"/>
          <w:lang w:val="zh-CN"/>
        </w:rPr>
        <w:t>），</w:t>
      </w:r>
      <w:r>
        <w:rPr>
          <w:rFonts w:hint="eastAsia" w:ascii="宋体" w:hAnsi="宋体" w:cs="宋体"/>
          <w:bCs/>
          <w:sz w:val="24"/>
          <w:szCs w:val="24"/>
        </w:rPr>
        <w:t>至少一个</w:t>
      </w:r>
      <w:r>
        <w:rPr>
          <w:rFonts w:hint="eastAsia" w:ascii="宋体" w:hAnsi="宋体" w:cs="宋体"/>
          <w:bCs/>
          <w:sz w:val="24"/>
          <w:szCs w:val="24"/>
          <w:lang w:val="zh-CN"/>
        </w:rPr>
        <w:t>。</w:t>
      </w:r>
    </w:p>
    <w:p w14:paraId="2D58D753">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3.阀门位置反馈器：</w:t>
      </w:r>
      <w:r>
        <w:rPr>
          <w:rFonts w:hint="eastAsia" w:ascii="宋体" w:hAnsi="宋体" w:cs="宋体"/>
          <w:bCs/>
          <w:sz w:val="24"/>
          <w:szCs w:val="24"/>
          <w:lang w:val="zh-CN"/>
        </w:rPr>
        <w:t>在用的每个型号</w:t>
      </w:r>
      <w:r>
        <w:rPr>
          <w:rFonts w:ascii="宋体" w:hAnsi="宋体" w:cs="宋体"/>
          <w:bCs/>
          <w:sz w:val="24"/>
          <w:szCs w:val="24"/>
          <w:lang w:val="zh-CN"/>
        </w:rPr>
        <w:t>5%</w:t>
      </w:r>
      <w:r>
        <w:rPr>
          <w:rFonts w:hint="eastAsia" w:ascii="宋体" w:hAnsi="宋体" w:cs="宋体"/>
          <w:bCs/>
          <w:sz w:val="24"/>
          <w:szCs w:val="24"/>
          <w:lang w:val="zh-CN"/>
        </w:rPr>
        <w:t>（</w:t>
      </w:r>
      <w:r>
        <w:rPr>
          <w:rFonts w:hint="eastAsia" w:ascii="宋体" w:hAnsi="宋体" w:cs="宋体"/>
          <w:bCs/>
          <w:sz w:val="24"/>
          <w:szCs w:val="24"/>
        </w:rPr>
        <w:t>四舍五入取整数</w:t>
      </w:r>
      <w:r>
        <w:rPr>
          <w:rFonts w:hint="eastAsia" w:ascii="宋体" w:hAnsi="宋体" w:cs="宋体"/>
          <w:bCs/>
          <w:sz w:val="24"/>
          <w:szCs w:val="24"/>
          <w:lang w:val="zh-CN"/>
        </w:rPr>
        <w:t>），</w:t>
      </w:r>
      <w:r>
        <w:rPr>
          <w:rFonts w:hint="eastAsia" w:ascii="宋体" w:hAnsi="宋体" w:cs="宋体"/>
          <w:bCs/>
          <w:sz w:val="24"/>
          <w:szCs w:val="24"/>
        </w:rPr>
        <w:t>至少一个</w:t>
      </w:r>
      <w:r>
        <w:rPr>
          <w:rFonts w:hint="eastAsia" w:ascii="宋体" w:hAnsi="宋体" w:cs="宋体"/>
          <w:bCs/>
          <w:sz w:val="24"/>
          <w:szCs w:val="24"/>
          <w:lang w:val="zh-CN"/>
        </w:rPr>
        <w:t>。</w:t>
      </w:r>
    </w:p>
    <w:p w14:paraId="4AF01664">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4.</w:t>
      </w:r>
      <w:r>
        <w:rPr>
          <w:rFonts w:hint="eastAsia" w:ascii="宋体" w:hAnsi="宋体" w:cs="宋体"/>
          <w:bCs/>
          <w:sz w:val="24"/>
          <w:szCs w:val="24"/>
          <w:lang w:val="zh-CN"/>
        </w:rPr>
        <w:t>电磁阀：在用的每个型号1</w:t>
      </w:r>
      <w:r>
        <w:rPr>
          <w:rFonts w:ascii="宋体" w:hAnsi="宋体" w:cs="宋体"/>
          <w:bCs/>
          <w:sz w:val="24"/>
          <w:szCs w:val="24"/>
          <w:lang w:val="zh-CN"/>
        </w:rPr>
        <w:t>0%</w:t>
      </w:r>
      <w:r>
        <w:rPr>
          <w:rFonts w:hint="eastAsia" w:ascii="宋体" w:hAnsi="宋体" w:cs="宋体"/>
          <w:bCs/>
          <w:sz w:val="24"/>
          <w:szCs w:val="24"/>
          <w:lang w:val="zh-CN"/>
        </w:rPr>
        <w:t>（</w:t>
      </w:r>
      <w:r>
        <w:rPr>
          <w:rFonts w:hint="eastAsia" w:ascii="宋体" w:hAnsi="宋体" w:cs="宋体"/>
          <w:bCs/>
          <w:sz w:val="24"/>
          <w:szCs w:val="24"/>
        </w:rPr>
        <w:t>四舍五入取整数</w:t>
      </w:r>
      <w:r>
        <w:rPr>
          <w:rFonts w:hint="eastAsia" w:ascii="宋体" w:hAnsi="宋体" w:cs="宋体"/>
          <w:bCs/>
          <w:sz w:val="24"/>
          <w:szCs w:val="24"/>
          <w:lang w:val="zh-CN"/>
        </w:rPr>
        <w:t>），</w:t>
      </w:r>
      <w:r>
        <w:rPr>
          <w:rFonts w:hint="eastAsia" w:ascii="宋体" w:hAnsi="宋体" w:cs="宋体"/>
          <w:bCs/>
          <w:sz w:val="24"/>
          <w:szCs w:val="24"/>
        </w:rPr>
        <w:t>至少一个</w:t>
      </w:r>
      <w:r>
        <w:rPr>
          <w:rFonts w:hint="eastAsia" w:ascii="宋体" w:hAnsi="宋体" w:cs="宋体"/>
          <w:bCs/>
          <w:sz w:val="24"/>
          <w:szCs w:val="24"/>
          <w:lang w:val="zh-CN"/>
        </w:rPr>
        <w:t>。</w:t>
      </w:r>
    </w:p>
    <w:p w14:paraId="733CEE6F">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5.</w:t>
      </w:r>
      <w:r>
        <w:rPr>
          <w:rFonts w:hint="eastAsia" w:ascii="宋体" w:hAnsi="宋体" w:cs="宋体"/>
          <w:bCs/>
          <w:sz w:val="24"/>
          <w:szCs w:val="24"/>
          <w:lang w:val="zh-CN"/>
        </w:rPr>
        <w:t>压力变送器：在用的每类型号</w:t>
      </w:r>
      <w:r>
        <w:rPr>
          <w:rFonts w:ascii="宋体" w:hAnsi="宋体" w:cs="宋体"/>
          <w:bCs/>
          <w:sz w:val="24"/>
          <w:szCs w:val="24"/>
          <w:lang w:val="zh-CN"/>
        </w:rPr>
        <w:t>3%</w:t>
      </w:r>
      <w:r>
        <w:rPr>
          <w:rFonts w:hint="eastAsia" w:ascii="宋体" w:hAnsi="宋体" w:cs="宋体"/>
          <w:bCs/>
          <w:sz w:val="24"/>
          <w:szCs w:val="24"/>
          <w:lang w:val="zh-CN"/>
        </w:rPr>
        <w:t>（</w:t>
      </w:r>
      <w:r>
        <w:rPr>
          <w:rFonts w:hint="eastAsia" w:ascii="宋体" w:hAnsi="宋体" w:cs="宋体"/>
          <w:bCs/>
          <w:sz w:val="24"/>
          <w:szCs w:val="24"/>
        </w:rPr>
        <w:t>四舍五入取整数</w:t>
      </w:r>
      <w:r>
        <w:rPr>
          <w:rFonts w:hint="eastAsia" w:ascii="宋体" w:hAnsi="宋体" w:cs="宋体"/>
          <w:bCs/>
          <w:sz w:val="24"/>
          <w:szCs w:val="24"/>
          <w:lang w:val="zh-CN"/>
        </w:rPr>
        <w:t>），</w:t>
      </w:r>
      <w:r>
        <w:rPr>
          <w:rFonts w:hint="eastAsia" w:ascii="宋体" w:hAnsi="宋体" w:cs="宋体"/>
          <w:bCs/>
          <w:sz w:val="24"/>
          <w:szCs w:val="24"/>
        </w:rPr>
        <w:t>至少一个</w:t>
      </w:r>
      <w:r>
        <w:rPr>
          <w:rFonts w:hint="eastAsia" w:ascii="宋体" w:hAnsi="宋体" w:cs="宋体"/>
          <w:bCs/>
          <w:sz w:val="24"/>
          <w:szCs w:val="24"/>
          <w:lang w:val="zh-CN"/>
        </w:rPr>
        <w:t>。</w:t>
      </w:r>
    </w:p>
    <w:p w14:paraId="765CFE2C">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6.</w:t>
      </w:r>
      <w:r>
        <w:rPr>
          <w:rFonts w:hint="eastAsia" w:ascii="宋体" w:hAnsi="宋体" w:cs="宋体"/>
          <w:bCs/>
          <w:sz w:val="24"/>
          <w:szCs w:val="24"/>
          <w:lang w:val="zh-CN"/>
        </w:rPr>
        <w:t>电磁流量计转换器：在用的每个型号</w:t>
      </w:r>
      <w:r>
        <w:rPr>
          <w:rFonts w:ascii="宋体" w:hAnsi="宋体" w:cs="宋体"/>
          <w:bCs/>
          <w:sz w:val="24"/>
          <w:szCs w:val="24"/>
          <w:lang w:val="zh-CN"/>
        </w:rPr>
        <w:t>3%</w:t>
      </w:r>
      <w:r>
        <w:rPr>
          <w:rFonts w:hint="eastAsia" w:ascii="宋体" w:hAnsi="宋体" w:cs="宋体"/>
          <w:bCs/>
          <w:sz w:val="24"/>
          <w:szCs w:val="24"/>
          <w:lang w:val="zh-CN"/>
        </w:rPr>
        <w:t>（</w:t>
      </w:r>
      <w:r>
        <w:rPr>
          <w:rFonts w:hint="eastAsia" w:ascii="宋体" w:hAnsi="宋体" w:cs="宋体"/>
          <w:bCs/>
          <w:sz w:val="24"/>
          <w:szCs w:val="24"/>
        </w:rPr>
        <w:t>四舍五入取整数</w:t>
      </w:r>
      <w:r>
        <w:rPr>
          <w:rFonts w:hint="eastAsia" w:ascii="宋体" w:hAnsi="宋体" w:cs="宋体"/>
          <w:bCs/>
          <w:sz w:val="24"/>
          <w:szCs w:val="24"/>
          <w:lang w:val="zh-CN"/>
        </w:rPr>
        <w:t>），</w:t>
      </w:r>
      <w:r>
        <w:rPr>
          <w:rFonts w:hint="eastAsia" w:ascii="宋体" w:hAnsi="宋体" w:cs="宋体"/>
          <w:bCs/>
          <w:sz w:val="24"/>
          <w:szCs w:val="24"/>
        </w:rPr>
        <w:t>至少一个</w:t>
      </w:r>
      <w:r>
        <w:rPr>
          <w:rFonts w:hint="eastAsia" w:ascii="宋体" w:hAnsi="宋体" w:cs="宋体"/>
          <w:bCs/>
          <w:sz w:val="24"/>
          <w:szCs w:val="24"/>
          <w:lang w:val="zh-CN"/>
        </w:rPr>
        <w:t>。</w:t>
      </w:r>
    </w:p>
    <w:p w14:paraId="05CC93B7">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7.</w:t>
      </w:r>
      <w:r>
        <w:rPr>
          <w:rFonts w:hint="eastAsia" w:ascii="宋体" w:hAnsi="宋体" w:cs="宋体"/>
          <w:bCs/>
          <w:sz w:val="24"/>
          <w:szCs w:val="24"/>
          <w:lang w:val="zh-CN"/>
        </w:rPr>
        <w:t>国产阀门密封件：在用的每个型号</w:t>
      </w:r>
      <w:r>
        <w:rPr>
          <w:rFonts w:ascii="宋体" w:hAnsi="宋体" w:cs="宋体"/>
          <w:bCs/>
          <w:sz w:val="24"/>
          <w:szCs w:val="24"/>
          <w:lang w:val="zh-CN"/>
        </w:rPr>
        <w:t>2</w:t>
      </w:r>
      <w:r>
        <w:rPr>
          <w:rFonts w:hint="eastAsia" w:ascii="宋体" w:hAnsi="宋体" w:cs="宋体"/>
          <w:bCs/>
          <w:sz w:val="24"/>
          <w:szCs w:val="24"/>
          <w:lang w:val="zh-CN"/>
        </w:rPr>
        <w:t>套。</w:t>
      </w:r>
    </w:p>
    <w:p w14:paraId="672FC4F2">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8.</w:t>
      </w:r>
      <w:r>
        <w:rPr>
          <w:rFonts w:hint="eastAsia" w:ascii="宋体" w:hAnsi="宋体" w:cs="宋体"/>
          <w:bCs/>
          <w:sz w:val="24"/>
          <w:szCs w:val="24"/>
          <w:lang w:val="zh-CN"/>
        </w:rPr>
        <w:t>就地压力表：在用的每个型号</w:t>
      </w:r>
      <w:r>
        <w:rPr>
          <w:rFonts w:ascii="宋体" w:hAnsi="宋体" w:cs="宋体"/>
          <w:bCs/>
          <w:sz w:val="24"/>
          <w:szCs w:val="24"/>
          <w:lang w:val="zh-CN"/>
        </w:rPr>
        <w:t>3%</w:t>
      </w:r>
      <w:r>
        <w:rPr>
          <w:rFonts w:hint="eastAsia" w:ascii="宋体" w:hAnsi="宋体" w:cs="宋体"/>
          <w:bCs/>
          <w:sz w:val="24"/>
          <w:szCs w:val="24"/>
          <w:lang w:val="zh-CN"/>
        </w:rPr>
        <w:t>（</w:t>
      </w:r>
      <w:r>
        <w:rPr>
          <w:rFonts w:hint="eastAsia" w:ascii="宋体" w:hAnsi="宋体" w:cs="宋体"/>
          <w:bCs/>
          <w:sz w:val="24"/>
          <w:szCs w:val="24"/>
        </w:rPr>
        <w:t>四舍五入取整数</w:t>
      </w:r>
      <w:r>
        <w:rPr>
          <w:rFonts w:hint="eastAsia" w:ascii="宋体" w:hAnsi="宋体" w:cs="宋体"/>
          <w:bCs/>
          <w:sz w:val="24"/>
          <w:szCs w:val="24"/>
          <w:lang w:val="zh-CN"/>
        </w:rPr>
        <w:t>），</w:t>
      </w:r>
      <w:r>
        <w:rPr>
          <w:rFonts w:hint="eastAsia" w:ascii="宋体" w:hAnsi="宋体" w:cs="宋体"/>
          <w:bCs/>
          <w:sz w:val="24"/>
          <w:szCs w:val="24"/>
        </w:rPr>
        <w:t>至少一个</w:t>
      </w:r>
      <w:r>
        <w:rPr>
          <w:rFonts w:hint="eastAsia" w:ascii="宋体" w:hAnsi="宋体" w:cs="宋体"/>
          <w:bCs/>
          <w:sz w:val="24"/>
          <w:szCs w:val="24"/>
          <w:lang w:val="zh-CN"/>
        </w:rPr>
        <w:t>。</w:t>
      </w:r>
    </w:p>
    <w:p w14:paraId="6DDE7048">
      <w:pPr>
        <w:snapToGrid w:val="0"/>
        <w:spacing w:before="100" w:after="100" w:line="360" w:lineRule="exact"/>
        <w:ind w:left="425"/>
        <w:rPr>
          <w:rFonts w:ascii="宋体" w:hAnsi="宋体" w:cs="宋体"/>
          <w:bCs/>
          <w:sz w:val="24"/>
          <w:szCs w:val="24"/>
          <w:lang w:val="zh-CN"/>
        </w:rPr>
      </w:pPr>
      <w:r>
        <w:rPr>
          <w:rFonts w:hint="eastAsia" w:ascii="宋体" w:hAnsi="宋体" w:cs="宋体"/>
          <w:bCs/>
          <w:sz w:val="24"/>
          <w:szCs w:val="24"/>
        </w:rPr>
        <w:t>9.</w:t>
      </w:r>
      <w:r>
        <w:rPr>
          <w:rFonts w:hint="eastAsia" w:ascii="宋体" w:hAnsi="宋体" w:cs="宋体"/>
          <w:bCs/>
          <w:sz w:val="24"/>
          <w:szCs w:val="24"/>
          <w:lang w:val="zh-CN"/>
        </w:rPr>
        <w:t>一体化温度变送器：在用的每个型号</w:t>
      </w:r>
      <w:r>
        <w:rPr>
          <w:rFonts w:ascii="宋体" w:hAnsi="宋体" w:cs="宋体"/>
          <w:bCs/>
          <w:sz w:val="24"/>
          <w:szCs w:val="24"/>
          <w:lang w:val="zh-CN"/>
        </w:rPr>
        <w:t>5%</w:t>
      </w:r>
      <w:r>
        <w:rPr>
          <w:rFonts w:hint="eastAsia" w:ascii="宋体" w:hAnsi="宋体" w:cs="宋体"/>
          <w:bCs/>
          <w:sz w:val="24"/>
          <w:szCs w:val="24"/>
          <w:lang w:val="zh-CN"/>
        </w:rPr>
        <w:t>（</w:t>
      </w:r>
      <w:r>
        <w:rPr>
          <w:rFonts w:hint="eastAsia" w:ascii="宋体" w:hAnsi="宋体" w:cs="宋体"/>
          <w:bCs/>
          <w:sz w:val="24"/>
          <w:szCs w:val="24"/>
        </w:rPr>
        <w:t>四舍五入取整数</w:t>
      </w:r>
      <w:r>
        <w:rPr>
          <w:rFonts w:hint="eastAsia" w:ascii="宋体" w:hAnsi="宋体" w:cs="宋体"/>
          <w:bCs/>
          <w:sz w:val="24"/>
          <w:szCs w:val="24"/>
          <w:lang w:val="zh-CN"/>
        </w:rPr>
        <w:t>），</w:t>
      </w:r>
      <w:r>
        <w:rPr>
          <w:rFonts w:hint="eastAsia" w:ascii="宋体" w:hAnsi="宋体" w:cs="宋体"/>
          <w:bCs/>
          <w:sz w:val="24"/>
          <w:szCs w:val="24"/>
        </w:rPr>
        <w:t>至少一个</w:t>
      </w:r>
      <w:r>
        <w:rPr>
          <w:rFonts w:hint="eastAsia" w:ascii="宋体" w:hAnsi="宋体" w:cs="宋体"/>
          <w:bCs/>
          <w:sz w:val="24"/>
          <w:szCs w:val="24"/>
          <w:lang w:val="zh-CN"/>
        </w:rPr>
        <w:t>。</w:t>
      </w:r>
    </w:p>
    <w:p w14:paraId="72DEBF71">
      <w:pPr>
        <w:snapToGrid w:val="0"/>
        <w:spacing w:before="100" w:after="100" w:line="360" w:lineRule="exact"/>
        <w:ind w:left="425"/>
        <w:rPr>
          <w:rFonts w:ascii="宋体" w:hAnsi="宋体" w:cs="宋体"/>
          <w:bCs/>
          <w:sz w:val="24"/>
          <w:szCs w:val="24"/>
        </w:rPr>
      </w:pPr>
      <w:r>
        <w:rPr>
          <w:rFonts w:hint="eastAsia" w:ascii="宋体" w:hAnsi="宋体" w:cs="宋体"/>
          <w:bCs/>
          <w:sz w:val="24"/>
          <w:szCs w:val="24"/>
        </w:rPr>
        <w:t>10.HART475手操器，一台。</w:t>
      </w:r>
    </w:p>
    <w:p w14:paraId="780F133B">
      <w:pPr>
        <w:snapToGrid w:val="0"/>
        <w:spacing w:before="100" w:after="100" w:line="360" w:lineRule="exact"/>
        <w:ind w:left="425"/>
      </w:pPr>
      <w:r>
        <w:rPr>
          <w:rFonts w:hint="eastAsia" w:ascii="宋体" w:hAnsi="宋体" w:cs="宋体"/>
          <w:bCs/>
          <w:sz w:val="24"/>
          <w:szCs w:val="24"/>
        </w:rPr>
        <w:t>11.现场接线箱：2个。</w:t>
      </w:r>
    </w:p>
    <w:p w14:paraId="1A9FAE47">
      <w:pPr>
        <w:pStyle w:val="23"/>
        <w:ind w:firstLine="0" w:firstLineChars="0"/>
        <w:rPr>
          <w:rFonts w:hint="default"/>
          <w:bCs/>
          <w:lang w:val="en-US"/>
        </w:rPr>
      </w:pPr>
    </w:p>
    <w:sectPr>
      <w:pgSz w:w="11906" w:h="16838"/>
      <w:pgMar w:top="1440" w:right="1417" w:bottom="1440" w:left="1417" w:header="964"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长城仿宋">
    <w:altName w:val="宋体"/>
    <w:panose1 w:val="00000000000000000000"/>
    <w:charset w:val="86"/>
    <w:family w:val="modern"/>
    <w:pitch w:val="default"/>
    <w:sig w:usb0="00000000" w:usb1="00000000" w:usb2="00000010" w:usb3="00000000" w:csb0="00040000" w:csb1="00000000"/>
  </w:font>
  <w:font w:name="MingLiU">
    <w:altName w:val="Segoe Print"/>
    <w:panose1 w:val="02010609000101010101"/>
    <w:charset w:val="00"/>
    <w:family w:val="auto"/>
    <w:pitch w:val="default"/>
    <w:sig w:usb0="00000000" w:usb1="00000000" w:usb2="00000000" w:usb3="00000000" w:csb0="00000000" w:csb1="00000000"/>
  </w:font>
  <w:font w:name="細明體">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1" w:usb3="00000000" w:csb0="400001BF" w:csb1="DFF70000"/>
  </w:font>
  <w:font w:name="Segoe UI">
    <w:panose1 w:val="020B0502040204020203"/>
    <w:charset w:val="00"/>
    <w:family w:val="swiss"/>
    <w:pitch w:val="default"/>
    <w:sig w:usb0="E4002EFF" w:usb1="C000E47F" w:usb2="00000009" w:usb3="00000000" w:csb0="200001FF" w:csb1="00000000"/>
  </w:font>
  <w:font w:name="Comic Sans MS">
    <w:panose1 w:val="030F0702030302020204"/>
    <w:charset w:val="00"/>
    <w:family w:val="script"/>
    <w:pitch w:val="default"/>
    <w:sig w:usb0="00000687" w:usb1="00000013" w:usb2="00000000" w:usb3="00000000" w:csb0="2000009F" w:csb1="00000000"/>
  </w:font>
  <w:font w:name="绛夌嚎">
    <w:altName w:val="Segoe Print"/>
    <w:panose1 w:val="00000000000000000000"/>
    <w:charset w:val="00"/>
    <w:family w:val="auto"/>
    <w:pitch w:val="default"/>
    <w:sig w:usb0="00000000" w:usb1="00000000" w:usb2="00000000" w:usb3="00000000" w:csb0="00000000" w:csb1="00000000"/>
  </w:font>
  <w:font w:name="AMGD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PMingLiU">
    <w:altName w:val="Verdana"/>
    <w:panose1 w:val="02010601000101010101"/>
    <w:charset w:val="00"/>
    <w:family w:val="auto"/>
    <w:pitch w:val="default"/>
    <w:sig w:usb0="00000000" w:usb1="00000000" w:usb2="00000000" w:usb3="00000000" w:csb0="00000000" w:csb1="00000000"/>
  </w:font>
  <w:font w:name="P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F5FEE">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ADAEC">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C0917D">
                          <w:pPr>
                            <w:pStyle w:val="11"/>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22C0917D">
                    <w:pPr>
                      <w:pStyle w:val="11"/>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E59DD">
    <w:pPr>
      <w:pStyle w:val="6"/>
      <w:jc w:val="left"/>
      <w:rPr>
        <w:sz w:val="15"/>
        <w:szCs w:val="15"/>
      </w:rPr>
    </w:pPr>
    <w:r>
      <w:rPr>
        <w:rFonts w:hint="eastAsia"/>
        <w:sz w:val="15"/>
        <w:szCs w:val="15"/>
      </w:rPr>
      <w:t>福建省青山纸业股份有限公司年产</w:t>
    </w:r>
    <w:r>
      <w:rPr>
        <w:rFonts w:hint="eastAsia" w:ascii="宋体" w:hAnsi="宋体" w:cs="宋体"/>
        <w:sz w:val="15"/>
        <w:szCs w:val="15"/>
      </w:rPr>
      <w:t>50</w:t>
    </w:r>
    <w:r>
      <w:rPr>
        <w:rFonts w:hint="eastAsia"/>
        <w:sz w:val="15"/>
        <w:szCs w:val="15"/>
      </w:rPr>
      <w:t>万吨食品包装原纸技改工程变更项目（年产</w:t>
    </w:r>
    <w:r>
      <w:rPr>
        <w:rFonts w:hint="eastAsia" w:ascii="宋体" w:hAnsi="宋体" w:cs="宋体"/>
        <w:sz w:val="15"/>
        <w:szCs w:val="15"/>
      </w:rPr>
      <w:t>20</w:t>
    </w:r>
    <w:r>
      <w:rPr>
        <w:rFonts w:hint="eastAsia"/>
        <w:sz w:val="15"/>
        <w:szCs w:val="15"/>
      </w:rPr>
      <w:t>万吨竹浆技改项目）</w:t>
    </w:r>
    <w:r>
      <w:rPr>
        <w:rFonts w:hint="eastAsia" w:ascii="宋体" w:hAnsi="宋体" w:cs="宋体"/>
        <w:sz w:val="15"/>
        <w:szCs w:val="15"/>
      </w:rPr>
      <w:t>EPC</w:t>
    </w:r>
    <w:r>
      <w:rPr>
        <w:rFonts w:hint="eastAsia"/>
        <w:sz w:val="15"/>
        <w:szCs w:val="15"/>
      </w:rPr>
      <w:t>工程总承包技术协议书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411EE">
    <w:pPr>
      <w:pStyle w:val="6"/>
      <w:jc w:val="left"/>
      <w:rPr>
        <w:sz w:val="15"/>
        <w:szCs w:val="15"/>
      </w:rPr>
    </w:pPr>
    <w:r>
      <w:rPr>
        <w:rFonts w:hint="eastAsia"/>
        <w:sz w:val="15"/>
        <w:szCs w:val="15"/>
      </w:rPr>
      <w:t>福建省青山纸业股份有限公司年产</w:t>
    </w:r>
    <w:r>
      <w:rPr>
        <w:rFonts w:hint="eastAsia" w:ascii="宋体" w:hAnsi="宋体" w:cs="宋体"/>
        <w:sz w:val="15"/>
        <w:szCs w:val="15"/>
      </w:rPr>
      <w:t>50</w:t>
    </w:r>
    <w:r>
      <w:rPr>
        <w:rFonts w:hint="eastAsia"/>
        <w:sz w:val="15"/>
        <w:szCs w:val="15"/>
      </w:rPr>
      <w:t>万吨食品包装原纸技改工程变更项目（年产</w:t>
    </w:r>
    <w:r>
      <w:rPr>
        <w:rFonts w:hint="eastAsia" w:ascii="宋体" w:hAnsi="宋体" w:cs="宋体"/>
        <w:sz w:val="15"/>
        <w:szCs w:val="15"/>
      </w:rPr>
      <w:t>20</w:t>
    </w:r>
    <w:r>
      <w:rPr>
        <w:rFonts w:hint="eastAsia"/>
        <w:sz w:val="15"/>
        <w:szCs w:val="15"/>
      </w:rPr>
      <w:t>万吨竹浆技改项目）</w:t>
    </w:r>
    <w:r>
      <w:rPr>
        <w:rFonts w:hint="eastAsia" w:ascii="宋体" w:hAnsi="宋体" w:cs="宋体"/>
        <w:sz w:val="15"/>
        <w:szCs w:val="15"/>
      </w:rPr>
      <w:t>EPC</w:t>
    </w:r>
    <w:r>
      <w:rPr>
        <w:rFonts w:hint="eastAsia"/>
        <w:sz w:val="15"/>
        <w:szCs w:val="15"/>
      </w:rPr>
      <w:t>工程总承包技术协议书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0BA28">
    <w:pPr>
      <w:pStyle w:val="6"/>
      <w:jc w:val="left"/>
      <w:rPr>
        <w:sz w:val="15"/>
        <w:szCs w:val="15"/>
      </w:rPr>
    </w:pPr>
    <w:r>
      <w:rPr>
        <w:rFonts w:hint="eastAsia"/>
        <w:sz w:val="15"/>
        <w:szCs w:val="15"/>
      </w:rPr>
      <w:t>福建省青山纸业股份有限公司年产</w:t>
    </w:r>
    <w:r>
      <w:rPr>
        <w:rFonts w:hint="eastAsia" w:ascii="宋体" w:hAnsi="宋体" w:cs="宋体"/>
        <w:sz w:val="15"/>
        <w:szCs w:val="15"/>
      </w:rPr>
      <w:t>50</w:t>
    </w:r>
    <w:r>
      <w:rPr>
        <w:rFonts w:hint="eastAsia"/>
        <w:sz w:val="15"/>
        <w:szCs w:val="15"/>
      </w:rPr>
      <w:t>万吨食品包装原纸技改工程变更项目（年产</w:t>
    </w:r>
    <w:r>
      <w:rPr>
        <w:rFonts w:hint="eastAsia" w:ascii="宋体" w:hAnsi="宋体" w:cs="宋体"/>
        <w:sz w:val="15"/>
        <w:szCs w:val="15"/>
      </w:rPr>
      <w:t>20</w:t>
    </w:r>
    <w:r>
      <w:rPr>
        <w:rFonts w:hint="eastAsia"/>
        <w:sz w:val="15"/>
        <w:szCs w:val="15"/>
      </w:rPr>
      <w:t>万吨竹浆技改项目）</w:t>
    </w:r>
    <w:r>
      <w:rPr>
        <w:rFonts w:hint="eastAsia" w:ascii="宋体" w:hAnsi="宋体" w:cs="宋体"/>
        <w:sz w:val="15"/>
        <w:szCs w:val="15"/>
      </w:rPr>
      <w:t>EPC</w:t>
    </w:r>
    <w:r>
      <w:rPr>
        <w:rFonts w:hint="eastAsia"/>
        <w:sz w:val="15"/>
        <w:szCs w:val="15"/>
      </w:rPr>
      <w:t>工程总承包技术协议书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2740">
    <w:pPr>
      <w:pStyle w:val="6"/>
      <w:jc w:val="left"/>
      <w:rPr>
        <w:sz w:val="15"/>
        <w:szCs w:val="15"/>
      </w:rPr>
    </w:pPr>
    <w:r>
      <w:rPr>
        <w:rFonts w:hint="eastAsia"/>
        <w:sz w:val="15"/>
        <w:szCs w:val="15"/>
      </w:rPr>
      <w:t>福建省青山纸业股份有限公司年产</w:t>
    </w:r>
    <w:r>
      <w:rPr>
        <w:rFonts w:hint="eastAsia" w:ascii="宋体" w:hAnsi="宋体" w:cs="宋体"/>
        <w:sz w:val="15"/>
        <w:szCs w:val="15"/>
      </w:rPr>
      <w:t>50</w:t>
    </w:r>
    <w:r>
      <w:rPr>
        <w:rFonts w:hint="eastAsia"/>
        <w:sz w:val="15"/>
        <w:szCs w:val="15"/>
      </w:rPr>
      <w:t>万吨食品包装原纸技改工程变更项目（年产</w:t>
    </w:r>
    <w:r>
      <w:rPr>
        <w:rFonts w:hint="eastAsia" w:ascii="宋体" w:hAnsi="宋体" w:cs="宋体"/>
        <w:sz w:val="15"/>
        <w:szCs w:val="15"/>
      </w:rPr>
      <w:t>20</w:t>
    </w:r>
    <w:r>
      <w:rPr>
        <w:rFonts w:hint="eastAsia"/>
        <w:sz w:val="15"/>
        <w:szCs w:val="15"/>
      </w:rPr>
      <w:t>万吨竹浆技改项目）</w:t>
    </w:r>
    <w:r>
      <w:rPr>
        <w:rFonts w:hint="eastAsia" w:ascii="宋体" w:hAnsi="宋体" w:cs="宋体"/>
        <w:sz w:val="15"/>
        <w:szCs w:val="15"/>
      </w:rPr>
      <w:t>EPC</w:t>
    </w:r>
    <w:r>
      <w:rPr>
        <w:rFonts w:hint="eastAsia"/>
        <w:sz w:val="15"/>
        <w:szCs w:val="15"/>
      </w:rPr>
      <w:t>工程总承包技术协议书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58630">
    <w:pPr>
      <w:pStyle w:val="6"/>
      <w:jc w:val="left"/>
      <w:rPr>
        <w:sz w:val="15"/>
        <w:szCs w:val="15"/>
      </w:rPr>
    </w:pPr>
    <w:r>
      <w:rPr>
        <w:rFonts w:hint="eastAsia"/>
        <w:sz w:val="15"/>
        <w:szCs w:val="15"/>
      </w:rPr>
      <w:t>福建省青山纸业股份有限公司年产</w:t>
    </w:r>
    <w:r>
      <w:rPr>
        <w:rFonts w:hint="eastAsia" w:ascii="宋体" w:hAnsi="宋体" w:cs="宋体"/>
        <w:sz w:val="15"/>
        <w:szCs w:val="15"/>
      </w:rPr>
      <w:t>50</w:t>
    </w:r>
    <w:r>
      <w:rPr>
        <w:rFonts w:hint="eastAsia"/>
        <w:sz w:val="15"/>
        <w:szCs w:val="15"/>
      </w:rPr>
      <w:t>万吨食品包装原纸技改工程变更项目（年产</w:t>
    </w:r>
    <w:r>
      <w:rPr>
        <w:rFonts w:hint="eastAsia" w:ascii="宋体" w:hAnsi="宋体" w:cs="宋体"/>
        <w:sz w:val="15"/>
        <w:szCs w:val="15"/>
      </w:rPr>
      <w:t>20</w:t>
    </w:r>
    <w:r>
      <w:rPr>
        <w:rFonts w:hint="eastAsia"/>
        <w:sz w:val="15"/>
        <w:szCs w:val="15"/>
      </w:rPr>
      <w:t>万吨竹浆技改项目）</w:t>
    </w:r>
    <w:r>
      <w:rPr>
        <w:rFonts w:hint="eastAsia" w:ascii="宋体" w:hAnsi="宋体" w:cs="宋体"/>
        <w:sz w:val="15"/>
        <w:szCs w:val="15"/>
      </w:rPr>
      <w:t>EPC</w:t>
    </w:r>
    <w:r>
      <w:rPr>
        <w:rFonts w:hint="eastAsia"/>
        <w:sz w:val="15"/>
        <w:szCs w:val="15"/>
      </w:rPr>
      <w:t>工程总承包技术协议书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BF5A">
    <w:pPr>
      <w:pStyle w:val="6"/>
      <w:jc w:val="left"/>
      <w:rPr>
        <w:sz w:val="15"/>
        <w:szCs w:val="15"/>
      </w:rPr>
    </w:pPr>
    <w:r>
      <w:rPr>
        <w:rFonts w:hint="eastAsia"/>
        <w:sz w:val="15"/>
        <w:szCs w:val="15"/>
      </w:rPr>
      <w:t>福建省青山纸业股份有限公司年产</w:t>
    </w:r>
    <w:r>
      <w:rPr>
        <w:rFonts w:hint="eastAsia" w:ascii="宋体" w:hAnsi="宋体" w:cs="宋体"/>
        <w:sz w:val="15"/>
        <w:szCs w:val="15"/>
      </w:rPr>
      <w:t>50</w:t>
    </w:r>
    <w:r>
      <w:rPr>
        <w:rFonts w:hint="eastAsia"/>
        <w:sz w:val="15"/>
        <w:szCs w:val="15"/>
      </w:rPr>
      <w:t>万吨食品包装原纸技改工程变更项目（年产</w:t>
    </w:r>
    <w:r>
      <w:rPr>
        <w:rFonts w:hint="eastAsia" w:ascii="宋体" w:hAnsi="宋体" w:cs="宋体"/>
        <w:sz w:val="15"/>
        <w:szCs w:val="15"/>
      </w:rPr>
      <w:t>20</w:t>
    </w:r>
    <w:r>
      <w:rPr>
        <w:rFonts w:hint="eastAsia"/>
        <w:sz w:val="15"/>
        <w:szCs w:val="15"/>
      </w:rPr>
      <w:t>万吨竹浆技改项目）</w:t>
    </w:r>
    <w:r>
      <w:rPr>
        <w:rFonts w:hint="eastAsia" w:ascii="宋体" w:hAnsi="宋体" w:cs="宋体"/>
        <w:sz w:val="15"/>
        <w:szCs w:val="15"/>
      </w:rPr>
      <w:t>EPC</w:t>
    </w:r>
    <w:r>
      <w:rPr>
        <w:rFonts w:hint="eastAsia"/>
        <w:sz w:val="15"/>
        <w:szCs w:val="15"/>
      </w:rPr>
      <w:t>工程总承包技术协议书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F424A"/>
    <w:multiLevelType w:val="singleLevel"/>
    <w:tmpl w:val="8B3F424A"/>
    <w:lvl w:ilvl="0" w:tentative="0">
      <w:start w:val="1"/>
      <w:numFmt w:val="decimal"/>
      <w:suff w:val="nothing"/>
      <w:lvlText w:val="%1、"/>
      <w:lvlJc w:val="left"/>
      <w:pPr>
        <w:ind w:left="-119" w:firstLine="403"/>
      </w:pPr>
      <w:rPr>
        <w:rFonts w:hint="default"/>
      </w:rPr>
    </w:lvl>
  </w:abstractNum>
  <w:abstractNum w:abstractNumId="1">
    <w:nsid w:val="A2D9CAB8"/>
    <w:multiLevelType w:val="singleLevel"/>
    <w:tmpl w:val="A2D9CAB8"/>
    <w:lvl w:ilvl="0" w:tentative="0">
      <w:start w:val="1"/>
      <w:numFmt w:val="decimal"/>
      <w:suff w:val="nothing"/>
      <w:lvlText w:val="%1、"/>
      <w:lvlJc w:val="left"/>
      <w:pPr>
        <w:ind w:left="0" w:firstLine="403"/>
      </w:pPr>
      <w:rPr>
        <w:rFonts w:hint="default"/>
        <w:sz w:val="24"/>
        <w:szCs w:val="24"/>
      </w:rPr>
    </w:lvl>
  </w:abstractNum>
  <w:abstractNum w:abstractNumId="2">
    <w:nsid w:val="A91DEEA1"/>
    <w:multiLevelType w:val="singleLevel"/>
    <w:tmpl w:val="A91DEEA1"/>
    <w:lvl w:ilvl="0" w:tentative="0">
      <w:start w:val="1"/>
      <w:numFmt w:val="decimal"/>
      <w:suff w:val="space"/>
      <w:lvlText w:val="1.%1"/>
      <w:lvlJc w:val="left"/>
      <w:pPr>
        <w:ind w:left="0" w:firstLine="480"/>
      </w:pPr>
      <w:rPr>
        <w:rFonts w:hint="default" w:asciiTheme="minorEastAsia" w:hAnsiTheme="minorEastAsia" w:eastAsiaTheme="minorEastAsia" w:cstheme="minorEastAsia"/>
      </w:rPr>
    </w:lvl>
  </w:abstractNum>
  <w:abstractNum w:abstractNumId="3">
    <w:nsid w:val="E7A04B05"/>
    <w:multiLevelType w:val="multilevel"/>
    <w:tmpl w:val="E7A04B05"/>
    <w:lvl w:ilvl="0" w:tentative="0">
      <w:start w:val="1"/>
      <w:numFmt w:val="decimal"/>
      <w:suff w:val="space"/>
      <w:lvlText w:val="%1."/>
      <w:lvlJc w:val="left"/>
      <w:pPr>
        <w:ind w:left="0" w:firstLine="0"/>
      </w:pPr>
      <w:rPr>
        <w:rFonts w:hint="default" w:asciiTheme="minorEastAsia" w:hAnsiTheme="minorEastAsia" w:eastAsiaTheme="minorEastAsia" w:cstheme="minorEastAsia"/>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4">
    <w:nsid w:val="32D00AD0"/>
    <w:multiLevelType w:val="singleLevel"/>
    <w:tmpl w:val="32D00AD0"/>
    <w:lvl w:ilvl="0" w:tentative="0">
      <w:start w:val="1"/>
      <w:numFmt w:val="decimal"/>
      <w:suff w:val="nothing"/>
      <w:lvlText w:val="%1、"/>
      <w:lvlJc w:val="left"/>
      <w:pPr>
        <w:ind w:left="0" w:firstLine="403"/>
      </w:pPr>
      <w:rPr>
        <w:rFonts w:hint="default"/>
      </w:rPr>
    </w:lvl>
  </w:abstractNum>
  <w:abstractNum w:abstractNumId="5">
    <w:nsid w:val="3CB52B7A"/>
    <w:multiLevelType w:val="multilevel"/>
    <w:tmpl w:val="3CB52B7A"/>
    <w:lvl w:ilvl="0" w:tentative="0">
      <w:start w:val="1"/>
      <w:numFmt w:val="decimal"/>
      <w:pStyle w:val="35"/>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442E0E99"/>
    <w:multiLevelType w:val="singleLevel"/>
    <w:tmpl w:val="442E0E99"/>
    <w:lvl w:ilvl="0" w:tentative="0">
      <w:start w:val="1"/>
      <w:numFmt w:val="decimal"/>
      <w:suff w:val="nothing"/>
      <w:lvlText w:val="%1、"/>
      <w:lvlJc w:val="left"/>
      <w:pPr>
        <w:ind w:left="0" w:firstLine="480"/>
      </w:pPr>
      <w:rPr>
        <w:rFonts w:hint="default"/>
      </w:rPr>
    </w:lvl>
  </w:abstractNum>
  <w:abstractNum w:abstractNumId="7">
    <w:nsid w:val="48A4CB6C"/>
    <w:multiLevelType w:val="singleLevel"/>
    <w:tmpl w:val="48A4CB6C"/>
    <w:lvl w:ilvl="0" w:tentative="0">
      <w:start w:val="1"/>
      <w:numFmt w:val="decimal"/>
      <w:suff w:val="space"/>
      <w:lvlText w:val="2.%1"/>
      <w:lvlJc w:val="left"/>
      <w:pPr>
        <w:ind w:left="0" w:firstLine="0"/>
      </w:pPr>
      <w:rPr>
        <w:rFonts w:hint="default" w:asciiTheme="majorEastAsia" w:hAnsiTheme="majorEastAsia" w:eastAsiaTheme="majorEastAsia" w:cstheme="majorEastAsia"/>
      </w:rPr>
    </w:lvl>
  </w:abstractNum>
  <w:abstractNum w:abstractNumId="8">
    <w:nsid w:val="4BB673E4"/>
    <w:multiLevelType w:val="singleLevel"/>
    <w:tmpl w:val="4BB673E4"/>
    <w:lvl w:ilvl="0" w:tentative="0">
      <w:start w:val="1"/>
      <w:numFmt w:val="decimal"/>
      <w:suff w:val="nothing"/>
      <w:lvlText w:val="%1、"/>
      <w:lvlJc w:val="left"/>
      <w:pPr>
        <w:ind w:left="0" w:firstLine="403"/>
      </w:pPr>
      <w:rPr>
        <w:rFonts w:hint="default"/>
      </w:rPr>
    </w:lvl>
  </w:abstractNum>
  <w:abstractNum w:abstractNumId="9">
    <w:nsid w:val="5A54B8FB"/>
    <w:multiLevelType w:val="singleLevel"/>
    <w:tmpl w:val="5A54B8FB"/>
    <w:lvl w:ilvl="0" w:tentative="0">
      <w:start w:val="1"/>
      <w:numFmt w:val="decimal"/>
      <w:suff w:val="nothing"/>
      <w:lvlText w:val="%1、"/>
      <w:lvlJc w:val="left"/>
      <w:pPr>
        <w:ind w:left="0" w:firstLine="403"/>
      </w:pPr>
      <w:rPr>
        <w:rFonts w:hint="default"/>
      </w:rPr>
    </w:lvl>
  </w:abstractNum>
  <w:abstractNum w:abstractNumId="10">
    <w:nsid w:val="5C047BF3"/>
    <w:multiLevelType w:val="singleLevel"/>
    <w:tmpl w:val="5C047BF3"/>
    <w:lvl w:ilvl="0" w:tentative="0">
      <w:start w:val="1"/>
      <w:numFmt w:val="decimal"/>
      <w:suff w:val="nothing"/>
      <w:lvlText w:val="%1、"/>
      <w:lvlJc w:val="left"/>
      <w:pPr>
        <w:ind w:left="0" w:firstLine="403"/>
      </w:pPr>
      <w:rPr>
        <w:rFonts w:hint="default"/>
      </w:rPr>
    </w:lvl>
  </w:abstractNum>
  <w:abstractNum w:abstractNumId="11">
    <w:nsid w:val="620F74E2"/>
    <w:multiLevelType w:val="singleLevel"/>
    <w:tmpl w:val="620F74E2"/>
    <w:lvl w:ilvl="0" w:tentative="0">
      <w:start w:val="1"/>
      <w:numFmt w:val="decimal"/>
      <w:suff w:val="nothing"/>
      <w:lvlText w:val="%1、"/>
      <w:lvlJc w:val="left"/>
      <w:pPr>
        <w:ind w:left="0" w:firstLine="403"/>
      </w:pPr>
      <w:rPr>
        <w:rFonts w:hint="default"/>
      </w:rPr>
    </w:lvl>
  </w:abstractNum>
  <w:abstractNum w:abstractNumId="12">
    <w:nsid w:val="79AD93D3"/>
    <w:multiLevelType w:val="multilevel"/>
    <w:tmpl w:val="79AD93D3"/>
    <w:lvl w:ilvl="0" w:tentative="0">
      <w:start w:val="1"/>
      <w:numFmt w:val="chineseCountingThousand"/>
      <w:lvlText w:val="%1"/>
      <w:lvlJc w:val="left"/>
      <w:pPr>
        <w:tabs>
          <w:tab w:val="left" w:pos="23"/>
        </w:tabs>
        <w:ind w:left="425" w:hanging="402"/>
      </w:pPr>
      <w:rPr>
        <w:rFonts w:hint="eastAsia"/>
        <w:lang w:val="en-US"/>
      </w:rPr>
    </w:lvl>
    <w:lvl w:ilvl="1" w:tentative="0">
      <w:start w:val="1"/>
      <w:numFmt w:val="decimal"/>
      <w:lvlText w:val="%2"/>
      <w:lvlJc w:val="left"/>
      <w:pPr>
        <w:tabs>
          <w:tab w:val="left" w:pos="454"/>
        </w:tabs>
        <w:ind w:left="454" w:hanging="254"/>
      </w:pPr>
      <w:rPr>
        <w:rFonts w:hint="eastAsia" w:ascii="宋体" w:hAnsi="宋体" w:eastAsia="宋体"/>
        <w:sz w:val="24"/>
        <w:szCs w:val="24"/>
        <w:lang w:val="en-US" w:eastAsia="zh-CN"/>
      </w:rPr>
    </w:lvl>
    <w:lvl w:ilvl="2" w:tentative="0">
      <w:start w:val="1"/>
      <w:numFmt w:val="decimal"/>
      <w:lvlText w:val="%2.%3"/>
      <w:lvlJc w:val="left"/>
      <w:pPr>
        <w:tabs>
          <w:tab w:val="left" w:pos="879"/>
        </w:tabs>
        <w:ind w:left="879" w:hanging="454"/>
      </w:pPr>
      <w:rPr>
        <w:rFonts w:hint="eastAsia" w:ascii="宋体" w:hAnsi="宋体" w:eastAsia="宋体"/>
        <w:b w:val="0"/>
        <w:sz w:val="24"/>
        <w:szCs w:val="24"/>
        <w:lang w:val="en-US" w:eastAsia="zh-CN"/>
      </w:rPr>
    </w:lvl>
    <w:lvl w:ilvl="3" w:tentative="0">
      <w:start w:val="1"/>
      <w:numFmt w:val="decimal"/>
      <w:lvlText w:val="%2.%3.%4"/>
      <w:lvlJc w:val="left"/>
      <w:pPr>
        <w:tabs>
          <w:tab w:val="left" w:pos="1332"/>
        </w:tabs>
        <w:ind w:left="1332" w:hanging="680"/>
      </w:pPr>
      <w:rPr>
        <w:rFonts w:hint="eastAsia" w:ascii="宋体" w:hAnsi="宋体" w:eastAsia="宋体"/>
        <w:b w:val="0"/>
        <w:sz w:val="24"/>
        <w:szCs w:val="24"/>
      </w:rPr>
    </w:lvl>
    <w:lvl w:ilvl="4" w:tentative="0">
      <w:start w:val="1"/>
      <w:numFmt w:val="decimal"/>
      <w:lvlText w:val="%2.%3.%4.%5"/>
      <w:lvlJc w:val="left"/>
      <w:pPr>
        <w:tabs>
          <w:tab w:val="left" w:pos="0"/>
        </w:tabs>
        <w:ind w:left="2551" w:hanging="850"/>
      </w:pPr>
      <w:rPr>
        <w:rFonts w:hint="eastAsia"/>
      </w:rPr>
    </w:lvl>
    <w:lvl w:ilvl="5" w:tentative="0">
      <w:start w:val="1"/>
      <w:numFmt w:val="decimal"/>
      <w:lvlText w:val="%1.%2.%3.%4.%5.%6"/>
      <w:lvlJc w:val="left"/>
      <w:pPr>
        <w:tabs>
          <w:tab w:val="left" w:pos="0"/>
        </w:tabs>
        <w:ind w:left="3260" w:hanging="1134"/>
      </w:pPr>
      <w:rPr>
        <w:rFonts w:hint="eastAsia"/>
      </w:rPr>
    </w:lvl>
    <w:lvl w:ilvl="6" w:tentative="0">
      <w:start w:val="1"/>
      <w:numFmt w:val="decimal"/>
      <w:lvlText w:val="%1.%2.%3.%4.%5.%6.%7"/>
      <w:lvlJc w:val="left"/>
      <w:pPr>
        <w:tabs>
          <w:tab w:val="left" w:pos="0"/>
        </w:tabs>
        <w:ind w:left="3827" w:hanging="1276"/>
      </w:pPr>
      <w:rPr>
        <w:rFonts w:hint="eastAsia"/>
      </w:rPr>
    </w:lvl>
    <w:lvl w:ilvl="7" w:tentative="0">
      <w:start w:val="1"/>
      <w:numFmt w:val="decimal"/>
      <w:lvlText w:val="%1.%2.%3.%4.%5.%6.%7.%8"/>
      <w:lvlJc w:val="left"/>
      <w:pPr>
        <w:tabs>
          <w:tab w:val="left" w:pos="0"/>
        </w:tabs>
        <w:ind w:left="4394" w:hanging="1418"/>
      </w:pPr>
      <w:rPr>
        <w:rFonts w:hint="eastAsia"/>
      </w:rPr>
    </w:lvl>
    <w:lvl w:ilvl="8" w:tentative="0">
      <w:start w:val="1"/>
      <w:numFmt w:val="decimal"/>
      <w:lvlText w:val="%1.%2.%3.%4.%5.%6.%7.%8.%9"/>
      <w:lvlJc w:val="left"/>
      <w:pPr>
        <w:tabs>
          <w:tab w:val="left" w:pos="0"/>
        </w:tabs>
        <w:ind w:left="5102" w:hanging="1700"/>
      </w:pPr>
      <w:rPr>
        <w:rFonts w:hint="eastAsia"/>
      </w:rPr>
    </w:lvl>
  </w:abstractNum>
  <w:num w:numId="1">
    <w:abstractNumId w:val="5"/>
  </w:num>
  <w:num w:numId="2">
    <w:abstractNumId w:val="4"/>
  </w:num>
  <w:num w:numId="3">
    <w:abstractNumId w:val="8"/>
  </w:num>
  <w:num w:numId="4">
    <w:abstractNumId w:val="11"/>
  </w:num>
  <w:num w:numId="5">
    <w:abstractNumId w:val="0"/>
  </w:num>
  <w:num w:numId="6">
    <w:abstractNumId w:val="1"/>
  </w:num>
  <w:num w:numId="7">
    <w:abstractNumId w:val="9"/>
  </w:num>
  <w:num w:numId="8">
    <w:abstractNumId w:val="10"/>
  </w:num>
  <w:num w:numId="9">
    <w:abstractNumId w:val="12"/>
  </w:num>
  <w:num w:numId="10">
    <w:abstractNumId w:val="3"/>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4ODA5MDRkNmQ2MWU3ZTNkZWMxYzAyNWNmMTZlNTcifQ=="/>
  </w:docVars>
  <w:rsids>
    <w:rsidRoot w:val="00172A27"/>
    <w:rsid w:val="00036B62"/>
    <w:rsid w:val="000443F1"/>
    <w:rsid w:val="00044975"/>
    <w:rsid w:val="000500FB"/>
    <w:rsid w:val="00053F0E"/>
    <w:rsid w:val="00055402"/>
    <w:rsid w:val="000560A0"/>
    <w:rsid w:val="00063E1C"/>
    <w:rsid w:val="0006744E"/>
    <w:rsid w:val="0007396E"/>
    <w:rsid w:val="00091CF2"/>
    <w:rsid w:val="000928B9"/>
    <w:rsid w:val="000A4069"/>
    <w:rsid w:val="000A5BC2"/>
    <w:rsid w:val="000B375A"/>
    <w:rsid w:val="000B7A59"/>
    <w:rsid w:val="000C0D62"/>
    <w:rsid w:val="000D4B8F"/>
    <w:rsid w:val="000E4AF2"/>
    <w:rsid w:val="00104E93"/>
    <w:rsid w:val="00114077"/>
    <w:rsid w:val="00121723"/>
    <w:rsid w:val="00157B75"/>
    <w:rsid w:val="00162198"/>
    <w:rsid w:val="00172924"/>
    <w:rsid w:val="00172A27"/>
    <w:rsid w:val="00183B43"/>
    <w:rsid w:val="0019096D"/>
    <w:rsid w:val="00191320"/>
    <w:rsid w:val="00192E07"/>
    <w:rsid w:val="001970D4"/>
    <w:rsid w:val="001A269D"/>
    <w:rsid w:val="001A5BC5"/>
    <w:rsid w:val="001C6B92"/>
    <w:rsid w:val="001D2720"/>
    <w:rsid w:val="001E1F24"/>
    <w:rsid w:val="001F5A55"/>
    <w:rsid w:val="002014E7"/>
    <w:rsid w:val="00202602"/>
    <w:rsid w:val="00214B81"/>
    <w:rsid w:val="0022523A"/>
    <w:rsid w:val="00233382"/>
    <w:rsid w:val="00237C00"/>
    <w:rsid w:val="0024491D"/>
    <w:rsid w:val="002513EC"/>
    <w:rsid w:val="00251D4C"/>
    <w:rsid w:val="0025311E"/>
    <w:rsid w:val="002860C2"/>
    <w:rsid w:val="002A0269"/>
    <w:rsid w:val="002A28B1"/>
    <w:rsid w:val="002C6CC1"/>
    <w:rsid w:val="002D3D39"/>
    <w:rsid w:val="002E0967"/>
    <w:rsid w:val="002E0DFD"/>
    <w:rsid w:val="003042BE"/>
    <w:rsid w:val="0031597B"/>
    <w:rsid w:val="0032520A"/>
    <w:rsid w:val="00334445"/>
    <w:rsid w:val="00337CE0"/>
    <w:rsid w:val="0034044F"/>
    <w:rsid w:val="00361496"/>
    <w:rsid w:val="0037620A"/>
    <w:rsid w:val="00380485"/>
    <w:rsid w:val="003811EA"/>
    <w:rsid w:val="00386ADC"/>
    <w:rsid w:val="00392F88"/>
    <w:rsid w:val="003A074A"/>
    <w:rsid w:val="003A3A08"/>
    <w:rsid w:val="003B06CC"/>
    <w:rsid w:val="003B38BE"/>
    <w:rsid w:val="003B526F"/>
    <w:rsid w:val="003B699D"/>
    <w:rsid w:val="003E0D93"/>
    <w:rsid w:val="004106EC"/>
    <w:rsid w:val="00412B0E"/>
    <w:rsid w:val="004149F0"/>
    <w:rsid w:val="00414BF5"/>
    <w:rsid w:val="00417A31"/>
    <w:rsid w:val="004212AD"/>
    <w:rsid w:val="00422D0A"/>
    <w:rsid w:val="00433CB2"/>
    <w:rsid w:val="00447493"/>
    <w:rsid w:val="00456FE3"/>
    <w:rsid w:val="0046442B"/>
    <w:rsid w:val="00466D1D"/>
    <w:rsid w:val="004702BB"/>
    <w:rsid w:val="00472930"/>
    <w:rsid w:val="0047774E"/>
    <w:rsid w:val="00482D0F"/>
    <w:rsid w:val="00491369"/>
    <w:rsid w:val="0049367E"/>
    <w:rsid w:val="00496CAA"/>
    <w:rsid w:val="004A14B9"/>
    <w:rsid w:val="004A7BE2"/>
    <w:rsid w:val="004B1082"/>
    <w:rsid w:val="004B7549"/>
    <w:rsid w:val="00534EA9"/>
    <w:rsid w:val="00566395"/>
    <w:rsid w:val="005678AA"/>
    <w:rsid w:val="00584DB8"/>
    <w:rsid w:val="00587A97"/>
    <w:rsid w:val="0059437A"/>
    <w:rsid w:val="005A781E"/>
    <w:rsid w:val="005B029F"/>
    <w:rsid w:val="005B7E1D"/>
    <w:rsid w:val="005D2D8F"/>
    <w:rsid w:val="005F73AC"/>
    <w:rsid w:val="00620FC5"/>
    <w:rsid w:val="00623490"/>
    <w:rsid w:val="00633E15"/>
    <w:rsid w:val="00646F00"/>
    <w:rsid w:val="00647E18"/>
    <w:rsid w:val="00652FC2"/>
    <w:rsid w:val="00657D9B"/>
    <w:rsid w:val="00666AC3"/>
    <w:rsid w:val="00682919"/>
    <w:rsid w:val="00682983"/>
    <w:rsid w:val="00684603"/>
    <w:rsid w:val="00690E08"/>
    <w:rsid w:val="00691286"/>
    <w:rsid w:val="006974A6"/>
    <w:rsid w:val="006A368F"/>
    <w:rsid w:val="006A5E86"/>
    <w:rsid w:val="006A70E7"/>
    <w:rsid w:val="006B6667"/>
    <w:rsid w:val="006C7114"/>
    <w:rsid w:val="006C7619"/>
    <w:rsid w:val="006D7894"/>
    <w:rsid w:val="006F3924"/>
    <w:rsid w:val="006F3928"/>
    <w:rsid w:val="007049A9"/>
    <w:rsid w:val="00707802"/>
    <w:rsid w:val="00717184"/>
    <w:rsid w:val="00721C16"/>
    <w:rsid w:val="00723137"/>
    <w:rsid w:val="00727DCC"/>
    <w:rsid w:val="00735FAA"/>
    <w:rsid w:val="00736649"/>
    <w:rsid w:val="00745071"/>
    <w:rsid w:val="00746348"/>
    <w:rsid w:val="007463BA"/>
    <w:rsid w:val="0077615C"/>
    <w:rsid w:val="00791154"/>
    <w:rsid w:val="007A461A"/>
    <w:rsid w:val="007A5762"/>
    <w:rsid w:val="007C4EAC"/>
    <w:rsid w:val="007D4428"/>
    <w:rsid w:val="007D494D"/>
    <w:rsid w:val="007D7C49"/>
    <w:rsid w:val="007E2984"/>
    <w:rsid w:val="007F274A"/>
    <w:rsid w:val="0080102E"/>
    <w:rsid w:val="00817188"/>
    <w:rsid w:val="00820E51"/>
    <w:rsid w:val="00821ADF"/>
    <w:rsid w:val="00823B69"/>
    <w:rsid w:val="00823D0C"/>
    <w:rsid w:val="00834305"/>
    <w:rsid w:val="0083633F"/>
    <w:rsid w:val="0083730F"/>
    <w:rsid w:val="00854C8B"/>
    <w:rsid w:val="0085535E"/>
    <w:rsid w:val="00870120"/>
    <w:rsid w:val="008737C9"/>
    <w:rsid w:val="008831D1"/>
    <w:rsid w:val="00883955"/>
    <w:rsid w:val="00891046"/>
    <w:rsid w:val="0089515A"/>
    <w:rsid w:val="008A2F47"/>
    <w:rsid w:val="008C18DD"/>
    <w:rsid w:val="008D1678"/>
    <w:rsid w:val="008E5441"/>
    <w:rsid w:val="008E6E31"/>
    <w:rsid w:val="008F55D7"/>
    <w:rsid w:val="009075AC"/>
    <w:rsid w:val="00915337"/>
    <w:rsid w:val="009176FC"/>
    <w:rsid w:val="0092585B"/>
    <w:rsid w:val="00927477"/>
    <w:rsid w:val="00931DA6"/>
    <w:rsid w:val="00936AB0"/>
    <w:rsid w:val="00955E5A"/>
    <w:rsid w:val="009764EA"/>
    <w:rsid w:val="009823BE"/>
    <w:rsid w:val="009900D2"/>
    <w:rsid w:val="00995E31"/>
    <w:rsid w:val="009A551B"/>
    <w:rsid w:val="009A5EB4"/>
    <w:rsid w:val="009B6FC6"/>
    <w:rsid w:val="009C444F"/>
    <w:rsid w:val="009D4E34"/>
    <w:rsid w:val="009D5D8B"/>
    <w:rsid w:val="009D6853"/>
    <w:rsid w:val="009E23CA"/>
    <w:rsid w:val="009F436E"/>
    <w:rsid w:val="009F4F46"/>
    <w:rsid w:val="00A00649"/>
    <w:rsid w:val="00A032ED"/>
    <w:rsid w:val="00A10F96"/>
    <w:rsid w:val="00A13DE4"/>
    <w:rsid w:val="00A16F79"/>
    <w:rsid w:val="00A34994"/>
    <w:rsid w:val="00A4358C"/>
    <w:rsid w:val="00A829FC"/>
    <w:rsid w:val="00A90AFB"/>
    <w:rsid w:val="00AA6AE6"/>
    <w:rsid w:val="00AC55A3"/>
    <w:rsid w:val="00AC6328"/>
    <w:rsid w:val="00AE4BA9"/>
    <w:rsid w:val="00AF439A"/>
    <w:rsid w:val="00B22300"/>
    <w:rsid w:val="00B25C34"/>
    <w:rsid w:val="00B42CBC"/>
    <w:rsid w:val="00B54C71"/>
    <w:rsid w:val="00B56EB7"/>
    <w:rsid w:val="00B61FA0"/>
    <w:rsid w:val="00B62A67"/>
    <w:rsid w:val="00B64D01"/>
    <w:rsid w:val="00B721E8"/>
    <w:rsid w:val="00B75CA1"/>
    <w:rsid w:val="00B76D84"/>
    <w:rsid w:val="00BA0564"/>
    <w:rsid w:val="00BA5428"/>
    <w:rsid w:val="00BD20AE"/>
    <w:rsid w:val="00BD2DA5"/>
    <w:rsid w:val="00BE279E"/>
    <w:rsid w:val="00BE49D7"/>
    <w:rsid w:val="00BF605B"/>
    <w:rsid w:val="00C11935"/>
    <w:rsid w:val="00C167BA"/>
    <w:rsid w:val="00C16E60"/>
    <w:rsid w:val="00C20D2F"/>
    <w:rsid w:val="00C3587B"/>
    <w:rsid w:val="00C37A84"/>
    <w:rsid w:val="00C44587"/>
    <w:rsid w:val="00C523CB"/>
    <w:rsid w:val="00C525D0"/>
    <w:rsid w:val="00C92194"/>
    <w:rsid w:val="00CA6C88"/>
    <w:rsid w:val="00CB2A31"/>
    <w:rsid w:val="00CC62ED"/>
    <w:rsid w:val="00CD0106"/>
    <w:rsid w:val="00CD1424"/>
    <w:rsid w:val="00CF14CC"/>
    <w:rsid w:val="00CF738B"/>
    <w:rsid w:val="00D029EF"/>
    <w:rsid w:val="00D07A04"/>
    <w:rsid w:val="00D13640"/>
    <w:rsid w:val="00D16D6E"/>
    <w:rsid w:val="00D332EF"/>
    <w:rsid w:val="00D63F11"/>
    <w:rsid w:val="00D77A8B"/>
    <w:rsid w:val="00D80D29"/>
    <w:rsid w:val="00D81687"/>
    <w:rsid w:val="00D819E4"/>
    <w:rsid w:val="00D90462"/>
    <w:rsid w:val="00D92C03"/>
    <w:rsid w:val="00DC5D56"/>
    <w:rsid w:val="00DC65A1"/>
    <w:rsid w:val="00DD60C4"/>
    <w:rsid w:val="00DD6296"/>
    <w:rsid w:val="00DD6874"/>
    <w:rsid w:val="00DE1228"/>
    <w:rsid w:val="00DF57FA"/>
    <w:rsid w:val="00E01A47"/>
    <w:rsid w:val="00E16827"/>
    <w:rsid w:val="00E1738E"/>
    <w:rsid w:val="00E21DF8"/>
    <w:rsid w:val="00E2334D"/>
    <w:rsid w:val="00E437A4"/>
    <w:rsid w:val="00E578D7"/>
    <w:rsid w:val="00E734E0"/>
    <w:rsid w:val="00E75D09"/>
    <w:rsid w:val="00E80D2B"/>
    <w:rsid w:val="00E8139A"/>
    <w:rsid w:val="00E931FC"/>
    <w:rsid w:val="00E95DDB"/>
    <w:rsid w:val="00EA1F38"/>
    <w:rsid w:val="00EB1449"/>
    <w:rsid w:val="00EB5EF9"/>
    <w:rsid w:val="00EC6340"/>
    <w:rsid w:val="00EC7A7C"/>
    <w:rsid w:val="00ED182A"/>
    <w:rsid w:val="00ED67F7"/>
    <w:rsid w:val="00EE0F7B"/>
    <w:rsid w:val="00EE683F"/>
    <w:rsid w:val="00EF4581"/>
    <w:rsid w:val="00F26F2D"/>
    <w:rsid w:val="00F30820"/>
    <w:rsid w:val="00F3448E"/>
    <w:rsid w:val="00F35379"/>
    <w:rsid w:val="00F5657B"/>
    <w:rsid w:val="00F573A3"/>
    <w:rsid w:val="00F729AA"/>
    <w:rsid w:val="00F75B00"/>
    <w:rsid w:val="00F816FE"/>
    <w:rsid w:val="00F85351"/>
    <w:rsid w:val="00F95940"/>
    <w:rsid w:val="00FA2AC7"/>
    <w:rsid w:val="00FA7500"/>
    <w:rsid w:val="00FA7B69"/>
    <w:rsid w:val="00FB3D84"/>
    <w:rsid w:val="00FB7853"/>
    <w:rsid w:val="00FD727D"/>
    <w:rsid w:val="00FE6BB6"/>
    <w:rsid w:val="00FF6C72"/>
    <w:rsid w:val="00FF6EAA"/>
    <w:rsid w:val="01066A48"/>
    <w:rsid w:val="01283F2B"/>
    <w:rsid w:val="0175719D"/>
    <w:rsid w:val="01CD27FC"/>
    <w:rsid w:val="02142E8A"/>
    <w:rsid w:val="026B3CA4"/>
    <w:rsid w:val="02D61935"/>
    <w:rsid w:val="02ED69DF"/>
    <w:rsid w:val="02F5665B"/>
    <w:rsid w:val="0379487A"/>
    <w:rsid w:val="038B5232"/>
    <w:rsid w:val="03E43082"/>
    <w:rsid w:val="0485229B"/>
    <w:rsid w:val="04FF3EDA"/>
    <w:rsid w:val="05611101"/>
    <w:rsid w:val="057B088D"/>
    <w:rsid w:val="059D7D06"/>
    <w:rsid w:val="05B82AAB"/>
    <w:rsid w:val="05BF6F33"/>
    <w:rsid w:val="05C7576A"/>
    <w:rsid w:val="05F978F5"/>
    <w:rsid w:val="061E4834"/>
    <w:rsid w:val="0689219A"/>
    <w:rsid w:val="06D610C4"/>
    <w:rsid w:val="07084A6F"/>
    <w:rsid w:val="07250EAC"/>
    <w:rsid w:val="07257CEE"/>
    <w:rsid w:val="079C4B1A"/>
    <w:rsid w:val="07E775D3"/>
    <w:rsid w:val="08273E74"/>
    <w:rsid w:val="0843126D"/>
    <w:rsid w:val="08916B17"/>
    <w:rsid w:val="08971B5D"/>
    <w:rsid w:val="09102479"/>
    <w:rsid w:val="09624B8B"/>
    <w:rsid w:val="09A97B34"/>
    <w:rsid w:val="09E1141C"/>
    <w:rsid w:val="0A225B52"/>
    <w:rsid w:val="0A3E5BBE"/>
    <w:rsid w:val="0B5F6506"/>
    <w:rsid w:val="0BD1660A"/>
    <w:rsid w:val="0C445214"/>
    <w:rsid w:val="0C9C688C"/>
    <w:rsid w:val="0CA23253"/>
    <w:rsid w:val="0CCF0636"/>
    <w:rsid w:val="0CDC6843"/>
    <w:rsid w:val="0CEA5470"/>
    <w:rsid w:val="0D0437B7"/>
    <w:rsid w:val="0D196791"/>
    <w:rsid w:val="0D444B80"/>
    <w:rsid w:val="0D4A34CA"/>
    <w:rsid w:val="0D6431FC"/>
    <w:rsid w:val="0D643474"/>
    <w:rsid w:val="0D662EE3"/>
    <w:rsid w:val="0DDC300B"/>
    <w:rsid w:val="0E7C7601"/>
    <w:rsid w:val="0EA20B86"/>
    <w:rsid w:val="0F6F64BC"/>
    <w:rsid w:val="0F7A7AE0"/>
    <w:rsid w:val="0F8432C0"/>
    <w:rsid w:val="0F8F47E6"/>
    <w:rsid w:val="0FAA7421"/>
    <w:rsid w:val="1008563A"/>
    <w:rsid w:val="104D4694"/>
    <w:rsid w:val="11026B22"/>
    <w:rsid w:val="11335637"/>
    <w:rsid w:val="114B2F3A"/>
    <w:rsid w:val="11644B31"/>
    <w:rsid w:val="11756527"/>
    <w:rsid w:val="11AE130F"/>
    <w:rsid w:val="11C30742"/>
    <w:rsid w:val="129837F3"/>
    <w:rsid w:val="12A97CC8"/>
    <w:rsid w:val="12F00A54"/>
    <w:rsid w:val="12F6294F"/>
    <w:rsid w:val="13310D1E"/>
    <w:rsid w:val="134753CA"/>
    <w:rsid w:val="13491142"/>
    <w:rsid w:val="1364117D"/>
    <w:rsid w:val="136C1AF4"/>
    <w:rsid w:val="13A539BB"/>
    <w:rsid w:val="145B10EE"/>
    <w:rsid w:val="14720BFC"/>
    <w:rsid w:val="1505470D"/>
    <w:rsid w:val="1527095B"/>
    <w:rsid w:val="15421C0E"/>
    <w:rsid w:val="155861AA"/>
    <w:rsid w:val="155E5B17"/>
    <w:rsid w:val="159D66B8"/>
    <w:rsid w:val="16062662"/>
    <w:rsid w:val="16064466"/>
    <w:rsid w:val="16991362"/>
    <w:rsid w:val="16996A2D"/>
    <w:rsid w:val="16B32D77"/>
    <w:rsid w:val="16B74D42"/>
    <w:rsid w:val="16F72C63"/>
    <w:rsid w:val="171F21BA"/>
    <w:rsid w:val="17253C74"/>
    <w:rsid w:val="175266B6"/>
    <w:rsid w:val="17F024D2"/>
    <w:rsid w:val="183C17B4"/>
    <w:rsid w:val="18617A53"/>
    <w:rsid w:val="18B356EF"/>
    <w:rsid w:val="18D5553A"/>
    <w:rsid w:val="18EA0DF9"/>
    <w:rsid w:val="18F17DCC"/>
    <w:rsid w:val="197113F3"/>
    <w:rsid w:val="19782A45"/>
    <w:rsid w:val="19B80C07"/>
    <w:rsid w:val="19D37D32"/>
    <w:rsid w:val="1A134258"/>
    <w:rsid w:val="1AA70574"/>
    <w:rsid w:val="1AF82D79"/>
    <w:rsid w:val="1AFB73D3"/>
    <w:rsid w:val="1AFC2A8C"/>
    <w:rsid w:val="1B100797"/>
    <w:rsid w:val="1B517FC5"/>
    <w:rsid w:val="1B656EF0"/>
    <w:rsid w:val="1B8076CB"/>
    <w:rsid w:val="1B8C7BFB"/>
    <w:rsid w:val="1B943177"/>
    <w:rsid w:val="1BC503C6"/>
    <w:rsid w:val="1C506EEE"/>
    <w:rsid w:val="1C550715"/>
    <w:rsid w:val="1C5823F6"/>
    <w:rsid w:val="1C5E76BD"/>
    <w:rsid w:val="1C676ADD"/>
    <w:rsid w:val="1C6D0909"/>
    <w:rsid w:val="1CB6536F"/>
    <w:rsid w:val="1CBE55D6"/>
    <w:rsid w:val="1CD67C00"/>
    <w:rsid w:val="1D260771"/>
    <w:rsid w:val="1D381494"/>
    <w:rsid w:val="1D5A219E"/>
    <w:rsid w:val="1D7F1EAE"/>
    <w:rsid w:val="1D9C5A80"/>
    <w:rsid w:val="1DAE6E1D"/>
    <w:rsid w:val="1DDA1362"/>
    <w:rsid w:val="1E08390A"/>
    <w:rsid w:val="1E262080"/>
    <w:rsid w:val="1E6942FC"/>
    <w:rsid w:val="1E7D4396"/>
    <w:rsid w:val="1E964D21"/>
    <w:rsid w:val="1EA44077"/>
    <w:rsid w:val="1F550ABC"/>
    <w:rsid w:val="1F7532BF"/>
    <w:rsid w:val="1F901EA7"/>
    <w:rsid w:val="1F912A3F"/>
    <w:rsid w:val="1FAA1CAD"/>
    <w:rsid w:val="1FE05965"/>
    <w:rsid w:val="1FE230BF"/>
    <w:rsid w:val="1FF43C20"/>
    <w:rsid w:val="2004089B"/>
    <w:rsid w:val="2006135F"/>
    <w:rsid w:val="20095014"/>
    <w:rsid w:val="200F5EA7"/>
    <w:rsid w:val="20531852"/>
    <w:rsid w:val="206330D1"/>
    <w:rsid w:val="20A63FEA"/>
    <w:rsid w:val="20AC2D10"/>
    <w:rsid w:val="20DB53A4"/>
    <w:rsid w:val="21531B6F"/>
    <w:rsid w:val="218E0BE6"/>
    <w:rsid w:val="21F90B6E"/>
    <w:rsid w:val="222A0391"/>
    <w:rsid w:val="224E63DC"/>
    <w:rsid w:val="22641EEA"/>
    <w:rsid w:val="226A3156"/>
    <w:rsid w:val="227B749F"/>
    <w:rsid w:val="22B528C3"/>
    <w:rsid w:val="22F62969"/>
    <w:rsid w:val="23207E57"/>
    <w:rsid w:val="23492DDF"/>
    <w:rsid w:val="238D7ADD"/>
    <w:rsid w:val="23B95E70"/>
    <w:rsid w:val="23C32069"/>
    <w:rsid w:val="247A5D05"/>
    <w:rsid w:val="24EE7D9B"/>
    <w:rsid w:val="25014116"/>
    <w:rsid w:val="255D363B"/>
    <w:rsid w:val="256A6DCF"/>
    <w:rsid w:val="25864D7E"/>
    <w:rsid w:val="26263A75"/>
    <w:rsid w:val="26695200"/>
    <w:rsid w:val="26E72932"/>
    <w:rsid w:val="275A2B3A"/>
    <w:rsid w:val="27AC7A9A"/>
    <w:rsid w:val="27B32BD6"/>
    <w:rsid w:val="27B35A24"/>
    <w:rsid w:val="27B87CBF"/>
    <w:rsid w:val="28892FA3"/>
    <w:rsid w:val="29217724"/>
    <w:rsid w:val="29274B33"/>
    <w:rsid w:val="29311437"/>
    <w:rsid w:val="2958675C"/>
    <w:rsid w:val="29D551AF"/>
    <w:rsid w:val="2A18198D"/>
    <w:rsid w:val="2A6E48D2"/>
    <w:rsid w:val="2AD50FA5"/>
    <w:rsid w:val="2B0E7CF7"/>
    <w:rsid w:val="2B390CD0"/>
    <w:rsid w:val="2B524EA4"/>
    <w:rsid w:val="2B5B2411"/>
    <w:rsid w:val="2C8E6BD9"/>
    <w:rsid w:val="2C8F0A51"/>
    <w:rsid w:val="2D040371"/>
    <w:rsid w:val="2D343B53"/>
    <w:rsid w:val="2D532EE1"/>
    <w:rsid w:val="2D6C0446"/>
    <w:rsid w:val="2DAD2E96"/>
    <w:rsid w:val="2DD36DD2"/>
    <w:rsid w:val="2E2627B5"/>
    <w:rsid w:val="2EEE7A7F"/>
    <w:rsid w:val="2F266BA7"/>
    <w:rsid w:val="2FD600FB"/>
    <w:rsid w:val="305B593F"/>
    <w:rsid w:val="307D1FD3"/>
    <w:rsid w:val="31464ABB"/>
    <w:rsid w:val="316775C0"/>
    <w:rsid w:val="31794E91"/>
    <w:rsid w:val="31AC4A62"/>
    <w:rsid w:val="31BC0551"/>
    <w:rsid w:val="3212499D"/>
    <w:rsid w:val="32707F73"/>
    <w:rsid w:val="329B0E37"/>
    <w:rsid w:val="32A42E13"/>
    <w:rsid w:val="332933D4"/>
    <w:rsid w:val="338262A8"/>
    <w:rsid w:val="33FE7C29"/>
    <w:rsid w:val="34233BFB"/>
    <w:rsid w:val="343F10D3"/>
    <w:rsid w:val="344D6161"/>
    <w:rsid w:val="34C06933"/>
    <w:rsid w:val="34CC4FFC"/>
    <w:rsid w:val="35020E67"/>
    <w:rsid w:val="35686349"/>
    <w:rsid w:val="357A02CB"/>
    <w:rsid w:val="359E55F9"/>
    <w:rsid w:val="35C3492C"/>
    <w:rsid w:val="3600197E"/>
    <w:rsid w:val="36106DF5"/>
    <w:rsid w:val="366A497B"/>
    <w:rsid w:val="36DF2D29"/>
    <w:rsid w:val="36FA40CB"/>
    <w:rsid w:val="37270EEB"/>
    <w:rsid w:val="37A16E98"/>
    <w:rsid w:val="38190834"/>
    <w:rsid w:val="38316049"/>
    <w:rsid w:val="3872401D"/>
    <w:rsid w:val="38C435EF"/>
    <w:rsid w:val="38F02C04"/>
    <w:rsid w:val="392B06EA"/>
    <w:rsid w:val="39567866"/>
    <w:rsid w:val="397523E2"/>
    <w:rsid w:val="39B966FD"/>
    <w:rsid w:val="39E31391"/>
    <w:rsid w:val="39F3097C"/>
    <w:rsid w:val="39FD24D7"/>
    <w:rsid w:val="39FD5F33"/>
    <w:rsid w:val="3A071BDA"/>
    <w:rsid w:val="3A12270B"/>
    <w:rsid w:val="3A256C5F"/>
    <w:rsid w:val="3A8A3507"/>
    <w:rsid w:val="3AC23405"/>
    <w:rsid w:val="3AC752D9"/>
    <w:rsid w:val="3ADB44C6"/>
    <w:rsid w:val="3AE62588"/>
    <w:rsid w:val="3BCD1463"/>
    <w:rsid w:val="3BF523F3"/>
    <w:rsid w:val="3C0435A9"/>
    <w:rsid w:val="3C1A101E"/>
    <w:rsid w:val="3C8F3496"/>
    <w:rsid w:val="3C9439CC"/>
    <w:rsid w:val="3D45031D"/>
    <w:rsid w:val="3D4C16AB"/>
    <w:rsid w:val="3D752E8D"/>
    <w:rsid w:val="3DD44C2E"/>
    <w:rsid w:val="3DE370AD"/>
    <w:rsid w:val="3DF65F15"/>
    <w:rsid w:val="3E8C1449"/>
    <w:rsid w:val="3EB91C76"/>
    <w:rsid w:val="3EC1677D"/>
    <w:rsid w:val="3EDD043A"/>
    <w:rsid w:val="3F0E1D80"/>
    <w:rsid w:val="3F4F1F37"/>
    <w:rsid w:val="3F762A0F"/>
    <w:rsid w:val="3FC65745"/>
    <w:rsid w:val="3FDA1064"/>
    <w:rsid w:val="40570BD3"/>
    <w:rsid w:val="40906255"/>
    <w:rsid w:val="411B1C2B"/>
    <w:rsid w:val="41281AE7"/>
    <w:rsid w:val="41666243"/>
    <w:rsid w:val="41752A69"/>
    <w:rsid w:val="41753331"/>
    <w:rsid w:val="41F36599"/>
    <w:rsid w:val="421066A2"/>
    <w:rsid w:val="428E43EC"/>
    <w:rsid w:val="42903DE8"/>
    <w:rsid w:val="42C341BE"/>
    <w:rsid w:val="430732EE"/>
    <w:rsid w:val="430D368B"/>
    <w:rsid w:val="43E6695B"/>
    <w:rsid w:val="44020660"/>
    <w:rsid w:val="442B3C31"/>
    <w:rsid w:val="44570334"/>
    <w:rsid w:val="44A74027"/>
    <w:rsid w:val="44C91833"/>
    <w:rsid w:val="44DD614A"/>
    <w:rsid w:val="4528655A"/>
    <w:rsid w:val="45B107B8"/>
    <w:rsid w:val="45D24718"/>
    <w:rsid w:val="471D7DA5"/>
    <w:rsid w:val="474433F3"/>
    <w:rsid w:val="475C4A87"/>
    <w:rsid w:val="47CE717D"/>
    <w:rsid w:val="4848504C"/>
    <w:rsid w:val="486608B2"/>
    <w:rsid w:val="48695B04"/>
    <w:rsid w:val="48742673"/>
    <w:rsid w:val="487B161C"/>
    <w:rsid w:val="490E5A67"/>
    <w:rsid w:val="490F596F"/>
    <w:rsid w:val="493A5A6D"/>
    <w:rsid w:val="493E459E"/>
    <w:rsid w:val="496D6C31"/>
    <w:rsid w:val="499455FD"/>
    <w:rsid w:val="49E07016"/>
    <w:rsid w:val="4A135E4E"/>
    <w:rsid w:val="4A7A1724"/>
    <w:rsid w:val="4A8D237C"/>
    <w:rsid w:val="4A902F9D"/>
    <w:rsid w:val="4AF40C8C"/>
    <w:rsid w:val="4B15132F"/>
    <w:rsid w:val="4BBC17AA"/>
    <w:rsid w:val="4BC32B39"/>
    <w:rsid w:val="4BE1359C"/>
    <w:rsid w:val="4C1F5C0B"/>
    <w:rsid w:val="4C8C6F39"/>
    <w:rsid w:val="4CA07342"/>
    <w:rsid w:val="4D7B7BA7"/>
    <w:rsid w:val="4D7F3A7B"/>
    <w:rsid w:val="4D844FB7"/>
    <w:rsid w:val="4D9F75D5"/>
    <w:rsid w:val="4DAE54EA"/>
    <w:rsid w:val="4DBB59E1"/>
    <w:rsid w:val="4DC04D90"/>
    <w:rsid w:val="4DCF2E52"/>
    <w:rsid w:val="4E072A46"/>
    <w:rsid w:val="4E5009CC"/>
    <w:rsid w:val="4E702F96"/>
    <w:rsid w:val="4E78330D"/>
    <w:rsid w:val="4E982244"/>
    <w:rsid w:val="4EAD187E"/>
    <w:rsid w:val="4EC65B6A"/>
    <w:rsid w:val="4EE35CB0"/>
    <w:rsid w:val="4F8B6063"/>
    <w:rsid w:val="4FD67F09"/>
    <w:rsid w:val="506C2A5D"/>
    <w:rsid w:val="507E1724"/>
    <w:rsid w:val="512F1FEA"/>
    <w:rsid w:val="51947776"/>
    <w:rsid w:val="51CD19A5"/>
    <w:rsid w:val="523E3EF8"/>
    <w:rsid w:val="52551D90"/>
    <w:rsid w:val="526D0736"/>
    <w:rsid w:val="52892218"/>
    <w:rsid w:val="529F5982"/>
    <w:rsid w:val="52D37249"/>
    <w:rsid w:val="52E64B11"/>
    <w:rsid w:val="53402315"/>
    <w:rsid w:val="53EB740A"/>
    <w:rsid w:val="542720D3"/>
    <w:rsid w:val="543C53E6"/>
    <w:rsid w:val="54685E21"/>
    <w:rsid w:val="54750278"/>
    <w:rsid w:val="54852789"/>
    <w:rsid w:val="54A13C33"/>
    <w:rsid w:val="54CA13DC"/>
    <w:rsid w:val="54ED50CA"/>
    <w:rsid w:val="54FB4719"/>
    <w:rsid w:val="55517407"/>
    <w:rsid w:val="55674E7D"/>
    <w:rsid w:val="560977DE"/>
    <w:rsid w:val="56665134"/>
    <w:rsid w:val="56723AD9"/>
    <w:rsid w:val="56815ACA"/>
    <w:rsid w:val="569F18FC"/>
    <w:rsid w:val="56DA1DB9"/>
    <w:rsid w:val="570E237D"/>
    <w:rsid w:val="57164EB8"/>
    <w:rsid w:val="57990A1A"/>
    <w:rsid w:val="57F014A6"/>
    <w:rsid w:val="585D45E2"/>
    <w:rsid w:val="5860449E"/>
    <w:rsid w:val="589C4E3D"/>
    <w:rsid w:val="58CF5213"/>
    <w:rsid w:val="59021907"/>
    <w:rsid w:val="59D14BA1"/>
    <w:rsid w:val="59E53E60"/>
    <w:rsid w:val="5B0C17CF"/>
    <w:rsid w:val="5B873AD2"/>
    <w:rsid w:val="5B9B5A02"/>
    <w:rsid w:val="5BAD1BA2"/>
    <w:rsid w:val="5BBC25EB"/>
    <w:rsid w:val="5BEF7CE3"/>
    <w:rsid w:val="5C0A47B4"/>
    <w:rsid w:val="5C107CB8"/>
    <w:rsid w:val="5C9E21DC"/>
    <w:rsid w:val="5CB54D70"/>
    <w:rsid w:val="5CDB111B"/>
    <w:rsid w:val="5D2E59B6"/>
    <w:rsid w:val="5DB875D5"/>
    <w:rsid w:val="5DC01F2F"/>
    <w:rsid w:val="5DFC0783"/>
    <w:rsid w:val="5E0E6245"/>
    <w:rsid w:val="5E1436C8"/>
    <w:rsid w:val="5E7F1C88"/>
    <w:rsid w:val="5EC004B0"/>
    <w:rsid w:val="5F074FDA"/>
    <w:rsid w:val="5FE1243E"/>
    <w:rsid w:val="6082700E"/>
    <w:rsid w:val="60E455D3"/>
    <w:rsid w:val="6106379C"/>
    <w:rsid w:val="61AC5EEE"/>
    <w:rsid w:val="61B00780"/>
    <w:rsid w:val="61DA6504"/>
    <w:rsid w:val="61E138C1"/>
    <w:rsid w:val="6220088D"/>
    <w:rsid w:val="62691571"/>
    <w:rsid w:val="635B2744"/>
    <w:rsid w:val="637349A8"/>
    <w:rsid w:val="63D27965"/>
    <w:rsid w:val="64D32F56"/>
    <w:rsid w:val="64DA557F"/>
    <w:rsid w:val="64FB77AB"/>
    <w:rsid w:val="651E181D"/>
    <w:rsid w:val="6528549D"/>
    <w:rsid w:val="65355358"/>
    <w:rsid w:val="654054A3"/>
    <w:rsid w:val="655705CF"/>
    <w:rsid w:val="657B3E04"/>
    <w:rsid w:val="658D448B"/>
    <w:rsid w:val="65BD2897"/>
    <w:rsid w:val="66431747"/>
    <w:rsid w:val="6698443C"/>
    <w:rsid w:val="67177D85"/>
    <w:rsid w:val="67224A37"/>
    <w:rsid w:val="67341C8A"/>
    <w:rsid w:val="67615431"/>
    <w:rsid w:val="67BC6FBB"/>
    <w:rsid w:val="68680898"/>
    <w:rsid w:val="686B1FFD"/>
    <w:rsid w:val="68E27BD2"/>
    <w:rsid w:val="68F77E6E"/>
    <w:rsid w:val="69266466"/>
    <w:rsid w:val="695E00E4"/>
    <w:rsid w:val="6970052A"/>
    <w:rsid w:val="69836849"/>
    <w:rsid w:val="69FE523A"/>
    <w:rsid w:val="6A10636A"/>
    <w:rsid w:val="6A6F1338"/>
    <w:rsid w:val="6AD51563"/>
    <w:rsid w:val="6AF939BC"/>
    <w:rsid w:val="6B421874"/>
    <w:rsid w:val="6BDC5938"/>
    <w:rsid w:val="6BEF0FCC"/>
    <w:rsid w:val="6C1B0E7B"/>
    <w:rsid w:val="6C224524"/>
    <w:rsid w:val="6C564F9A"/>
    <w:rsid w:val="6C925534"/>
    <w:rsid w:val="6CCC34A0"/>
    <w:rsid w:val="6D1852E5"/>
    <w:rsid w:val="6D224572"/>
    <w:rsid w:val="6D925013"/>
    <w:rsid w:val="6E0E1CDD"/>
    <w:rsid w:val="6E2E60E0"/>
    <w:rsid w:val="6E5D3280"/>
    <w:rsid w:val="6EAB3953"/>
    <w:rsid w:val="6EBA5BC5"/>
    <w:rsid w:val="6EDB5674"/>
    <w:rsid w:val="6EE10BC5"/>
    <w:rsid w:val="6EEB554A"/>
    <w:rsid w:val="6F237436"/>
    <w:rsid w:val="6F3B5E65"/>
    <w:rsid w:val="6F96089A"/>
    <w:rsid w:val="6FD6615C"/>
    <w:rsid w:val="6FD74983"/>
    <w:rsid w:val="70145F55"/>
    <w:rsid w:val="702A28D7"/>
    <w:rsid w:val="70E37655"/>
    <w:rsid w:val="70FE3342"/>
    <w:rsid w:val="71030CED"/>
    <w:rsid w:val="71137BBB"/>
    <w:rsid w:val="71202F46"/>
    <w:rsid w:val="71920FB5"/>
    <w:rsid w:val="719B68CA"/>
    <w:rsid w:val="71C73E68"/>
    <w:rsid w:val="71CD0D41"/>
    <w:rsid w:val="724057B9"/>
    <w:rsid w:val="72FA72A0"/>
    <w:rsid w:val="736B5864"/>
    <w:rsid w:val="7391396C"/>
    <w:rsid w:val="73A326C9"/>
    <w:rsid w:val="73D82E5B"/>
    <w:rsid w:val="73E463A5"/>
    <w:rsid w:val="74023684"/>
    <w:rsid w:val="7454342A"/>
    <w:rsid w:val="745A5E80"/>
    <w:rsid w:val="74615A56"/>
    <w:rsid w:val="74DD276A"/>
    <w:rsid w:val="74ED4E1E"/>
    <w:rsid w:val="754B6193"/>
    <w:rsid w:val="759E50EE"/>
    <w:rsid w:val="75AC26FE"/>
    <w:rsid w:val="75C652B2"/>
    <w:rsid w:val="75D60D62"/>
    <w:rsid w:val="76265429"/>
    <w:rsid w:val="76412F66"/>
    <w:rsid w:val="772D4394"/>
    <w:rsid w:val="77343BE2"/>
    <w:rsid w:val="773A57BA"/>
    <w:rsid w:val="777C610E"/>
    <w:rsid w:val="77902CD5"/>
    <w:rsid w:val="77AF0970"/>
    <w:rsid w:val="78034628"/>
    <w:rsid w:val="78385073"/>
    <w:rsid w:val="785250C1"/>
    <w:rsid w:val="78AB0354"/>
    <w:rsid w:val="78DD309C"/>
    <w:rsid w:val="797B741B"/>
    <w:rsid w:val="7A835A05"/>
    <w:rsid w:val="7A943A1E"/>
    <w:rsid w:val="7AC828E3"/>
    <w:rsid w:val="7AE01975"/>
    <w:rsid w:val="7AE56300"/>
    <w:rsid w:val="7B6D0D91"/>
    <w:rsid w:val="7B773567"/>
    <w:rsid w:val="7BAC123C"/>
    <w:rsid w:val="7BC53901"/>
    <w:rsid w:val="7BEE1F63"/>
    <w:rsid w:val="7C484073"/>
    <w:rsid w:val="7C7331E7"/>
    <w:rsid w:val="7C750581"/>
    <w:rsid w:val="7C834096"/>
    <w:rsid w:val="7CA004C4"/>
    <w:rsid w:val="7D162B61"/>
    <w:rsid w:val="7D1D0DB5"/>
    <w:rsid w:val="7D3E5A8D"/>
    <w:rsid w:val="7D5D253D"/>
    <w:rsid w:val="7D7F64D0"/>
    <w:rsid w:val="7DAF10A9"/>
    <w:rsid w:val="7DDB0EDD"/>
    <w:rsid w:val="7E0E1BB5"/>
    <w:rsid w:val="7E3E7B02"/>
    <w:rsid w:val="7E894268"/>
    <w:rsid w:val="7E917B6B"/>
    <w:rsid w:val="7EA21455"/>
    <w:rsid w:val="7EFA29B1"/>
    <w:rsid w:val="7F1F42A3"/>
    <w:rsid w:val="7F2647E5"/>
    <w:rsid w:val="7F275304"/>
    <w:rsid w:val="7F492EB8"/>
    <w:rsid w:val="7F4A58FD"/>
    <w:rsid w:val="7FA76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宋体" w:cs="Times New Roman"/>
      <w:kern w:val="2"/>
      <w:sz w:val="28"/>
      <w:szCs w:val="22"/>
      <w:lang w:val="en-US" w:eastAsia="zh-CN" w:bidi="ar-SA"/>
    </w:rPr>
  </w:style>
  <w:style w:type="paragraph" w:styleId="2">
    <w:name w:val="heading 1"/>
    <w:basedOn w:val="1"/>
    <w:next w:val="1"/>
    <w:qFormat/>
    <w:uiPriority w:val="0"/>
    <w:pPr>
      <w:keepNext/>
      <w:keepLines/>
      <w:adjustRightInd w:val="0"/>
      <w:spacing w:before="120" w:after="120"/>
      <w:jc w:val="left"/>
      <w:outlineLvl w:val="0"/>
    </w:pPr>
    <w:rPr>
      <w:b/>
      <w:kern w:val="44"/>
      <w:sz w:val="32"/>
      <w:szCs w:val="20"/>
    </w:rPr>
  </w:style>
  <w:style w:type="paragraph" w:styleId="3">
    <w:name w:val="heading 2"/>
    <w:basedOn w:val="1"/>
    <w:next w:val="1"/>
    <w:link w:val="43"/>
    <w:qFormat/>
    <w:uiPriority w:val="99"/>
    <w:pPr>
      <w:keepNext/>
      <w:keepLines/>
      <w:adjustRightInd w:val="0"/>
      <w:snapToGrid w:val="0"/>
      <w:spacing w:before="50" w:beforeLines="50" w:after="50" w:afterLines="50" w:line="460" w:lineRule="exact"/>
      <w:ind w:firstLine="522" w:firstLineChars="100"/>
      <w:jc w:val="left"/>
      <w:outlineLvl w:val="1"/>
    </w:pPr>
    <w:rPr>
      <w:b/>
      <w:kern w:val="0"/>
      <w:szCs w:val="20"/>
    </w:rPr>
  </w:style>
  <w:style w:type="paragraph" w:styleId="4">
    <w:name w:val="heading 3"/>
    <w:basedOn w:val="1"/>
    <w:next w:val="5"/>
    <w:link w:val="29"/>
    <w:qFormat/>
    <w:uiPriority w:val="0"/>
    <w:pPr>
      <w:keepNext/>
      <w:keepLines/>
      <w:adjustRightInd w:val="0"/>
      <w:snapToGrid w:val="0"/>
      <w:spacing w:line="360" w:lineRule="auto"/>
      <w:outlineLvl w:val="2"/>
    </w:pPr>
    <w:rPr>
      <w:rFonts w:ascii="宋体" w:hAnsi="宋体"/>
      <w:bCs/>
      <w:sz w:val="24"/>
      <w:szCs w:val="20"/>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Normal Indent"/>
    <w:basedOn w:val="1"/>
    <w:next w:val="6"/>
    <w:link w:val="44"/>
    <w:qFormat/>
    <w:uiPriority w:val="0"/>
    <w:pPr>
      <w:spacing w:line="460" w:lineRule="exact"/>
      <w:ind w:firstLine="1044" w:firstLineChars="200"/>
      <w:jc w:val="left"/>
    </w:pPr>
    <w:rPr>
      <w:rFonts w:ascii="宋体" w:hAnsi="宋体"/>
      <w:sz w:val="24"/>
    </w:rPr>
  </w:style>
  <w:style w:type="paragraph" w:styleId="6">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text"/>
    <w:basedOn w:val="1"/>
    <w:unhideWhenUsed/>
    <w:qFormat/>
    <w:uiPriority w:val="99"/>
    <w:pPr>
      <w:jc w:val="left"/>
    </w:pPr>
  </w:style>
  <w:style w:type="paragraph" w:styleId="8">
    <w:name w:val="Body Text"/>
    <w:basedOn w:val="1"/>
    <w:qFormat/>
    <w:uiPriority w:val="99"/>
    <w:pPr>
      <w:autoSpaceDE w:val="0"/>
      <w:autoSpaceDN w:val="0"/>
      <w:adjustRightInd w:val="0"/>
      <w:spacing w:after="120" w:line="312" w:lineRule="atLeast"/>
      <w:textAlignment w:val="baseline"/>
    </w:pPr>
    <w:rPr>
      <w:kern w:val="0"/>
      <w:szCs w:val="20"/>
    </w:rPr>
  </w:style>
  <w:style w:type="paragraph" w:styleId="9">
    <w:name w:val="Body Text Indent"/>
    <w:basedOn w:val="1"/>
    <w:next w:val="1"/>
    <w:qFormat/>
    <w:uiPriority w:val="0"/>
    <w:pPr>
      <w:spacing w:after="120"/>
      <w:ind w:left="200" w:leftChars="200"/>
    </w:pPr>
  </w:style>
  <w:style w:type="paragraph" w:styleId="10">
    <w:name w:val="toc 3"/>
    <w:basedOn w:val="1"/>
    <w:next w:val="1"/>
    <w:qFormat/>
    <w:uiPriority w:val="0"/>
    <w:pPr>
      <w:ind w:left="840" w:leftChars="400"/>
    </w:pPr>
  </w:style>
  <w:style w:type="paragraph" w:styleId="11">
    <w:name w:val="footer"/>
    <w:basedOn w:val="1"/>
    <w:link w:val="27"/>
    <w:qFormat/>
    <w:uiPriority w:val="0"/>
    <w:pPr>
      <w:tabs>
        <w:tab w:val="center" w:pos="4153"/>
        <w:tab w:val="right" w:pos="8306"/>
      </w:tabs>
      <w:snapToGrid w:val="0"/>
      <w:jc w:val="left"/>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Body Text 2"/>
    <w:basedOn w:val="1"/>
    <w:qFormat/>
    <w:uiPriority w:val="0"/>
    <w:pPr>
      <w:spacing w:line="360" w:lineRule="auto"/>
      <w:jc w:val="center"/>
    </w:pPr>
    <w:rPr>
      <w:sz w:val="18"/>
    </w:rPr>
  </w:style>
  <w:style w:type="paragraph" w:styleId="15">
    <w:name w:val="Normal (Web)"/>
    <w:basedOn w:val="1"/>
    <w:qFormat/>
    <w:uiPriority w:val="0"/>
    <w:pPr>
      <w:spacing w:beforeAutospacing="1" w:afterAutospacing="1"/>
      <w:jc w:val="left"/>
    </w:pPr>
    <w:rPr>
      <w:kern w:val="0"/>
      <w:sz w:val="24"/>
    </w:rPr>
  </w:style>
  <w:style w:type="paragraph" w:styleId="16">
    <w:name w:val="annotation subject"/>
    <w:basedOn w:val="7"/>
    <w:next w:val="7"/>
    <w:unhideWhenUsed/>
    <w:qFormat/>
    <w:uiPriority w:val="99"/>
    <w:rPr>
      <w:b/>
      <w:bCs/>
    </w:rPr>
  </w:style>
  <w:style w:type="paragraph" w:styleId="17">
    <w:name w:val="Body Text First Indent 2"/>
    <w:basedOn w:val="9"/>
    <w:qFormat/>
    <w:uiPriority w:val="0"/>
    <w:pPr>
      <w:spacing w:line="480" w:lineRule="exact"/>
      <w:ind w:firstLine="420" w:firstLineChars="200"/>
    </w:pPr>
    <w:rPr>
      <w:rFonts w:ascii="Times New Roman" w:hAnsi="Times New Roman"/>
      <w:sz w:val="21"/>
      <w:szCs w:val="21"/>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customStyle="1" w:styleId="22">
    <w:name w:val="1.1.1 Char"/>
    <w:link w:val="23"/>
    <w:qFormat/>
    <w:uiPriority w:val="0"/>
    <w:rPr>
      <w:rFonts w:hint="eastAsia" w:ascii="宋体" w:hAnsi="宋体" w:cs="宋体"/>
      <w:sz w:val="24"/>
      <w:szCs w:val="24"/>
      <w:lang w:val="zh-CN"/>
    </w:rPr>
  </w:style>
  <w:style w:type="paragraph" w:customStyle="1" w:styleId="23">
    <w:name w:val="1.1.1"/>
    <w:basedOn w:val="1"/>
    <w:link w:val="22"/>
    <w:qFormat/>
    <w:uiPriority w:val="0"/>
    <w:pPr>
      <w:spacing w:line="460" w:lineRule="exact"/>
      <w:ind w:firstLine="1566" w:firstLineChars="300"/>
      <w:jc w:val="left"/>
    </w:pPr>
    <w:rPr>
      <w:rFonts w:hint="eastAsia" w:ascii="宋体" w:hAnsi="宋体" w:cs="宋体"/>
      <w:sz w:val="24"/>
      <w:szCs w:val="24"/>
      <w:lang w:val="zh-CN"/>
    </w:rPr>
  </w:style>
  <w:style w:type="character" w:customStyle="1" w:styleId="24">
    <w:name w:val="页眉 字符"/>
    <w:link w:val="6"/>
    <w:qFormat/>
    <w:uiPriority w:val="0"/>
    <w:rPr>
      <w:rFonts w:ascii="等线" w:hAnsi="等线" w:eastAsia="等线"/>
      <w:kern w:val="2"/>
      <w:sz w:val="18"/>
      <w:szCs w:val="18"/>
    </w:rPr>
  </w:style>
  <w:style w:type="character" w:customStyle="1" w:styleId="25">
    <w:name w:val="font41"/>
    <w:basedOn w:val="20"/>
    <w:qFormat/>
    <w:uiPriority w:val="0"/>
    <w:rPr>
      <w:rFonts w:ascii="宋体" w:hAnsi="宋体" w:eastAsia="宋体" w:cs="宋体"/>
      <w:color w:val="000000"/>
      <w:sz w:val="30"/>
      <w:szCs w:val="30"/>
      <w:u w:val="none"/>
    </w:rPr>
  </w:style>
  <w:style w:type="character" w:customStyle="1" w:styleId="26">
    <w:name w:val="标题 2 Char"/>
    <w:qFormat/>
    <w:uiPriority w:val="99"/>
    <w:rPr>
      <w:rFonts w:eastAsia="宋体"/>
      <w:b/>
      <w:kern w:val="0"/>
      <w:sz w:val="28"/>
      <w:szCs w:val="20"/>
    </w:rPr>
  </w:style>
  <w:style w:type="character" w:customStyle="1" w:styleId="27">
    <w:name w:val="页脚 字符"/>
    <w:link w:val="11"/>
    <w:qFormat/>
    <w:uiPriority w:val="0"/>
    <w:rPr>
      <w:rFonts w:ascii="等线" w:hAnsi="等线" w:eastAsia="等线"/>
      <w:kern w:val="2"/>
      <w:sz w:val="18"/>
      <w:szCs w:val="18"/>
    </w:rPr>
  </w:style>
  <w:style w:type="character" w:customStyle="1" w:styleId="28">
    <w:name w:val="标题 3 字符"/>
    <w:qFormat/>
    <w:uiPriority w:val="0"/>
    <w:rPr>
      <w:rFonts w:ascii="宋体" w:hAnsi="宋体"/>
      <w:bCs/>
      <w:sz w:val="24"/>
      <w:szCs w:val="20"/>
    </w:rPr>
  </w:style>
  <w:style w:type="character" w:customStyle="1" w:styleId="29">
    <w:name w:val="标题 3 字符1"/>
    <w:link w:val="4"/>
    <w:qFormat/>
    <w:uiPriority w:val="0"/>
    <w:rPr>
      <w:rFonts w:ascii="宋体" w:hAnsi="宋体"/>
      <w:bCs/>
      <w:sz w:val="24"/>
      <w:szCs w:val="20"/>
    </w:rPr>
  </w:style>
  <w:style w:type="character" w:customStyle="1" w:styleId="30">
    <w:name w:val="正文缩进 Char"/>
    <w:qFormat/>
    <w:uiPriority w:val="0"/>
    <w:rPr>
      <w:rFonts w:ascii="宋体" w:hAnsi="宋体"/>
      <w:sz w:val="24"/>
    </w:rPr>
  </w:style>
  <w:style w:type="character" w:customStyle="1" w:styleId="31">
    <w:name w:val="1.1.1.1 Char"/>
    <w:link w:val="32"/>
    <w:qFormat/>
    <w:uiPriority w:val="0"/>
    <w:rPr>
      <w:rFonts w:hint="eastAsia" w:ascii="宋体" w:hAnsi="宋体" w:cs="宋体"/>
      <w:sz w:val="24"/>
      <w:szCs w:val="24"/>
      <w:lang w:val="zh-CN"/>
    </w:rPr>
  </w:style>
  <w:style w:type="paragraph" w:customStyle="1" w:styleId="32">
    <w:name w:val="1.1.1.1"/>
    <w:basedOn w:val="1"/>
    <w:link w:val="31"/>
    <w:qFormat/>
    <w:uiPriority w:val="0"/>
    <w:pPr>
      <w:spacing w:line="460" w:lineRule="exact"/>
      <w:ind w:firstLine="2088" w:firstLineChars="400"/>
      <w:jc w:val="left"/>
    </w:pPr>
    <w:rPr>
      <w:rFonts w:hint="eastAsia" w:ascii="宋体" w:hAnsi="宋体" w:cs="宋体"/>
      <w:sz w:val="24"/>
      <w:szCs w:val="24"/>
      <w:lang w:val="zh-CN"/>
    </w:rPr>
  </w:style>
  <w:style w:type="character" w:customStyle="1" w:styleId="33">
    <w:name w:val="font21"/>
    <w:basedOn w:val="20"/>
    <w:qFormat/>
    <w:uiPriority w:val="0"/>
    <w:rPr>
      <w:rFonts w:ascii="宋体" w:hAnsi="宋体" w:eastAsia="宋体" w:cs="宋体"/>
      <w:color w:val="000000"/>
      <w:sz w:val="30"/>
      <w:szCs w:val="30"/>
      <w:u w:val="none"/>
    </w:rPr>
  </w:style>
  <w:style w:type="paragraph" w:styleId="34">
    <w:name w:val="No Spacing"/>
    <w:basedOn w:val="1"/>
    <w:qFormat/>
    <w:uiPriority w:val="1"/>
    <w:rPr>
      <w:rFonts w:ascii="Calibri" w:hAnsi="Calibri"/>
      <w:sz w:val="22"/>
      <w:lang w:eastAsia="en-US"/>
    </w:rPr>
  </w:style>
  <w:style w:type="paragraph" w:styleId="35">
    <w:name w:val="List Paragraph"/>
    <w:basedOn w:val="1"/>
    <w:qFormat/>
    <w:uiPriority w:val="34"/>
    <w:pPr>
      <w:numPr>
        <w:ilvl w:val="0"/>
        <w:numId w:val="1"/>
      </w:numPr>
    </w:pPr>
  </w:style>
  <w:style w:type="paragraph" w:customStyle="1" w:styleId="36">
    <w:name w:val="文档正文"/>
    <w:basedOn w:val="1"/>
    <w:qFormat/>
    <w:uiPriority w:val="0"/>
    <w:pPr>
      <w:widowControl/>
      <w:adjustRightInd w:val="0"/>
      <w:spacing w:line="312" w:lineRule="atLeast"/>
      <w:ind w:firstLine="567" w:firstLineChars="200"/>
      <w:jc w:val="left"/>
      <w:textAlignment w:val="baseline"/>
    </w:pPr>
    <w:rPr>
      <w:rFonts w:ascii="长城仿宋" w:eastAsia="长城仿宋"/>
      <w:kern w:val="0"/>
      <w:szCs w:val="20"/>
    </w:rPr>
  </w:style>
  <w:style w:type="paragraph" w:customStyle="1" w:styleId="37">
    <w:name w:val="列出段落1"/>
    <w:basedOn w:val="1"/>
    <w:qFormat/>
    <w:uiPriority w:val="34"/>
    <w:pPr>
      <w:adjustRightInd w:val="0"/>
      <w:ind w:firstLine="420" w:firstLineChars="200"/>
      <w:jc w:val="left"/>
      <w:textAlignment w:val="baseline"/>
    </w:pPr>
    <w:rPr>
      <w:rFonts w:ascii="MingLiU" w:eastAsia="MingLiU"/>
      <w:kern w:val="0"/>
      <w:sz w:val="24"/>
      <w:szCs w:val="20"/>
      <w:lang w:eastAsia="zh-TW"/>
    </w:rPr>
  </w:style>
  <w:style w:type="paragraph" w:customStyle="1" w:styleId="38">
    <w:name w:val="Table Paragraph"/>
    <w:basedOn w:val="1"/>
    <w:qFormat/>
    <w:uiPriority w:val="1"/>
    <w:pPr>
      <w:autoSpaceDE w:val="0"/>
      <w:autoSpaceDN w:val="0"/>
      <w:jc w:val="left"/>
    </w:pPr>
    <w:rPr>
      <w:rFonts w:ascii="Arial" w:hAnsi="Arial" w:eastAsia="Arial" w:cs="Arial"/>
      <w:kern w:val="0"/>
      <w:sz w:val="22"/>
    </w:rPr>
  </w:style>
  <w:style w:type="paragraph" w:customStyle="1" w:styleId="39">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0">
    <w:name w:val="1.1.1.1.1.1"/>
    <w:basedOn w:val="1"/>
    <w:qFormat/>
    <w:uiPriority w:val="0"/>
    <w:pPr>
      <w:spacing w:line="460" w:lineRule="exact"/>
      <w:ind w:firstLine="3132" w:firstLineChars="600"/>
      <w:jc w:val="left"/>
    </w:pPr>
    <w:rPr>
      <w:rFonts w:hint="eastAsia" w:ascii="宋体" w:hAnsi="宋体" w:cs="宋体"/>
      <w:sz w:val="24"/>
      <w:szCs w:val="24"/>
      <w:lang w:val="zh-CN"/>
    </w:rPr>
  </w:style>
  <w:style w:type="paragraph" w:customStyle="1" w:styleId="41">
    <w:name w:val="1.1.1.1.1"/>
    <w:basedOn w:val="1"/>
    <w:link w:val="42"/>
    <w:qFormat/>
    <w:uiPriority w:val="0"/>
    <w:pPr>
      <w:spacing w:line="460" w:lineRule="exact"/>
      <w:ind w:firstLine="2610" w:firstLineChars="500"/>
      <w:jc w:val="left"/>
    </w:pPr>
    <w:rPr>
      <w:rFonts w:hint="eastAsia" w:ascii="宋体" w:hAnsi="宋体" w:cs="宋体"/>
      <w:sz w:val="24"/>
      <w:szCs w:val="24"/>
      <w:lang w:val="zh-CN"/>
    </w:rPr>
  </w:style>
  <w:style w:type="character" w:customStyle="1" w:styleId="42">
    <w:name w:val="1.1.1.1.1 Char"/>
    <w:link w:val="41"/>
    <w:qFormat/>
    <w:uiPriority w:val="0"/>
    <w:rPr>
      <w:rFonts w:hint="eastAsia" w:ascii="宋体" w:hAnsi="宋体" w:cs="宋体"/>
      <w:sz w:val="24"/>
      <w:szCs w:val="24"/>
      <w:lang w:val="zh-CN"/>
    </w:rPr>
  </w:style>
  <w:style w:type="character" w:customStyle="1" w:styleId="43">
    <w:name w:val="标题 2 字符"/>
    <w:link w:val="3"/>
    <w:qFormat/>
    <w:uiPriority w:val="99"/>
    <w:rPr>
      <w:rFonts w:eastAsia="宋体"/>
      <w:b/>
      <w:kern w:val="0"/>
      <w:sz w:val="28"/>
      <w:szCs w:val="20"/>
    </w:rPr>
  </w:style>
  <w:style w:type="character" w:customStyle="1" w:styleId="44">
    <w:name w:val="正文缩进 字符"/>
    <w:link w:val="5"/>
    <w:qFormat/>
    <w:uiPriority w:val="0"/>
    <w:rPr>
      <w:rFonts w:ascii="宋体" w:hAnsi="宋体"/>
      <w:sz w:val="24"/>
    </w:rPr>
  </w:style>
  <w:style w:type="paragraph" w:customStyle="1" w:styleId="45">
    <w:name w:val="Other|1"/>
    <w:basedOn w:val="1"/>
    <w:qFormat/>
    <w:uiPriority w:val="0"/>
    <w:pPr>
      <w:spacing w:after="200"/>
      <w:jc w:val="left"/>
    </w:pPr>
    <w:rPr>
      <w:rFonts w:ascii="宋体" w:hAnsi="宋体" w:cs="宋体"/>
      <w:kern w:val="0"/>
      <w:sz w:val="20"/>
      <w:szCs w:val="20"/>
      <w:lang w:val="zh-TW" w:eastAsia="zh-TW" w:bidi="zh-TW"/>
    </w:rPr>
  </w:style>
  <w:style w:type="paragraph" w:customStyle="1" w:styleId="46">
    <w:name w:val="二级条标题"/>
    <w:basedOn w:val="1"/>
    <w:next w:val="1"/>
    <w:qFormat/>
    <w:uiPriority w:val="0"/>
    <w:pPr>
      <w:widowControl/>
      <w:ind w:left="735"/>
      <w:outlineLvl w:val="3"/>
    </w:pPr>
    <w:rPr>
      <w:rFonts w:ascii="黑体" w:hAnsi="Times New Roman"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9.wmf"/><Relationship Id="rId23" Type="http://schemas.openxmlformats.org/officeDocument/2006/relationships/oleObject" Target="embeddings/oleObject4.bin"/><Relationship Id="rId22" Type="http://schemas.openxmlformats.org/officeDocument/2006/relationships/image" Target="media/image8.wmf"/><Relationship Id="rId21" Type="http://schemas.openxmlformats.org/officeDocument/2006/relationships/oleObject" Target="embeddings/oleObject3.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6.wmf"/><Relationship Id="rId17" Type="http://schemas.openxmlformats.org/officeDocument/2006/relationships/oleObject" Target="embeddings/oleObject1.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image" Target="media/image2.w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160</Pages>
  <Words>11999</Words>
  <Characters>14325</Characters>
  <Lines>853</Lines>
  <Paragraphs>240</Paragraphs>
  <TotalTime>4</TotalTime>
  <ScaleCrop>false</ScaleCrop>
  <LinksUpToDate>false</LinksUpToDate>
  <CharactersWithSpaces>15168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2024-11-02T11:16:00Z</dcterms:created>
  <dc:creator>ZYH</dc:creator>
  <cp:lastModifiedBy>桥爸</cp:lastModifiedBy>
  <cp:lastPrinted>2024-11-27T08:03:00Z</cp:lastPrinted>
  <dcterms:modified xsi:type="dcterms:W3CDTF">2025-04-01T03:05:44Z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A7E9DBE30D6C43618DF84A9E41CA4D2E_13</vt:lpwstr>
  </property>
  <property fmtid="{D5CDD505-2E9C-101B-9397-08002B2CF9AE}" pid="4" name="KSOTemplateDocerSaveRecord">
    <vt:lpwstr>eyJoZGlkIjoiYTAwZTFmMmVmNGNjMGIzYzBkZDNhZWIwN2U4MDYzMTUiLCJ1c2VySWQiOiI0MzAzMDU0MDgifQ==</vt:lpwstr>
  </property>
</Properties>
</file>