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jc w:val="center"/>
        <w:rPr>
          <w:rFonts w:hint="eastAsia" w:ascii="黑体" w:eastAsia="黑体" w:cs="仿宋_GB2312"/>
          <w:bCs/>
          <w:sz w:val="36"/>
          <w:szCs w:val="36"/>
        </w:rPr>
      </w:pPr>
      <w:r>
        <w:rPr>
          <w:rFonts w:hint="eastAsia" w:ascii="黑体" w:eastAsia="黑体" w:cs="仿宋_GB2312"/>
          <w:bCs/>
          <w:sz w:val="36"/>
          <w:szCs w:val="36"/>
        </w:rPr>
        <w:t>评标专家不良行为登记工作制度</w:t>
      </w:r>
    </w:p>
    <w:p>
      <w:pPr>
        <w:adjustRightInd w:val="0"/>
        <w:snapToGrid w:val="0"/>
        <w:spacing w:line="480" w:lineRule="exact"/>
        <w:ind w:firstLine="560" w:firstLineChars="200"/>
        <w:rPr>
          <w:rFonts w:ascii="仿宋_GB2312" w:cs="仿宋_GB2312"/>
          <w:sz w:val="28"/>
          <w:szCs w:val="28"/>
        </w:rPr>
      </w:pP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为规范评标专家评标行为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加强日常管理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推进评标专家不良行为记录和考评工作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依据《福建省综合性评标专家库专家不良行为记录和考评暂行办法》等有关规定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制定本制度。</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一、评标专家不良行为登记实行记分制。</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二、评标专家有下列情形之一的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由</w:t>
      </w:r>
      <w:r>
        <w:rPr>
          <w:rFonts w:hint="eastAsia" w:ascii="仿宋_GB2312" w:hAnsi="仿宋" w:eastAsia="仿宋_GB2312" w:cs="仿宋"/>
          <w:sz w:val="32"/>
          <w:szCs w:val="32"/>
          <w:lang w:eastAsia="zh-CN"/>
        </w:rPr>
        <w:t>大田</w:t>
      </w:r>
      <w:r>
        <w:rPr>
          <w:rFonts w:hint="eastAsia" w:ascii="仿宋_GB2312" w:hAnsi="仿宋" w:eastAsia="仿宋_GB2312" w:cs="仿宋"/>
          <w:sz w:val="32"/>
          <w:szCs w:val="32"/>
        </w:rPr>
        <w:t>县公共资源交易中心进行登记</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并按分值记分：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（一）接到评标通知确认参加后</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无正当理由不参加评标的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（二）超过抽取终端设定时间到达评标规定区域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迟到30分钟（含）至60分钟的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每次记5分；超过1小时的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（三）未按规定存放手提包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手机、电脑、智能手表等各种通讯工具</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以及无线接收传送设备、电子存储记忆录放设备的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每次记15分；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（四）不熟悉电子评标操作系统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影响评标工作的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每次记5分；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（五）在评标过程中</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怠于履行评标职责</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存在不独立评标、敷衍应付、简单套用其他评标专家意见、结论、不集中精力评审投标文件等情况的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（六）以不评标、不在评标报告上签字、故意拖延时间等方式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索要超过规定、约定的劳务报酬的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索要劳务报酬以外的其他好处、财物</w:t>
      </w:r>
      <w:r>
        <w:rPr>
          <w:rFonts w:hint="eastAsia" w:ascii="仿宋_GB2312" w:hAnsi="仿宋" w:eastAsia="仿宋_GB2312" w:cs="仿宋"/>
          <w:spacing w:val="-6"/>
          <w:sz w:val="32"/>
          <w:szCs w:val="32"/>
        </w:rPr>
        <w:t>的</w:t>
      </w:r>
      <w:r>
        <w:rPr>
          <w:rFonts w:hint="eastAsia" w:ascii="仿宋_GB2312" w:hAnsi="仿宋" w:eastAsia="仿宋_GB2312" w:cs="仿宋"/>
          <w:spacing w:val="-6"/>
          <w:sz w:val="32"/>
          <w:szCs w:val="32"/>
          <w:lang w:eastAsia="zh-CN"/>
        </w:rPr>
        <w:t>，</w:t>
      </w:r>
      <w:r>
        <w:rPr>
          <w:rFonts w:hint="eastAsia" w:ascii="仿宋_GB2312" w:hAnsi="仿宋" w:eastAsia="仿宋_GB2312" w:cs="仿宋"/>
          <w:spacing w:val="-6"/>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（七）评标过程中随意离开评标室、随意进出其他评标室的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（八）记录、抄写、夹带与评标相关的内容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私自将评标的相关资料带出评标区的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（九）不配合招标人依法组织的中标候选人履约能力审查或异议处理工作的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（十）不配合招投标行业行政监督部门投诉处理、监督、检查工作的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每次记15分；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（十一）其他违反评标规定的不良行为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每次记10分；情节严重的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每次记20分。</w:t>
      </w:r>
    </w:p>
    <w:p>
      <w:pPr>
        <w:adjustRightInd w:val="0"/>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sz w:val="32"/>
          <w:szCs w:val="32"/>
          <w:lang w:eastAsia="zh-CN"/>
        </w:rPr>
        <w:t>大田</w:t>
      </w:r>
      <w:r>
        <w:rPr>
          <w:rFonts w:hint="eastAsia" w:ascii="仿宋_GB2312" w:hAnsi="仿宋" w:eastAsia="仿宋_GB2312" w:cs="仿宋"/>
          <w:sz w:val="32"/>
          <w:szCs w:val="32"/>
        </w:rPr>
        <w:t>县公共资源交易中心工作人员在开评标过程中发现评标专家不良行为或收到招标人、招标代理机构、评标专家等有关人员反映后</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应及时与被发现、被反映的评标专家等相关人员进行核实并签字确认</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提出评标专家不良行为记分建议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通过省公共资源交易电子行政监督平台（以下简称监督平台）及时填写、提交</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违反评标规范要求不良行为登记表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（附件1）。</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招标人、招标代理机构、评标专家等有关人员应配合</w:t>
      </w:r>
      <w:r>
        <w:rPr>
          <w:rFonts w:hint="eastAsia" w:ascii="仿宋_GB2312" w:hAnsi="仿宋" w:eastAsia="仿宋_GB2312" w:cs="仿宋"/>
          <w:sz w:val="32"/>
          <w:szCs w:val="32"/>
          <w:lang w:eastAsia="zh-CN"/>
        </w:rPr>
        <w:t>大田</w:t>
      </w:r>
      <w:r>
        <w:rPr>
          <w:rFonts w:hint="eastAsia" w:ascii="仿宋_GB2312" w:hAnsi="仿宋" w:eastAsia="仿宋_GB2312" w:cs="仿宋"/>
          <w:sz w:val="32"/>
          <w:szCs w:val="32"/>
        </w:rPr>
        <w:t>县公共资源交易中心做好评标专家不良行为登记工作。</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四、招标人、招标代理机构、评标专家等有关人员发现评标专家存在不良行为的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应在该场次评标结束后当场向</w:t>
      </w:r>
      <w:r>
        <w:rPr>
          <w:rFonts w:hint="eastAsia" w:ascii="仿宋_GB2312" w:hAnsi="仿宋" w:eastAsia="仿宋_GB2312" w:cs="仿宋"/>
          <w:sz w:val="32"/>
          <w:szCs w:val="32"/>
          <w:lang w:eastAsia="zh-CN"/>
        </w:rPr>
        <w:t>大田</w:t>
      </w:r>
      <w:r>
        <w:rPr>
          <w:rFonts w:hint="eastAsia" w:ascii="仿宋_GB2312" w:hAnsi="仿宋" w:eastAsia="仿宋_GB2312" w:cs="仿宋"/>
          <w:sz w:val="32"/>
          <w:szCs w:val="32"/>
        </w:rPr>
        <w:t>县公共资源交易中心反映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填写</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违反评标规范要求不良行为反映表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（附件2）。</w:t>
      </w:r>
    </w:p>
    <w:p>
      <w:pPr>
        <w:numPr>
          <w:ilvl w:val="0"/>
          <w:numId w:val="1"/>
        </w:num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eastAsia="zh-CN"/>
        </w:rPr>
        <w:t>大田</w:t>
      </w:r>
      <w:r>
        <w:rPr>
          <w:rFonts w:hint="eastAsia" w:ascii="仿宋_GB2312" w:hAnsi="仿宋" w:eastAsia="仿宋_GB2312" w:cs="仿宋"/>
          <w:sz w:val="32"/>
          <w:szCs w:val="32"/>
        </w:rPr>
        <w:t>县公共资源交易中心配合各招投标行业行政监督部门做好评标专家不良行为审核、调查、认定等工作。</w:t>
      </w:r>
    </w:p>
    <w:p>
      <w:pPr>
        <w:numPr>
          <w:ilvl w:val="0"/>
          <w:numId w:val="1"/>
        </w:num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评标专家不良行为的记录、登记相关材料及音视频等应妥善保管、留档备查。</w:t>
      </w:r>
    </w:p>
    <w:p>
      <w:pPr>
        <w:adjustRightInd w:val="0"/>
        <w:snapToGrid w:val="0"/>
        <w:spacing w:line="600" w:lineRule="exact"/>
        <w:ind w:firstLine="640" w:firstLineChars="200"/>
        <w:rPr>
          <w:rFonts w:ascii="仿宋_GB2312" w:hAnsi="仿宋" w:eastAsia="仿宋_GB2312" w:cs="仿宋"/>
          <w:sz w:val="32"/>
          <w:szCs w:val="32"/>
        </w:rPr>
      </w:pPr>
    </w:p>
    <w:p>
      <w:pPr>
        <w:adjustRightInd w:val="0"/>
        <w:snapToGrid w:val="0"/>
        <w:spacing w:line="60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附件：1.违反评标规范要求不良行为登记表</w:t>
      </w:r>
      <w:r>
        <w:rPr>
          <w:rFonts w:hint="eastAsia" w:ascii="仿宋_GB2312" w:hAnsi="仿宋" w:eastAsia="仿宋_GB2312" w:cs="仿宋"/>
          <w:sz w:val="32"/>
          <w:szCs w:val="32"/>
          <w:lang w:val="en-US" w:eastAsia="zh-CN"/>
        </w:rPr>
        <w:t>；</w:t>
      </w:r>
    </w:p>
    <w:p>
      <w:pPr>
        <w:adjustRightInd w:val="0"/>
        <w:snapToGrid w:val="0"/>
        <w:spacing w:line="60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 xml:space="preserve">      2.违反评标规范要求不良行为反映表</w:t>
      </w:r>
      <w:r>
        <w:rPr>
          <w:rFonts w:hint="eastAsia" w:ascii="仿宋_GB2312" w:hAnsi="仿宋" w:eastAsia="仿宋_GB2312" w:cs="仿宋"/>
          <w:sz w:val="32"/>
          <w:szCs w:val="32"/>
          <w:lang w:eastAsia="zh-CN"/>
        </w:rPr>
        <w:t>。</w:t>
      </w:r>
    </w:p>
    <w:p>
      <w:pPr>
        <w:rPr>
          <w:rFonts w:hint="eastAsia" w:ascii="黑体" w:hAnsi="黑体" w:eastAsia="仿宋_GB2312" w:cs="黑体"/>
          <w:sz w:val="32"/>
          <w:lang w:eastAsia="zh-CN"/>
        </w:rPr>
      </w:pPr>
      <w:r>
        <w:rPr>
          <w:rFonts w:hint="eastAsia" w:ascii="仿宋_GB2312" w:hAnsi="仿宋" w:cs="仿宋_GB2312"/>
          <w:sz w:val="28"/>
          <w:szCs w:val="28"/>
        </w:rPr>
        <w:br w:type="page"/>
      </w:r>
      <w:r>
        <w:rPr>
          <w:rFonts w:hint="eastAsia" w:ascii="仿宋_GB2312" w:hAnsi="黑体" w:eastAsia="仿宋_GB2312" w:cs="黑体"/>
          <w:b/>
          <w:bCs/>
          <w:sz w:val="32"/>
        </w:rPr>
        <w:t>附件1</w:t>
      </w:r>
      <w:r>
        <w:rPr>
          <w:rFonts w:hint="eastAsia" w:ascii="仿宋_GB2312" w:hAnsi="黑体" w:eastAsia="仿宋_GB2312" w:cs="黑体"/>
          <w:sz w:val="32"/>
        </w:rPr>
        <w:t xml:space="preserve">  </w:t>
      </w:r>
      <w:r>
        <w:rPr>
          <w:rFonts w:hint="eastAsia" w:ascii="仿宋_GB2312" w:eastAsia="仿宋_GB2312"/>
          <w:sz w:val="28"/>
          <w:szCs w:val="28"/>
          <w:lang w:val="en-US" w:eastAsia="zh-CN"/>
        </w:rPr>
        <w:t xml:space="preserve"> </w:t>
      </w:r>
    </w:p>
    <w:p>
      <w:pPr>
        <w:jc w:val="center"/>
        <w:rPr>
          <w:rFonts w:ascii="方正小标宋简体" w:eastAsia="方正小标宋简体"/>
          <w:sz w:val="36"/>
          <w:szCs w:val="36"/>
        </w:rPr>
      </w:pPr>
      <w:r>
        <w:rPr>
          <w:rFonts w:hint="eastAsia" w:ascii="黑体" w:hAnsi="黑体" w:eastAsia="黑体" w:cs="黑体"/>
          <w:b w:val="0"/>
          <w:bCs w:val="0"/>
          <w:sz w:val="36"/>
          <w:szCs w:val="36"/>
        </w:rPr>
        <w:t>违反评标规范要求不良行为登记表</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（公共资源交易中心填写）</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618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22" w:type="dxa"/>
            <w:vAlign w:val="center"/>
          </w:tcPr>
          <w:p>
            <w:pPr>
              <w:spacing w:line="400" w:lineRule="exact"/>
              <w:jc w:val="center"/>
              <w:rPr>
                <w:rFonts w:ascii="仿宋_GB2312"/>
                <w:b/>
                <w:sz w:val="24"/>
              </w:rPr>
            </w:pPr>
            <w:r>
              <w:rPr>
                <w:rFonts w:hint="eastAsia" w:ascii="仿宋_GB2312"/>
                <w:b/>
                <w:sz w:val="24"/>
              </w:rPr>
              <w:t>招标项目名称</w:t>
            </w:r>
          </w:p>
        </w:tc>
        <w:tc>
          <w:tcPr>
            <w:tcW w:w="6184" w:type="dxa"/>
          </w:tcPr>
          <w:p>
            <w:pPr>
              <w:spacing w:line="400" w:lineRule="exact"/>
              <w:jc w:val="center"/>
              <w:rPr>
                <w:rFonts w:ascii="仿宋_GB2312"/>
                <w:sz w:val="28"/>
                <w:szCs w:val="28"/>
              </w:rPr>
            </w:pPr>
          </w:p>
        </w:tc>
        <w:tc>
          <w:tcPr>
            <w:tcW w:w="1133" w:type="dxa"/>
            <w:vMerge w:val="restart"/>
            <w:vAlign w:val="center"/>
          </w:tcPr>
          <w:p>
            <w:pPr>
              <w:jc w:val="center"/>
              <w:rPr>
                <w:rFonts w:ascii="仿宋_GB2312"/>
                <w:b/>
                <w:bCs/>
                <w:sz w:val="24"/>
              </w:rPr>
            </w:pPr>
            <w:r>
              <w:rPr>
                <w:rFonts w:hint="eastAsia" w:ascii="仿宋_GB2312"/>
                <w:b/>
                <w:bCs/>
                <w:sz w:val="24"/>
              </w:rPr>
              <w:t>建议</w:t>
            </w:r>
          </w:p>
          <w:p>
            <w:pPr>
              <w:jc w:val="center"/>
              <w:rPr>
                <w:rFonts w:ascii="仿宋_GB2312"/>
                <w:b/>
                <w:bCs/>
                <w:sz w:val="24"/>
              </w:rPr>
            </w:pPr>
            <w:r>
              <w:rPr>
                <w:rFonts w:hint="eastAsia" w:ascii="仿宋_GB2312"/>
                <w:b/>
                <w:bCs/>
                <w:sz w:val="24"/>
              </w:rPr>
              <w:t>处理</w:t>
            </w:r>
          </w:p>
          <w:p>
            <w:pPr>
              <w:jc w:val="center"/>
              <w:rPr>
                <w:rFonts w:ascii="仿宋_GB2312"/>
                <w:sz w:val="28"/>
                <w:szCs w:val="28"/>
              </w:rPr>
            </w:pPr>
            <w:r>
              <w:rPr>
                <w:rFonts w:hint="eastAsia" w:ascii="仿宋_GB2312"/>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pPr>
              <w:spacing w:line="400" w:lineRule="exact"/>
              <w:jc w:val="center"/>
              <w:rPr>
                <w:rFonts w:ascii="仿宋_GB2312"/>
                <w:b/>
                <w:sz w:val="24"/>
              </w:rPr>
            </w:pPr>
            <w:r>
              <w:rPr>
                <w:rFonts w:hint="eastAsia" w:ascii="仿宋_GB2312"/>
                <w:b/>
                <w:sz w:val="24"/>
              </w:rPr>
              <w:t>项目交易场所</w:t>
            </w:r>
          </w:p>
        </w:tc>
        <w:tc>
          <w:tcPr>
            <w:tcW w:w="6184" w:type="dxa"/>
          </w:tcPr>
          <w:p>
            <w:pPr>
              <w:spacing w:line="400" w:lineRule="exact"/>
              <w:jc w:val="center"/>
              <w:rPr>
                <w:rFonts w:ascii="仿宋_GB2312"/>
                <w:sz w:val="28"/>
                <w:szCs w:val="28"/>
              </w:rPr>
            </w:pPr>
          </w:p>
        </w:tc>
        <w:tc>
          <w:tcPr>
            <w:tcW w:w="1133" w:type="dxa"/>
            <w:vMerge w:val="continue"/>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pPr>
              <w:spacing w:line="400" w:lineRule="exact"/>
              <w:jc w:val="center"/>
              <w:rPr>
                <w:rFonts w:ascii="仿宋_GB2312"/>
                <w:b/>
                <w:sz w:val="24"/>
              </w:rPr>
            </w:pPr>
            <w:r>
              <w:rPr>
                <w:rFonts w:hint="eastAsia" w:ascii="仿宋_GB2312"/>
                <w:b/>
                <w:sz w:val="24"/>
              </w:rPr>
              <w:t>评标日期</w:t>
            </w:r>
          </w:p>
        </w:tc>
        <w:tc>
          <w:tcPr>
            <w:tcW w:w="6184" w:type="dxa"/>
          </w:tcPr>
          <w:p>
            <w:pPr>
              <w:spacing w:line="400" w:lineRule="exact"/>
              <w:jc w:val="center"/>
              <w:rPr>
                <w:rFonts w:ascii="仿宋_GB2312"/>
                <w:sz w:val="28"/>
                <w:szCs w:val="28"/>
              </w:rPr>
            </w:pPr>
          </w:p>
        </w:tc>
        <w:tc>
          <w:tcPr>
            <w:tcW w:w="1133" w:type="dxa"/>
            <w:vMerge w:val="continue"/>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2" w:type="dxa"/>
            <w:vAlign w:val="center"/>
          </w:tcPr>
          <w:p>
            <w:pPr>
              <w:spacing w:line="400" w:lineRule="exact"/>
              <w:jc w:val="center"/>
              <w:rPr>
                <w:rFonts w:ascii="仿宋_GB2312"/>
                <w:b/>
                <w:sz w:val="24"/>
              </w:rPr>
            </w:pPr>
            <w:r>
              <w:rPr>
                <w:rFonts w:hint="eastAsia" w:ascii="仿宋_GB2312"/>
                <w:b/>
                <w:sz w:val="24"/>
              </w:rPr>
              <w:t>专家姓名及身份证号码</w:t>
            </w:r>
          </w:p>
        </w:tc>
        <w:tc>
          <w:tcPr>
            <w:tcW w:w="6184" w:type="dxa"/>
          </w:tcPr>
          <w:p>
            <w:pPr>
              <w:jc w:val="center"/>
              <w:rPr>
                <w:rFonts w:ascii="仿宋_GB2312"/>
                <w:sz w:val="28"/>
                <w:szCs w:val="28"/>
              </w:rPr>
            </w:pPr>
          </w:p>
        </w:tc>
        <w:tc>
          <w:tcPr>
            <w:tcW w:w="1133" w:type="dxa"/>
            <w:vMerge w:val="continue"/>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22" w:type="dxa"/>
            <w:vMerge w:val="restart"/>
            <w:vAlign w:val="center"/>
          </w:tcPr>
          <w:p>
            <w:pPr>
              <w:jc w:val="center"/>
              <w:rPr>
                <w:rFonts w:ascii="仿宋_GB2312"/>
                <w:b/>
                <w:sz w:val="24"/>
              </w:rPr>
            </w:pPr>
            <w:r>
              <w:rPr>
                <w:rFonts w:hint="eastAsia" w:ascii="仿宋_GB2312"/>
                <w:b/>
                <w:sz w:val="24"/>
              </w:rPr>
              <w:t>不良行为及建议处理记分</w:t>
            </w:r>
          </w:p>
        </w:tc>
        <w:tc>
          <w:tcPr>
            <w:tcW w:w="6184" w:type="dxa"/>
            <w:vAlign w:val="center"/>
          </w:tcPr>
          <w:p>
            <w:pPr>
              <w:spacing w:line="360" w:lineRule="exact"/>
              <w:rPr>
                <w:rFonts w:ascii="仿宋_GB2312" w:cs="仿宋_GB2312"/>
                <w:sz w:val="24"/>
              </w:rPr>
            </w:pPr>
            <w:r>
              <w:rPr>
                <w:rFonts w:hint="eastAsia" w:ascii="仿宋_GB2312" w:cs="仿宋_GB2312"/>
                <w:b/>
                <w:bCs/>
                <w:sz w:val="24"/>
              </w:rPr>
              <w:t>□</w:t>
            </w:r>
            <w:r>
              <w:rPr>
                <w:rFonts w:hint="eastAsia" w:ascii="仿宋_GB2312" w:cs="仿宋_GB2312"/>
                <w:sz w:val="24"/>
              </w:rPr>
              <w:t>接到评标通知确认参加后</w:t>
            </w:r>
            <w:r>
              <w:rPr>
                <w:rFonts w:hint="eastAsia" w:ascii="仿宋_GB2312" w:cs="仿宋_GB2312"/>
                <w:sz w:val="24"/>
                <w:lang w:eastAsia="zh-CN"/>
              </w:rPr>
              <w:t>，</w:t>
            </w:r>
            <w:r>
              <w:rPr>
                <w:rFonts w:hint="eastAsia" w:ascii="仿宋_GB2312" w:cs="仿宋_GB2312"/>
                <w:sz w:val="24"/>
              </w:rPr>
              <w:t>无正当理由不参加评标的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超过抽取终端设定时间到达评标规定区域</w:t>
            </w:r>
            <w:r>
              <w:rPr>
                <w:rFonts w:hint="eastAsia" w:ascii="仿宋_GB2312" w:cs="仿宋_GB2312"/>
                <w:sz w:val="24"/>
                <w:lang w:eastAsia="zh-CN"/>
              </w:rPr>
              <w:t>，</w:t>
            </w:r>
            <w:r>
              <w:rPr>
                <w:rFonts w:hint="eastAsia" w:ascii="仿宋_GB2312" w:cs="仿宋_GB2312"/>
                <w:sz w:val="24"/>
              </w:rPr>
              <w:t>迟到30分钟（含）至60分钟的；超过1小时的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未按规定存放手提包</w:t>
            </w:r>
            <w:r>
              <w:rPr>
                <w:rFonts w:hint="eastAsia" w:ascii="仿宋_GB2312" w:cs="仿宋_GB2312"/>
                <w:sz w:val="24"/>
                <w:lang w:eastAsia="zh-CN"/>
              </w:rPr>
              <w:t>，</w:t>
            </w:r>
            <w:r>
              <w:rPr>
                <w:rFonts w:hint="eastAsia" w:ascii="仿宋_GB2312" w:cs="仿宋_GB2312"/>
                <w:sz w:val="24"/>
              </w:rPr>
              <w:t>手机、电脑、智能手表等各种通讯工具</w:t>
            </w:r>
            <w:r>
              <w:rPr>
                <w:rFonts w:hint="eastAsia" w:ascii="仿宋_GB2312" w:cs="仿宋_GB2312"/>
                <w:sz w:val="24"/>
                <w:lang w:eastAsia="zh-CN"/>
              </w:rPr>
              <w:t>，</w:t>
            </w:r>
            <w:r>
              <w:rPr>
                <w:rFonts w:hint="eastAsia" w:ascii="仿宋_GB2312" w:cs="仿宋_GB2312"/>
                <w:sz w:val="24"/>
              </w:rPr>
              <w:t>以及无线接收传送设备、电子存储记忆录放设备的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不熟悉电子评标操作系统</w:t>
            </w:r>
            <w:r>
              <w:rPr>
                <w:rFonts w:hint="eastAsia" w:ascii="仿宋_GB2312" w:cs="仿宋_GB2312"/>
                <w:sz w:val="24"/>
                <w:lang w:eastAsia="zh-CN"/>
              </w:rPr>
              <w:t>，</w:t>
            </w:r>
            <w:r>
              <w:rPr>
                <w:rFonts w:hint="eastAsia" w:ascii="仿宋_GB2312" w:cs="仿宋_GB2312"/>
                <w:sz w:val="24"/>
              </w:rPr>
              <w:t>影响评标工作的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在评标过程中</w:t>
            </w:r>
            <w:r>
              <w:rPr>
                <w:rFonts w:hint="eastAsia" w:ascii="仿宋_GB2312" w:cs="仿宋_GB2312"/>
                <w:sz w:val="24"/>
                <w:lang w:eastAsia="zh-CN"/>
              </w:rPr>
              <w:t>，</w:t>
            </w:r>
            <w:r>
              <w:rPr>
                <w:rFonts w:hint="eastAsia" w:ascii="仿宋_GB2312" w:cs="仿宋_GB2312"/>
                <w:sz w:val="24"/>
              </w:rPr>
              <w:t>怠于履行评标职责</w:t>
            </w:r>
            <w:r>
              <w:rPr>
                <w:rFonts w:hint="eastAsia" w:ascii="仿宋_GB2312" w:cs="仿宋_GB2312"/>
                <w:sz w:val="24"/>
                <w:lang w:eastAsia="zh-CN"/>
              </w:rPr>
              <w:t>，</w:t>
            </w:r>
            <w:r>
              <w:rPr>
                <w:rFonts w:hint="eastAsia" w:ascii="仿宋_GB2312" w:cs="仿宋_GB2312"/>
                <w:sz w:val="24"/>
              </w:rPr>
              <w:t>存在不独立评标、敷衍应付、简单套用其他评标专家意见、结论、不集中精力评审投标文件等情况的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以不评标、不在评标报告上签字、故意拖延时间等方式</w:t>
            </w:r>
            <w:r>
              <w:rPr>
                <w:rFonts w:hint="eastAsia" w:ascii="仿宋_GB2312" w:cs="仿宋_GB2312"/>
                <w:sz w:val="24"/>
                <w:lang w:eastAsia="zh-CN"/>
              </w:rPr>
              <w:t>，</w:t>
            </w:r>
            <w:r>
              <w:rPr>
                <w:rFonts w:hint="eastAsia" w:ascii="仿宋_GB2312" w:cs="仿宋_GB2312"/>
                <w:sz w:val="24"/>
              </w:rPr>
              <w:t>索要超过规定、约定的劳务报酬的</w:t>
            </w:r>
            <w:r>
              <w:rPr>
                <w:rFonts w:hint="eastAsia" w:ascii="仿宋_GB2312" w:cs="仿宋_GB2312"/>
                <w:sz w:val="24"/>
                <w:lang w:eastAsia="zh-CN"/>
              </w:rPr>
              <w:t>，</w:t>
            </w:r>
            <w:r>
              <w:rPr>
                <w:rFonts w:hint="eastAsia" w:ascii="仿宋_GB2312" w:cs="仿宋_GB2312"/>
                <w:sz w:val="24"/>
              </w:rPr>
              <w:t>索要劳务报酬以外的其他好处、财物的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评标过程中随意离开评标室、随意进出其他评标室的</w:t>
            </w:r>
          </w:p>
        </w:tc>
        <w:tc>
          <w:tcPr>
            <w:tcW w:w="1133"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记录、抄写、夹带与评标相关的内容</w:t>
            </w:r>
            <w:r>
              <w:rPr>
                <w:rFonts w:hint="eastAsia" w:ascii="仿宋_GB2312" w:cs="仿宋_GB2312"/>
                <w:sz w:val="24"/>
                <w:lang w:eastAsia="zh-CN"/>
              </w:rPr>
              <w:t>，</w:t>
            </w:r>
            <w:r>
              <w:rPr>
                <w:rFonts w:hint="eastAsia" w:ascii="仿宋_GB2312" w:cs="仿宋_GB2312"/>
                <w:sz w:val="24"/>
              </w:rPr>
              <w:t>私自将评标的相关资料带出评标区的</w:t>
            </w:r>
          </w:p>
        </w:tc>
        <w:tc>
          <w:tcPr>
            <w:tcW w:w="1133"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不配合招标人依法组织的中标候选人履约能力审查或异议处理工作的</w:t>
            </w:r>
          </w:p>
        </w:tc>
        <w:tc>
          <w:tcPr>
            <w:tcW w:w="1133"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b/>
                <w:bCs/>
                <w:sz w:val="24"/>
              </w:rPr>
            </w:pPr>
            <w:r>
              <w:rPr>
                <w:rFonts w:hint="eastAsia"/>
                <w:b/>
                <w:bCs/>
                <w:sz w:val="24"/>
              </w:rPr>
              <w:sym w:font="Wingdings 2" w:char="00A3"/>
            </w:r>
            <w:r>
              <w:rPr>
                <w:rFonts w:hint="eastAsia" w:ascii="仿宋_GB2312" w:cs="仿宋_GB2312"/>
                <w:sz w:val="24"/>
              </w:rPr>
              <w:t>不配合招投标行业行政监督部门投诉处理、监督、检查工作的</w:t>
            </w:r>
          </w:p>
        </w:tc>
        <w:tc>
          <w:tcPr>
            <w:tcW w:w="1133"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b/>
                <w:bCs/>
                <w:sz w:val="24"/>
              </w:rPr>
            </w:pPr>
            <w:r>
              <w:rPr>
                <w:rFonts w:hint="eastAsia"/>
                <w:b/>
                <w:bCs/>
                <w:sz w:val="24"/>
              </w:rPr>
              <w:sym w:font="Wingdings 2" w:char="00A3"/>
            </w:r>
            <w:r>
              <w:rPr>
                <w:rFonts w:hint="eastAsia" w:ascii="仿宋_GB2312" w:cs="仿宋_GB2312"/>
                <w:sz w:val="24"/>
              </w:rPr>
              <w:t>其他违反评标规定的不良行为；情节严重的</w:t>
            </w:r>
          </w:p>
        </w:tc>
        <w:tc>
          <w:tcPr>
            <w:tcW w:w="1133"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7" w:hRule="atLeast"/>
        </w:trPr>
        <w:tc>
          <w:tcPr>
            <w:tcW w:w="1722" w:type="dxa"/>
            <w:vAlign w:val="center"/>
          </w:tcPr>
          <w:p>
            <w:pPr>
              <w:spacing w:line="400" w:lineRule="exact"/>
              <w:jc w:val="center"/>
              <w:rPr>
                <w:rFonts w:ascii="仿宋_GB2312"/>
                <w:b/>
                <w:sz w:val="24"/>
              </w:rPr>
            </w:pPr>
          </w:p>
          <w:p>
            <w:pPr>
              <w:spacing w:line="400" w:lineRule="exact"/>
              <w:jc w:val="center"/>
              <w:rPr>
                <w:rFonts w:ascii="仿宋_GB2312"/>
                <w:b/>
                <w:sz w:val="24"/>
              </w:rPr>
            </w:pPr>
            <w:r>
              <w:rPr>
                <w:rFonts w:hint="eastAsia" w:ascii="仿宋_GB2312"/>
                <w:b/>
                <w:sz w:val="24"/>
              </w:rPr>
              <w:t>相关人员</w:t>
            </w:r>
          </w:p>
          <w:p>
            <w:pPr>
              <w:spacing w:line="400" w:lineRule="exact"/>
              <w:jc w:val="center"/>
              <w:rPr>
                <w:rFonts w:ascii="仿宋_GB2312"/>
                <w:b/>
                <w:sz w:val="24"/>
              </w:rPr>
            </w:pPr>
            <w:r>
              <w:rPr>
                <w:rFonts w:hint="eastAsia" w:ascii="仿宋_GB2312"/>
                <w:b/>
                <w:sz w:val="24"/>
              </w:rPr>
              <w:t>签字确认</w:t>
            </w:r>
          </w:p>
        </w:tc>
        <w:tc>
          <w:tcPr>
            <w:tcW w:w="7317" w:type="dxa"/>
            <w:gridSpan w:val="2"/>
            <w:vAlign w:val="bottom"/>
          </w:tcPr>
          <w:p>
            <w:pPr>
              <w:spacing w:line="400" w:lineRule="exact"/>
              <w:jc w:val="center"/>
              <w:rPr>
                <w:rFonts w:hint="eastAsia" w:ascii="仿宋_GB2312" w:eastAsiaTheme="minorEastAsia"/>
                <w:sz w:val="28"/>
                <w:szCs w:val="28"/>
                <w:lang w:eastAsia="zh-CN"/>
              </w:rPr>
            </w:pPr>
            <w:r>
              <w:rPr>
                <w:rFonts w:hint="eastAsia" w:ascii="仿宋_GB2312"/>
                <w:sz w:val="28"/>
                <w:szCs w:val="28"/>
                <w:lang w:val="en-US" w:eastAsia="zh-CN"/>
              </w:rPr>
              <w:t xml:space="preserve">                          </w:t>
            </w:r>
            <w:r>
              <w:rPr>
                <w:rFonts w:hint="eastAsia" w:ascii="仿宋_GB2312"/>
                <w:sz w:val="28"/>
                <w:szCs w:val="28"/>
              </w:rPr>
              <w:t>盖章或签名</w:t>
            </w:r>
            <w:r>
              <w:rPr>
                <w:rFonts w:hint="eastAsia" w:ascii="仿宋_GB2312"/>
                <w:sz w:val="28"/>
                <w:szCs w:val="28"/>
                <w:lang w:eastAsia="zh-CN"/>
              </w:rPr>
              <w:t>：</w:t>
            </w:r>
          </w:p>
          <w:p>
            <w:pPr>
              <w:spacing w:line="400" w:lineRule="exact"/>
              <w:ind w:firstLine="5040" w:firstLineChars="1800"/>
              <w:jc w:val="center"/>
              <w:rPr>
                <w:rFonts w:ascii="仿宋_GB2312"/>
                <w:sz w:val="28"/>
                <w:szCs w:val="28"/>
              </w:rPr>
            </w:pPr>
            <w:r>
              <w:rPr>
                <w:rFonts w:hint="eastAsia" w:ascii="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1722" w:type="dxa"/>
            <w:vAlign w:val="center"/>
          </w:tcPr>
          <w:p>
            <w:pPr>
              <w:spacing w:line="400" w:lineRule="exact"/>
              <w:jc w:val="left"/>
              <w:rPr>
                <w:rFonts w:ascii="仿宋_GB2312"/>
                <w:b/>
                <w:sz w:val="24"/>
              </w:rPr>
            </w:pPr>
            <w:r>
              <w:rPr>
                <w:rFonts w:hint="eastAsia" w:ascii="仿宋_GB2312"/>
                <w:b/>
                <w:sz w:val="24"/>
              </w:rPr>
              <w:t>被发现、或被反映不良行为评标专家签字确认</w:t>
            </w:r>
          </w:p>
        </w:tc>
        <w:tc>
          <w:tcPr>
            <w:tcW w:w="7317" w:type="dxa"/>
            <w:gridSpan w:val="2"/>
            <w:vAlign w:val="bottom"/>
          </w:tcPr>
          <w:p>
            <w:pPr>
              <w:spacing w:line="400" w:lineRule="exact"/>
              <w:ind w:firstLine="5040" w:firstLineChars="1800"/>
              <w:jc w:val="right"/>
              <w:rPr>
                <w:rFonts w:hint="eastAsia" w:ascii="仿宋_GB2312"/>
                <w:sz w:val="28"/>
                <w:szCs w:val="28"/>
              </w:rPr>
            </w:pPr>
            <w:r>
              <w:rPr>
                <w:rFonts w:hint="eastAsia" w:ascii="仿宋_GB2312"/>
                <w:sz w:val="28"/>
                <w:szCs w:val="28"/>
              </w:rPr>
              <w:t xml:space="preserve">                                  </w:t>
            </w:r>
          </w:p>
          <w:p>
            <w:pPr>
              <w:spacing w:line="400" w:lineRule="exact"/>
              <w:ind w:firstLine="5040" w:firstLineChars="1800"/>
              <w:jc w:val="right"/>
              <w:rPr>
                <w:rFonts w:hint="eastAsia" w:ascii="仿宋_GB2312"/>
                <w:sz w:val="28"/>
                <w:szCs w:val="28"/>
              </w:rPr>
            </w:pPr>
          </w:p>
          <w:p>
            <w:pPr>
              <w:spacing w:line="400" w:lineRule="exact"/>
              <w:ind w:firstLine="4760" w:firstLineChars="1700"/>
              <w:jc w:val="both"/>
              <w:rPr>
                <w:rFonts w:hint="default" w:ascii="仿宋_GB2312" w:eastAsiaTheme="minorEastAsia"/>
                <w:sz w:val="28"/>
                <w:szCs w:val="28"/>
                <w:lang w:val="en-US" w:eastAsia="zh-CN"/>
              </w:rPr>
            </w:pPr>
            <w:r>
              <w:rPr>
                <w:rFonts w:hint="eastAsia" w:ascii="仿宋_GB2312"/>
                <w:sz w:val="28"/>
                <w:szCs w:val="28"/>
              </w:rPr>
              <w:t>盖章或签名</w:t>
            </w:r>
            <w:r>
              <w:rPr>
                <w:rFonts w:hint="eastAsia" w:ascii="仿宋_GB2312"/>
                <w:sz w:val="28"/>
                <w:szCs w:val="28"/>
                <w:lang w:eastAsia="zh-CN"/>
              </w:rPr>
              <w:t>：</w:t>
            </w:r>
            <w:r>
              <w:rPr>
                <w:rFonts w:hint="eastAsia" w:ascii="仿宋_GB2312"/>
                <w:sz w:val="28"/>
                <w:szCs w:val="28"/>
                <w:lang w:val="en-US" w:eastAsia="zh-CN"/>
              </w:rPr>
              <w:t xml:space="preserve">  </w:t>
            </w:r>
          </w:p>
          <w:p>
            <w:pPr>
              <w:rPr>
                <w:rFonts w:ascii="仿宋_GB2312"/>
                <w:sz w:val="28"/>
                <w:szCs w:val="28"/>
              </w:rPr>
            </w:pP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6" w:hRule="atLeast"/>
        </w:trPr>
        <w:tc>
          <w:tcPr>
            <w:tcW w:w="1722" w:type="dxa"/>
            <w:vAlign w:val="center"/>
          </w:tcPr>
          <w:p>
            <w:pPr>
              <w:rPr>
                <w:rFonts w:ascii="仿宋_GB2312"/>
                <w:b/>
                <w:sz w:val="24"/>
              </w:rPr>
            </w:pPr>
            <w:r>
              <w:rPr>
                <w:rFonts w:hint="eastAsia" w:ascii="仿宋_GB2312"/>
                <w:b/>
                <w:sz w:val="24"/>
              </w:rPr>
              <w:t>不良行为具体情形、核实情况、认定建议</w:t>
            </w:r>
          </w:p>
        </w:tc>
        <w:tc>
          <w:tcPr>
            <w:tcW w:w="7317" w:type="dxa"/>
            <w:gridSpan w:val="2"/>
            <w:vAlign w:val="bottom"/>
          </w:tcPr>
          <w:p>
            <w:pPr>
              <w:spacing w:line="400" w:lineRule="exact"/>
              <w:jc w:val="center"/>
              <w:rPr>
                <w:rFonts w:hint="eastAsia" w:ascii="仿宋_GB2312" w:eastAsiaTheme="minorEastAsia"/>
                <w:sz w:val="28"/>
                <w:szCs w:val="28"/>
                <w:lang w:eastAsia="zh-CN"/>
              </w:rPr>
            </w:pPr>
            <w:r>
              <w:rPr>
                <w:rFonts w:hint="eastAsia" w:ascii="仿宋_GB2312"/>
                <w:sz w:val="28"/>
                <w:szCs w:val="28"/>
                <w:lang w:val="en-US" w:eastAsia="zh-CN"/>
              </w:rPr>
              <w:t xml:space="preserve">                          </w:t>
            </w:r>
            <w:r>
              <w:rPr>
                <w:rFonts w:hint="eastAsia" w:ascii="仿宋_GB2312"/>
                <w:sz w:val="28"/>
                <w:szCs w:val="28"/>
              </w:rPr>
              <w:t>交易中心盖章</w:t>
            </w:r>
            <w:r>
              <w:rPr>
                <w:rFonts w:hint="eastAsia" w:ascii="仿宋_GB2312"/>
                <w:sz w:val="28"/>
                <w:szCs w:val="28"/>
                <w:lang w:eastAsia="zh-CN"/>
              </w:rPr>
              <w:t>：</w:t>
            </w:r>
          </w:p>
          <w:p>
            <w:pPr>
              <w:jc w:val="center"/>
              <w:rPr>
                <w:rFonts w:ascii="仿宋_GB2312"/>
                <w:sz w:val="28"/>
                <w:szCs w:val="28"/>
              </w:rPr>
            </w:pPr>
            <w:r>
              <w:rPr>
                <w:rFonts w:hint="eastAsia" w:ascii="仿宋_GB2312"/>
                <w:sz w:val="28"/>
                <w:szCs w:val="28"/>
                <w:lang w:val="en-US" w:eastAsia="zh-CN"/>
              </w:rPr>
              <w:t xml:space="preserve">                                    </w:t>
            </w:r>
            <w:r>
              <w:rPr>
                <w:rFonts w:hint="eastAsia" w:ascii="仿宋_GB2312"/>
                <w:sz w:val="28"/>
                <w:szCs w:val="28"/>
              </w:rPr>
              <w:t>年  月  日</w:t>
            </w:r>
          </w:p>
        </w:tc>
      </w:tr>
    </w:tbl>
    <w:p>
      <w:pPr>
        <w:widowControl/>
        <w:jc w:val="left"/>
        <w:rPr>
          <w:b/>
          <w:bCs/>
          <w:sz w:val="24"/>
        </w:rPr>
        <w:sectPr>
          <w:pgSz w:w="11906" w:h="16838"/>
          <w:pgMar w:top="1417" w:right="1247" w:bottom="1247" w:left="1417" w:header="851" w:footer="1417" w:gutter="0"/>
          <w:cols w:space="0" w:num="1"/>
          <w:rtlGutter w:val="0"/>
          <w:docGrid w:type="linesAndChars" w:linePitch="579" w:charSpace="0"/>
        </w:sectPr>
      </w:pPr>
      <w:r>
        <w:rPr>
          <w:rFonts w:hint="eastAsia"/>
          <w:b/>
          <w:bCs/>
          <w:sz w:val="24"/>
        </w:rPr>
        <w:t>备注：在不良行为前“□”内打“√”</w:t>
      </w:r>
    </w:p>
    <w:p>
      <w:pPr>
        <w:widowControl/>
        <w:jc w:val="left"/>
        <w:rPr>
          <w:rFonts w:hint="eastAsia" w:ascii="仿宋_GB2312" w:eastAsia="仿宋_GB2312"/>
          <w:lang w:eastAsia="zh-CN"/>
        </w:rPr>
      </w:pPr>
      <w:r>
        <w:rPr>
          <w:rFonts w:hint="eastAsia" w:ascii="仿宋_GB2312" w:hAnsi="黑体" w:eastAsia="仿宋_GB2312" w:cs="黑体"/>
          <w:b/>
          <w:bCs/>
          <w:sz w:val="32"/>
        </w:rPr>
        <w:t>附件2</w:t>
      </w:r>
      <w:r>
        <w:rPr>
          <w:rFonts w:hint="eastAsia" w:ascii="仿宋_GB2312" w:hAnsi="黑体" w:eastAsia="仿宋_GB2312" w:cs="黑体"/>
          <w:sz w:val="32"/>
        </w:rPr>
        <w:t xml:space="preserve"> </w:t>
      </w:r>
      <w:r>
        <w:rPr>
          <w:rFonts w:hint="eastAsia" w:ascii="仿宋_GB2312" w:eastAsia="仿宋_GB2312"/>
          <w:sz w:val="28"/>
          <w:szCs w:val="28"/>
          <w:lang w:val="en-US" w:eastAsia="zh-CN"/>
        </w:rPr>
        <w:t xml:space="preserve"> </w:t>
      </w:r>
    </w:p>
    <w:p>
      <w:pPr>
        <w:jc w:val="center"/>
        <w:rPr>
          <w:rFonts w:ascii="方正小标宋简体" w:eastAsia="方正小标宋简体"/>
          <w:sz w:val="36"/>
          <w:szCs w:val="36"/>
        </w:rPr>
      </w:pPr>
      <w:r>
        <w:rPr>
          <w:rFonts w:hint="eastAsia" w:ascii="黑体" w:hAnsi="黑体" w:eastAsia="黑体" w:cs="黑体"/>
          <w:sz w:val="36"/>
          <w:szCs w:val="36"/>
        </w:rPr>
        <w:t>违反评标规范要求不良行为反映表</w:t>
      </w:r>
    </w:p>
    <w:p>
      <w:pPr>
        <w:spacing w:line="600" w:lineRule="exact"/>
        <w:jc w:val="center"/>
        <w:rPr>
          <w:rFonts w:ascii="仿宋_GB2312" w:hAnsi="仿宋_GB2312" w:cs="仿宋_GB2312"/>
          <w:sz w:val="28"/>
          <w:szCs w:val="28"/>
        </w:rPr>
      </w:pPr>
      <w:r>
        <w:rPr>
          <w:rFonts w:hint="eastAsia" w:ascii="仿宋_GB2312" w:hAnsi="仿宋_GB2312" w:cs="仿宋_GB2312"/>
          <w:sz w:val="28"/>
          <w:szCs w:val="28"/>
        </w:rPr>
        <w:t>（招标人、招标代理机构、评标专家等有关人员填写）</w:t>
      </w:r>
    </w:p>
    <w:tbl>
      <w:tblPr>
        <w:tblStyle w:val="2"/>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834" w:type="dxa"/>
            <w:shd w:val="clear" w:color="auto" w:fill="auto"/>
            <w:vAlign w:val="center"/>
          </w:tcPr>
          <w:p>
            <w:pPr>
              <w:spacing w:line="400" w:lineRule="exact"/>
              <w:jc w:val="center"/>
              <w:rPr>
                <w:rFonts w:ascii="方正小标宋简体" w:eastAsia="方正小标宋简体"/>
                <w:sz w:val="36"/>
                <w:szCs w:val="36"/>
              </w:rPr>
            </w:pPr>
            <w:r>
              <w:rPr>
                <w:rFonts w:hint="eastAsia" w:ascii="仿宋_GB2312"/>
                <w:b/>
                <w:sz w:val="24"/>
              </w:rPr>
              <w:t>招标项目名称</w:t>
            </w:r>
          </w:p>
        </w:tc>
        <w:tc>
          <w:tcPr>
            <w:tcW w:w="6845" w:type="dxa"/>
            <w:shd w:val="clear" w:color="auto" w:fill="auto"/>
          </w:tcPr>
          <w:p>
            <w:pPr>
              <w:spacing w:line="600" w:lineRule="exact"/>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834" w:type="dxa"/>
            <w:shd w:val="clear" w:color="auto" w:fill="auto"/>
            <w:vAlign w:val="center"/>
          </w:tcPr>
          <w:p>
            <w:pPr>
              <w:spacing w:line="400" w:lineRule="exact"/>
              <w:jc w:val="center"/>
              <w:rPr>
                <w:rFonts w:ascii="方正小标宋简体"/>
                <w:sz w:val="36"/>
                <w:szCs w:val="36"/>
              </w:rPr>
            </w:pPr>
            <w:r>
              <w:rPr>
                <w:rFonts w:hint="eastAsia" w:ascii="仿宋_GB2312"/>
                <w:b/>
                <w:sz w:val="24"/>
              </w:rPr>
              <w:t>项目交易场所</w:t>
            </w:r>
          </w:p>
        </w:tc>
        <w:tc>
          <w:tcPr>
            <w:tcW w:w="6845" w:type="dxa"/>
            <w:shd w:val="clear" w:color="auto" w:fill="auto"/>
          </w:tcPr>
          <w:p>
            <w:pPr>
              <w:spacing w:line="600" w:lineRule="exact"/>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834" w:type="dxa"/>
            <w:shd w:val="clear" w:color="auto" w:fill="auto"/>
            <w:vAlign w:val="center"/>
          </w:tcPr>
          <w:p>
            <w:pPr>
              <w:spacing w:line="400" w:lineRule="exact"/>
              <w:jc w:val="center"/>
              <w:rPr>
                <w:rFonts w:ascii="方正小标宋简体" w:eastAsia="方正小标宋简体"/>
                <w:sz w:val="36"/>
                <w:szCs w:val="36"/>
              </w:rPr>
            </w:pPr>
            <w:r>
              <w:rPr>
                <w:rFonts w:hint="eastAsia" w:ascii="仿宋_GB2312"/>
                <w:b/>
                <w:sz w:val="24"/>
              </w:rPr>
              <w:t>评标日期</w:t>
            </w:r>
          </w:p>
        </w:tc>
        <w:tc>
          <w:tcPr>
            <w:tcW w:w="6845" w:type="dxa"/>
            <w:shd w:val="clear" w:color="auto" w:fill="auto"/>
          </w:tcPr>
          <w:p>
            <w:pPr>
              <w:spacing w:line="600" w:lineRule="exact"/>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834" w:type="dxa"/>
            <w:shd w:val="clear" w:color="auto" w:fill="auto"/>
            <w:vAlign w:val="center"/>
          </w:tcPr>
          <w:p>
            <w:pPr>
              <w:spacing w:line="400" w:lineRule="exact"/>
              <w:jc w:val="center"/>
              <w:rPr>
                <w:rFonts w:ascii="仿宋_GB2312"/>
                <w:b/>
                <w:sz w:val="24"/>
              </w:rPr>
            </w:pPr>
            <w:r>
              <w:rPr>
                <w:rFonts w:hint="eastAsia" w:ascii="仿宋_GB2312"/>
                <w:b/>
                <w:sz w:val="24"/>
              </w:rPr>
              <w:t>被反映评标</w:t>
            </w:r>
          </w:p>
          <w:p>
            <w:pPr>
              <w:spacing w:line="400" w:lineRule="exact"/>
              <w:jc w:val="center"/>
              <w:rPr>
                <w:rFonts w:ascii="方正小标宋简体" w:eastAsia="方正小标宋简体"/>
                <w:sz w:val="36"/>
                <w:szCs w:val="36"/>
              </w:rPr>
            </w:pPr>
            <w:r>
              <w:rPr>
                <w:rFonts w:hint="eastAsia" w:ascii="仿宋_GB2312"/>
                <w:b/>
                <w:sz w:val="24"/>
              </w:rPr>
              <w:t>专家姓名</w:t>
            </w:r>
          </w:p>
        </w:tc>
        <w:tc>
          <w:tcPr>
            <w:tcW w:w="6845" w:type="dxa"/>
            <w:shd w:val="clear" w:color="auto" w:fill="auto"/>
          </w:tcPr>
          <w:p>
            <w:pPr>
              <w:spacing w:line="600" w:lineRule="exact"/>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34" w:type="dxa"/>
            <w:vMerge w:val="restart"/>
            <w:shd w:val="clear" w:color="auto" w:fill="auto"/>
            <w:vAlign w:val="center"/>
          </w:tcPr>
          <w:p/>
          <w:p/>
          <w:p/>
          <w:p>
            <w:pPr>
              <w:spacing w:line="600" w:lineRule="exact"/>
              <w:jc w:val="center"/>
              <w:rPr>
                <w:rFonts w:ascii="方正小标宋简体" w:eastAsia="方正小标宋简体"/>
                <w:sz w:val="36"/>
                <w:szCs w:val="36"/>
              </w:rPr>
            </w:pPr>
            <w:r>
              <w:rPr>
                <w:rFonts w:hint="eastAsia" w:ascii="仿宋_GB2312"/>
                <w:b/>
                <w:sz w:val="24"/>
                <w:szCs w:val="32"/>
              </w:rPr>
              <w:t>不良行为</w:t>
            </w:r>
          </w:p>
        </w:tc>
        <w:tc>
          <w:tcPr>
            <w:tcW w:w="6845" w:type="dxa"/>
            <w:shd w:val="clear" w:color="auto" w:fill="auto"/>
            <w:vAlign w:val="center"/>
          </w:tcPr>
          <w:p>
            <w:pPr>
              <w:spacing w:line="360" w:lineRule="exact"/>
              <w:rPr>
                <w:rFonts w:ascii="方正小标宋简体"/>
                <w:sz w:val="36"/>
                <w:szCs w:val="36"/>
              </w:rPr>
            </w:pPr>
            <w:r>
              <w:rPr>
                <w:rFonts w:hint="eastAsia" w:ascii="仿宋_GB2312" w:cs="仿宋_GB2312"/>
                <w:b/>
                <w:bCs/>
                <w:sz w:val="24"/>
              </w:rPr>
              <w:t>□</w:t>
            </w:r>
            <w:r>
              <w:rPr>
                <w:rFonts w:hint="eastAsia" w:ascii="仿宋_GB2312" w:cs="仿宋_GB2312"/>
                <w:sz w:val="24"/>
              </w:rPr>
              <w:t>接到评标通知确认参加后</w:t>
            </w:r>
            <w:r>
              <w:rPr>
                <w:rFonts w:hint="eastAsia" w:ascii="仿宋_GB2312" w:cs="仿宋_GB2312"/>
                <w:sz w:val="24"/>
                <w:lang w:eastAsia="zh-CN"/>
              </w:rPr>
              <w:t>，</w:t>
            </w:r>
            <w:r>
              <w:rPr>
                <w:rFonts w:hint="eastAsia" w:ascii="仿宋_GB2312" w:cs="仿宋_GB2312"/>
                <w:sz w:val="24"/>
              </w:rPr>
              <w:t>无正当理由不参加评标的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rFonts w:ascii="方正小标宋简体" w:eastAsia="方正小标宋简体"/>
                <w:sz w:val="36"/>
                <w:szCs w:val="36"/>
              </w:rPr>
            </w:pPr>
            <w:r>
              <w:rPr>
                <w:rFonts w:hint="eastAsia"/>
                <w:b/>
                <w:bCs/>
                <w:sz w:val="24"/>
              </w:rPr>
              <w:t>□</w:t>
            </w:r>
            <w:r>
              <w:rPr>
                <w:rFonts w:hint="eastAsia" w:ascii="仿宋_GB2312" w:cs="仿宋_GB2312"/>
                <w:sz w:val="24"/>
              </w:rPr>
              <w:t>超过抽取终端设定时间到达评标规定区域</w:t>
            </w:r>
            <w:r>
              <w:rPr>
                <w:rFonts w:hint="eastAsia" w:ascii="仿宋_GB2312" w:cs="仿宋_GB2312"/>
                <w:sz w:val="24"/>
                <w:lang w:eastAsia="zh-CN"/>
              </w:rPr>
              <w:t>，</w:t>
            </w:r>
            <w:r>
              <w:rPr>
                <w:rFonts w:hint="eastAsia" w:ascii="仿宋_GB2312" w:cs="仿宋_GB2312"/>
                <w:sz w:val="24"/>
              </w:rPr>
              <w:t>迟到30分钟（含）至60分钟的；超过1小时的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rFonts w:ascii="方正小标宋简体" w:eastAsia="方正小标宋简体"/>
                <w:sz w:val="36"/>
                <w:szCs w:val="36"/>
              </w:rPr>
            </w:pPr>
            <w:r>
              <w:rPr>
                <w:rFonts w:hint="eastAsia"/>
                <w:b/>
                <w:bCs/>
                <w:sz w:val="24"/>
              </w:rPr>
              <w:t>□</w:t>
            </w:r>
            <w:r>
              <w:rPr>
                <w:rFonts w:hint="eastAsia" w:ascii="仿宋_GB2312" w:cs="仿宋_GB2312"/>
                <w:sz w:val="24"/>
              </w:rPr>
              <w:t>未按规定存放手提包</w:t>
            </w:r>
            <w:r>
              <w:rPr>
                <w:rFonts w:hint="eastAsia" w:ascii="仿宋_GB2312" w:cs="仿宋_GB2312"/>
                <w:sz w:val="24"/>
                <w:lang w:eastAsia="zh-CN"/>
              </w:rPr>
              <w:t>，</w:t>
            </w:r>
            <w:r>
              <w:rPr>
                <w:rFonts w:hint="eastAsia" w:ascii="仿宋_GB2312" w:cs="仿宋_GB2312"/>
                <w:sz w:val="24"/>
              </w:rPr>
              <w:t>手机、电脑、智能手表等各种通讯工具</w:t>
            </w:r>
            <w:r>
              <w:rPr>
                <w:rFonts w:hint="eastAsia" w:ascii="仿宋_GB2312" w:cs="仿宋_GB2312"/>
                <w:sz w:val="24"/>
                <w:lang w:eastAsia="zh-CN"/>
              </w:rPr>
              <w:t>，</w:t>
            </w:r>
            <w:r>
              <w:rPr>
                <w:rFonts w:hint="eastAsia" w:ascii="仿宋_GB2312" w:cs="仿宋_GB2312"/>
                <w:sz w:val="24"/>
              </w:rPr>
              <w:t>以及无线接收传送设备、电子存储记忆录放设备的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不熟悉电子评标操作系统</w:t>
            </w:r>
            <w:r>
              <w:rPr>
                <w:rFonts w:hint="eastAsia" w:ascii="仿宋_GB2312" w:cs="仿宋_GB2312"/>
                <w:sz w:val="24"/>
                <w:lang w:eastAsia="zh-CN"/>
              </w:rPr>
              <w:t>，</w:t>
            </w:r>
            <w:r>
              <w:rPr>
                <w:rFonts w:hint="eastAsia" w:ascii="仿宋_GB2312" w:cs="仿宋_GB2312"/>
                <w:sz w:val="24"/>
              </w:rPr>
              <w:t>影响评标工作的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834" w:type="dxa"/>
            <w:vMerge w:val="continue"/>
            <w:shd w:val="clear" w:color="auto" w:fill="auto"/>
            <w:vAlign w:val="center"/>
          </w:tcPr>
          <w:p>
            <w:pPr>
              <w:spacing w:line="600" w:lineRule="exact"/>
              <w:jc w:val="center"/>
              <w:rPr>
                <w:rFonts w:ascii="仿宋_GB2312"/>
                <w:b/>
                <w:sz w:val="24"/>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在评标过程中</w:t>
            </w:r>
            <w:r>
              <w:rPr>
                <w:rFonts w:hint="eastAsia" w:ascii="仿宋_GB2312" w:cs="仿宋_GB2312"/>
                <w:sz w:val="24"/>
                <w:lang w:eastAsia="zh-CN"/>
              </w:rPr>
              <w:t>，</w:t>
            </w:r>
            <w:r>
              <w:rPr>
                <w:rFonts w:hint="eastAsia" w:ascii="仿宋_GB2312" w:cs="仿宋_GB2312"/>
                <w:sz w:val="24"/>
              </w:rPr>
              <w:t>怠于履行评标职责</w:t>
            </w:r>
            <w:r>
              <w:rPr>
                <w:rFonts w:hint="eastAsia" w:ascii="仿宋_GB2312" w:cs="仿宋_GB2312"/>
                <w:sz w:val="24"/>
                <w:lang w:eastAsia="zh-CN"/>
              </w:rPr>
              <w:t>，</w:t>
            </w:r>
            <w:r>
              <w:rPr>
                <w:rFonts w:hint="eastAsia" w:ascii="仿宋_GB2312" w:cs="仿宋_GB2312"/>
                <w:sz w:val="24"/>
              </w:rPr>
              <w:t>存在不独立评标、敷衍应付、简单套用其他评标专家意见、结论、不集中精力评审投标文件等情况的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834" w:type="dxa"/>
            <w:vMerge w:val="continue"/>
            <w:shd w:val="clear" w:color="auto" w:fill="auto"/>
            <w:vAlign w:val="center"/>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以不评标、不在评标报告上签字、故意拖延时间等方式</w:t>
            </w:r>
            <w:r>
              <w:rPr>
                <w:rFonts w:hint="eastAsia" w:ascii="仿宋_GB2312" w:cs="仿宋_GB2312"/>
                <w:sz w:val="24"/>
                <w:lang w:eastAsia="zh-CN"/>
              </w:rPr>
              <w:t>，</w:t>
            </w:r>
            <w:r>
              <w:rPr>
                <w:rFonts w:hint="eastAsia" w:ascii="仿宋_GB2312" w:cs="仿宋_GB2312"/>
                <w:sz w:val="24"/>
              </w:rPr>
              <w:t>索要超过规定、约定的劳务报酬的</w:t>
            </w:r>
            <w:r>
              <w:rPr>
                <w:rFonts w:hint="eastAsia" w:ascii="仿宋_GB2312" w:cs="仿宋_GB2312"/>
                <w:sz w:val="24"/>
                <w:lang w:eastAsia="zh-CN"/>
              </w:rPr>
              <w:t>，</w:t>
            </w:r>
            <w:r>
              <w:rPr>
                <w:rFonts w:hint="eastAsia" w:ascii="仿宋_GB2312" w:cs="仿宋_GB2312"/>
                <w:sz w:val="24"/>
              </w:rPr>
              <w:t>索要劳务报酬以外的其他好处、财物的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34" w:type="dxa"/>
            <w:vMerge w:val="continue"/>
            <w:shd w:val="clear" w:color="auto" w:fill="auto"/>
            <w:vAlign w:val="center"/>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评标过程中随意离开评标室、随意进出其他评标室的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记录、抄写、夹带与评标相关的内容</w:t>
            </w:r>
            <w:r>
              <w:rPr>
                <w:rFonts w:hint="eastAsia" w:ascii="仿宋_GB2312" w:cs="仿宋_GB2312"/>
                <w:sz w:val="24"/>
                <w:lang w:eastAsia="zh-CN"/>
              </w:rPr>
              <w:t>，</w:t>
            </w:r>
            <w:r>
              <w:rPr>
                <w:rFonts w:hint="eastAsia" w:ascii="仿宋_GB2312" w:cs="仿宋_GB2312"/>
                <w:sz w:val="24"/>
              </w:rPr>
              <w:t>私自将评标的相关资料带出评标区的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不配合招标人依法组织的中标候选人履约能力审查或异议处理工作的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24"/>
              </w:rPr>
            </w:pPr>
            <w:r>
              <w:rPr>
                <w:rFonts w:hint="eastAsia"/>
                <w:b/>
                <w:bCs/>
                <w:sz w:val="24"/>
              </w:rPr>
              <w:sym w:font="Wingdings 2" w:char="00A3"/>
            </w:r>
            <w:r>
              <w:rPr>
                <w:rFonts w:hint="eastAsia" w:ascii="仿宋_GB2312" w:cs="仿宋_GB2312"/>
                <w:sz w:val="24"/>
              </w:rPr>
              <w:t>不配合招投标行业行政监督部门投诉处理、监督、检查工作的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24"/>
              </w:rPr>
            </w:pPr>
            <w:r>
              <w:rPr>
                <w:rFonts w:hint="eastAsia"/>
                <w:b/>
                <w:bCs/>
                <w:sz w:val="24"/>
              </w:rPr>
              <w:sym w:font="Wingdings 2" w:char="00A3"/>
            </w:r>
            <w:r>
              <w:rPr>
                <w:rFonts w:hint="eastAsia" w:ascii="仿宋_GB2312" w:cs="仿宋_GB2312"/>
                <w:sz w:val="24"/>
              </w:rPr>
              <w:t>其他违反评标规定的不良行为；情节严重的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8" w:hRule="exact"/>
        </w:trPr>
        <w:tc>
          <w:tcPr>
            <w:tcW w:w="1834" w:type="dxa"/>
            <w:shd w:val="clear" w:color="auto" w:fill="auto"/>
            <w:vAlign w:val="center"/>
          </w:tcPr>
          <w:p>
            <w:pPr>
              <w:spacing w:line="400" w:lineRule="exact"/>
              <w:jc w:val="center"/>
              <w:rPr>
                <w:rFonts w:ascii="方正小标宋简体" w:eastAsia="方正小标宋简体"/>
                <w:sz w:val="36"/>
                <w:szCs w:val="36"/>
              </w:rPr>
            </w:pPr>
            <w:r>
              <w:rPr>
                <w:rFonts w:hint="eastAsia" w:ascii="仿宋_GB2312" w:cs="仿宋_GB2312"/>
                <w:b/>
                <w:bCs/>
                <w:sz w:val="24"/>
              </w:rPr>
              <w:t>招标人、招标代理机构、评标专家等有关人员反映不良行为具体情形</w:t>
            </w:r>
          </w:p>
        </w:tc>
        <w:tc>
          <w:tcPr>
            <w:tcW w:w="6845" w:type="dxa"/>
            <w:shd w:val="clear" w:color="auto" w:fill="auto"/>
            <w:vAlign w:val="bottom"/>
          </w:tcPr>
          <w:p>
            <w:pPr>
              <w:wordWrap w:val="0"/>
              <w:spacing w:line="400" w:lineRule="exact"/>
              <w:jc w:val="right"/>
              <w:rPr>
                <w:rFonts w:ascii="仿宋_GB2312"/>
                <w:sz w:val="28"/>
                <w:szCs w:val="28"/>
              </w:rPr>
            </w:pPr>
          </w:p>
          <w:p>
            <w:pPr>
              <w:wordWrap w:val="0"/>
              <w:spacing w:line="400" w:lineRule="exact"/>
              <w:jc w:val="right"/>
              <w:rPr>
                <w:rFonts w:ascii="仿宋_GB2312"/>
                <w:sz w:val="28"/>
                <w:szCs w:val="28"/>
              </w:rPr>
            </w:pPr>
          </w:p>
          <w:p>
            <w:pPr>
              <w:spacing w:line="400" w:lineRule="exact"/>
              <w:ind w:firstLine="602" w:firstLineChars="200"/>
              <w:rPr>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exact"/>
        </w:trPr>
        <w:tc>
          <w:tcPr>
            <w:tcW w:w="1834" w:type="dxa"/>
            <w:shd w:val="clear" w:color="auto" w:fill="auto"/>
            <w:vAlign w:val="center"/>
          </w:tcPr>
          <w:p>
            <w:pPr>
              <w:spacing w:line="400" w:lineRule="exact"/>
              <w:jc w:val="center"/>
              <w:rPr>
                <w:rFonts w:ascii="仿宋_GB2312" w:cs="仿宋_GB2312"/>
                <w:b/>
                <w:bCs/>
                <w:sz w:val="24"/>
              </w:rPr>
            </w:pPr>
            <w:r>
              <w:rPr>
                <w:rFonts w:hint="eastAsia" w:ascii="仿宋_GB2312" w:cs="仿宋_GB2312"/>
                <w:b/>
                <w:bCs/>
                <w:sz w:val="24"/>
              </w:rPr>
              <w:t>招标人、招标代理机构、评标专家等有关人员签字确认</w:t>
            </w:r>
          </w:p>
        </w:tc>
        <w:tc>
          <w:tcPr>
            <w:tcW w:w="6845" w:type="dxa"/>
            <w:shd w:val="clear" w:color="auto" w:fill="auto"/>
            <w:vAlign w:val="bottom"/>
          </w:tcPr>
          <w:p>
            <w:pPr>
              <w:wordWrap/>
              <w:spacing w:line="400" w:lineRule="exact"/>
              <w:jc w:val="center"/>
              <w:rPr>
                <w:rFonts w:hint="eastAsia" w:ascii="仿宋_GB2312" w:eastAsiaTheme="minorEastAsia"/>
                <w:sz w:val="28"/>
                <w:szCs w:val="28"/>
                <w:lang w:eastAsia="zh-CN"/>
              </w:rPr>
            </w:pPr>
            <w:r>
              <w:rPr>
                <w:rFonts w:hint="eastAsia" w:ascii="仿宋_GB2312"/>
                <w:sz w:val="28"/>
                <w:szCs w:val="28"/>
                <w:lang w:val="en-US" w:eastAsia="zh-CN"/>
              </w:rPr>
              <w:t xml:space="preserve">                         </w:t>
            </w:r>
            <w:r>
              <w:rPr>
                <w:rFonts w:hint="eastAsia" w:ascii="仿宋_GB2312"/>
                <w:sz w:val="28"/>
                <w:szCs w:val="28"/>
              </w:rPr>
              <w:t>盖章或签名</w:t>
            </w:r>
            <w:r>
              <w:rPr>
                <w:rFonts w:hint="eastAsia" w:ascii="仿宋_GB2312"/>
                <w:sz w:val="28"/>
                <w:szCs w:val="28"/>
                <w:lang w:eastAsia="zh-CN"/>
              </w:rPr>
              <w:t>：</w:t>
            </w:r>
          </w:p>
          <w:p>
            <w:pPr>
              <w:spacing w:line="400" w:lineRule="exact"/>
              <w:jc w:val="center"/>
              <w:rPr>
                <w:rFonts w:ascii="仿宋_GB2312"/>
                <w:sz w:val="28"/>
                <w:szCs w:val="28"/>
              </w:rPr>
            </w:pPr>
            <w:r>
              <w:rPr>
                <w:rFonts w:hint="eastAsia" w:ascii="仿宋_GB2312"/>
                <w:sz w:val="28"/>
                <w:szCs w:val="28"/>
                <w:lang w:val="en-US" w:eastAsia="zh-CN"/>
              </w:rPr>
              <w:t xml:space="preserve">                                  </w:t>
            </w:r>
            <w:r>
              <w:rPr>
                <w:rFonts w:hint="eastAsia" w:ascii="仿宋_GB2312"/>
                <w:sz w:val="28"/>
                <w:szCs w:val="28"/>
              </w:rPr>
              <w:t>年  月  日</w:t>
            </w:r>
          </w:p>
        </w:tc>
      </w:tr>
    </w:tbl>
    <w:p>
      <w:pPr>
        <w:adjustRightInd w:val="0"/>
        <w:snapToGrid w:val="0"/>
        <w:spacing w:line="480" w:lineRule="exact"/>
        <w:rPr>
          <w:rFonts w:hint="eastAsia"/>
          <w:b/>
          <w:bCs/>
          <w:sz w:val="24"/>
        </w:rPr>
      </w:pPr>
      <w:r>
        <w:rPr>
          <w:rFonts w:hint="eastAsia"/>
          <w:b/>
          <w:bCs/>
          <w:sz w:val="24"/>
        </w:rPr>
        <w:t>备注：在不良行为前“□”内打“√”</w:t>
      </w:r>
      <w:r>
        <w:rPr>
          <w:rFonts w:hint="eastAsia"/>
          <w:b/>
          <w:bCs/>
          <w:sz w:val="24"/>
          <w:lang w:eastAsia="zh-CN"/>
        </w:rPr>
        <w:t>，</w:t>
      </w:r>
      <w:r>
        <w:rPr>
          <w:rFonts w:hint="eastAsia"/>
          <w:b/>
          <w:bCs/>
          <w:sz w:val="24"/>
        </w:rPr>
        <w:t>其他具体情形另行填写。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15C0F"/>
    <w:multiLevelType w:val="singleLevel"/>
    <w:tmpl w:val="6C015C0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ZTU4MjcxYzJiZmU1OWIxODZkN2Y2M2ZjZjAwZWQifQ=="/>
  </w:docVars>
  <w:rsids>
    <w:rsidRoot w:val="42F32967"/>
    <w:rsid w:val="42F3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2023-06-21T09:27:00Z</dcterms:created>
  <dc:creator>Administrator</dc:creator>
  <cp:lastModifiedBy>Administrator</cp:lastModifiedBy>
  <dcterms:modified xsi:type="dcterms:W3CDTF">2023-06-21T09:28:20Z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433F3E2F56DB431C860FF0B4B9313BF5_11</vt:lpwstr>
  </property>
</Properties>
</file>