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CF0EB">
      <w:pPr>
        <w:jc w:val="center"/>
        <w:rPr>
          <w:rFonts w:hint="eastAsia"/>
          <w:b/>
          <w:bCs/>
          <w:color w:val="auto"/>
          <w:sz w:val="44"/>
          <w:szCs w:val="44"/>
          <w:highlight w:val="none"/>
        </w:rPr>
      </w:pPr>
      <w:r>
        <w:rPr>
          <w:rFonts w:hint="eastAsia"/>
          <w:b/>
          <w:bCs/>
          <w:sz w:val="44"/>
          <w:szCs w:val="44"/>
          <w:highlight w:val="white"/>
        </w:rPr>
        <w:t xml:space="preserve"> </w:t>
      </w:r>
      <w:bookmarkStart w:id="0" w:name="EBc6ed06cfa60842e38069764400b2ed3e"/>
      <w:r>
        <w:rPr>
          <w:rFonts w:hint="eastAsia" w:ascii="宋体"/>
          <w:b/>
          <w:bCs/>
          <w:color w:val="0000FF"/>
          <w:sz w:val="44"/>
          <w:szCs w:val="44"/>
          <w:highlight w:val="white"/>
        </w:rPr>
        <w:t>招标文件的其他资料</w:t>
      </w:r>
      <w:bookmarkEnd w:id="0"/>
      <w:bookmarkStart w:id="1" w:name="EB40387a5f9c1844f596b0af7fb795832a"/>
      <w:bookmarkEnd w:id="1"/>
    </w:p>
    <w:p w14:paraId="7C860E64">
      <w:pPr>
        <w:pStyle w:val="6"/>
        <w:jc w:val="left"/>
        <w:rPr>
          <w:rFonts w:ascii="宋体" w:hAnsi="宋体" w:eastAsia="宋体" w:cs="宋体"/>
          <w:color w:val="0000FF"/>
          <w:sz w:val="30"/>
          <w:szCs w:val="30"/>
          <w:highlight w:val="none"/>
        </w:rPr>
      </w:pPr>
      <w:r>
        <w:rPr>
          <w:rFonts w:hint="eastAsia" w:ascii="宋体" w:hAnsi="宋体" w:cs="宋体"/>
          <w:color w:val="0000FF"/>
          <w:sz w:val="30"/>
          <w:szCs w:val="30"/>
          <w:highlight w:val="none"/>
        </w:rPr>
        <w:t>附件一</w:t>
      </w:r>
      <w:r>
        <w:rPr>
          <w:rFonts w:hint="eastAsia" w:ascii="宋体" w:hAnsi="宋体" w:eastAsia="宋体" w:cs="宋体"/>
          <w:color w:val="0000FF"/>
          <w:sz w:val="30"/>
          <w:szCs w:val="30"/>
          <w:highlight w:val="none"/>
        </w:rPr>
        <w:t xml:space="preserve">     </w:t>
      </w:r>
      <w:r>
        <w:rPr>
          <w:rFonts w:hint="eastAsia" w:ascii="宋体" w:hAnsi="宋体" w:eastAsia="宋体" w:cs="宋体"/>
          <w:color w:val="0000FF"/>
          <w:sz w:val="30"/>
          <w:szCs w:val="30"/>
          <w:highlight w:val="none"/>
          <w:lang w:val="en-US" w:eastAsia="zh-CN"/>
        </w:rPr>
        <w:t xml:space="preserve">                </w:t>
      </w:r>
      <w:r>
        <w:rPr>
          <w:rFonts w:hint="eastAsia" w:ascii="宋体" w:hAnsi="宋体" w:cs="宋体"/>
          <w:b/>
          <w:bCs/>
          <w:color w:val="0000FF"/>
          <w:sz w:val="32"/>
          <w:szCs w:val="32"/>
          <w:highlight w:val="none"/>
        </w:rPr>
        <w:t>定标因素</w:t>
      </w:r>
    </w:p>
    <w:tbl>
      <w:tblPr>
        <w:tblStyle w:val="4"/>
        <w:tblW w:w="9477"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7672"/>
        <w:gridCol w:w="755"/>
      </w:tblGrid>
      <w:tr w14:paraId="28F3C03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1050" w:type="dxa"/>
            <w:noWrap w:val="0"/>
            <w:vAlign w:val="center"/>
          </w:tcPr>
          <w:p w14:paraId="681CAAEA">
            <w:pPr>
              <w:pStyle w:val="22"/>
              <w:widowControl/>
              <w:kinsoku w:val="0"/>
              <w:autoSpaceDE w:val="0"/>
              <w:autoSpaceDN w:val="0"/>
              <w:snapToGrid w:val="0"/>
              <w:spacing w:line="360" w:lineRule="auto"/>
              <w:jc w:val="center"/>
              <w:rPr>
                <w:rFonts w:hint="eastAsia"/>
                <w:color w:val="0000FF"/>
                <w:sz w:val="22"/>
                <w:szCs w:val="22"/>
                <w:highlight w:val="none"/>
              </w:rPr>
            </w:pPr>
            <w:r>
              <w:rPr>
                <w:rFonts w:hint="eastAsia"/>
                <w:color w:val="0000FF"/>
                <w:sz w:val="22"/>
                <w:szCs w:val="22"/>
                <w:highlight w:val="none"/>
              </w:rPr>
              <w:t>定标规则</w:t>
            </w:r>
          </w:p>
        </w:tc>
        <w:tc>
          <w:tcPr>
            <w:tcW w:w="7672" w:type="dxa"/>
            <w:noWrap w:val="0"/>
            <w:vAlign w:val="center"/>
          </w:tcPr>
          <w:p w14:paraId="7DCC35A1">
            <w:pPr>
              <w:pStyle w:val="22"/>
              <w:widowControl/>
              <w:kinsoku w:val="0"/>
              <w:autoSpaceDE w:val="0"/>
              <w:autoSpaceDN w:val="0"/>
              <w:snapToGrid w:val="0"/>
              <w:spacing w:line="240" w:lineRule="auto"/>
              <w:jc w:val="center"/>
              <w:rPr>
                <w:rFonts w:hint="eastAsia"/>
                <w:color w:val="0000FF"/>
                <w:sz w:val="22"/>
                <w:szCs w:val="22"/>
                <w:highlight w:val="none"/>
              </w:rPr>
            </w:pPr>
            <w:r>
              <w:rPr>
                <w:rFonts w:hint="eastAsia"/>
                <w:color w:val="0000FF"/>
                <w:spacing w:val="3"/>
                <w:sz w:val="22"/>
                <w:szCs w:val="22"/>
                <w:highlight w:val="none"/>
              </w:rPr>
              <w:t>详细标准</w:t>
            </w:r>
          </w:p>
        </w:tc>
        <w:tc>
          <w:tcPr>
            <w:tcW w:w="755" w:type="dxa"/>
            <w:noWrap w:val="0"/>
            <w:vAlign w:val="center"/>
          </w:tcPr>
          <w:p w14:paraId="192513E9">
            <w:pPr>
              <w:pStyle w:val="22"/>
              <w:widowControl/>
              <w:kinsoku w:val="0"/>
              <w:autoSpaceDE w:val="0"/>
              <w:autoSpaceDN w:val="0"/>
              <w:snapToGrid w:val="0"/>
              <w:spacing w:line="360" w:lineRule="auto"/>
              <w:jc w:val="center"/>
              <w:rPr>
                <w:rFonts w:hint="eastAsia"/>
                <w:color w:val="0000FF"/>
                <w:sz w:val="22"/>
                <w:szCs w:val="22"/>
                <w:highlight w:val="none"/>
              </w:rPr>
            </w:pPr>
            <w:r>
              <w:rPr>
                <w:rFonts w:hint="eastAsia"/>
                <w:color w:val="0000FF"/>
                <w:spacing w:val="5"/>
                <w:sz w:val="22"/>
                <w:szCs w:val="22"/>
                <w:highlight w:val="none"/>
              </w:rPr>
              <w:t>分值</w:t>
            </w:r>
          </w:p>
        </w:tc>
      </w:tr>
      <w:tr w14:paraId="11935BA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895" w:hRule="atLeast"/>
          <w:jc w:val="center"/>
        </w:trPr>
        <w:tc>
          <w:tcPr>
            <w:tcW w:w="1050" w:type="dxa"/>
            <w:tcBorders>
              <w:bottom w:val="nil"/>
            </w:tcBorders>
            <w:noWrap w:val="0"/>
            <w:vAlign w:val="center"/>
          </w:tcPr>
          <w:p w14:paraId="3D616C1C">
            <w:pPr>
              <w:pStyle w:val="28"/>
              <w:widowControl/>
              <w:jc w:val="center"/>
              <w:textAlignment w:val="center"/>
              <w:rPr>
                <w:rFonts w:hint="eastAsia"/>
                <w:color w:val="0000FF"/>
                <w:sz w:val="22"/>
                <w:szCs w:val="22"/>
                <w:highlight w:val="none"/>
              </w:rPr>
            </w:pPr>
            <w:r>
              <w:rPr>
                <w:rFonts w:hint="eastAsia"/>
                <w:color w:val="0000FF"/>
                <w:sz w:val="22"/>
                <w:szCs w:val="22"/>
                <w:highlight w:val="none"/>
              </w:rPr>
              <w:t>价格因素</w:t>
            </w:r>
          </w:p>
        </w:tc>
        <w:tc>
          <w:tcPr>
            <w:tcW w:w="7672" w:type="dxa"/>
            <w:noWrap w:val="0"/>
            <w:vAlign w:val="center"/>
          </w:tcPr>
          <w:p w14:paraId="6543EF6D">
            <w:pPr>
              <w:pStyle w:val="28"/>
              <w:widowControl/>
              <w:ind w:firstLine="220" w:firstLineChars="100"/>
              <w:jc w:val="left"/>
              <w:textAlignment w:val="center"/>
              <w:rPr>
                <w:rFonts w:hint="eastAsia"/>
                <w:color w:val="0000FF"/>
                <w:sz w:val="22"/>
                <w:szCs w:val="22"/>
                <w:highlight w:val="none"/>
              </w:rPr>
            </w:pPr>
            <w:r>
              <w:rPr>
                <w:rFonts w:hint="eastAsia"/>
                <w:color w:val="0000FF"/>
                <w:sz w:val="22"/>
                <w:szCs w:val="22"/>
                <w:highlight w:val="none"/>
              </w:rPr>
              <w:t>根据定标候选人投标报价由低到高排序情况进行横向评议（若任一名出现多家并列的，视为同一名，下同）：</w:t>
            </w:r>
          </w:p>
          <w:p w14:paraId="147939B4">
            <w:pPr>
              <w:pStyle w:val="28"/>
              <w:widowControl/>
              <w:ind w:left="218" w:leftChars="104" w:firstLine="0" w:firstLineChars="0"/>
              <w:jc w:val="left"/>
              <w:textAlignment w:val="center"/>
              <w:rPr>
                <w:rFonts w:hint="eastAsia" w:ascii="宋体" w:hAnsi="宋体" w:cs="仿宋"/>
                <w:color w:val="0000FF"/>
                <w:kern w:val="2"/>
                <w:sz w:val="22"/>
                <w:szCs w:val="22"/>
              </w:rPr>
            </w:pPr>
            <w:r>
              <w:rPr>
                <w:rFonts w:hint="eastAsia" w:ascii="宋体" w:hAnsi="宋体" w:cs="仿宋"/>
                <w:color w:val="0000FF"/>
                <w:kern w:val="2"/>
                <w:sz w:val="22"/>
                <w:szCs w:val="22"/>
              </w:rPr>
              <w:t>1.第一名至第二名得</w:t>
            </w:r>
            <w:r>
              <w:rPr>
                <w:rFonts w:ascii="宋体" w:hAnsi="宋体" w:cs="仿宋"/>
                <w:color w:val="0000FF"/>
                <w:kern w:val="2"/>
                <w:sz w:val="22"/>
                <w:szCs w:val="22"/>
              </w:rPr>
              <w:t>25</w:t>
            </w:r>
            <w:r>
              <w:rPr>
                <w:rFonts w:hint="eastAsia" w:ascii="宋体" w:hAnsi="宋体" w:cs="仿宋"/>
                <w:color w:val="0000FF"/>
                <w:kern w:val="2"/>
                <w:sz w:val="22"/>
                <w:szCs w:val="22"/>
              </w:rPr>
              <w:t>分；</w:t>
            </w:r>
            <w:r>
              <w:rPr>
                <w:rFonts w:hint="eastAsia" w:ascii="宋体" w:hAnsi="宋体" w:cs="仿宋"/>
                <w:color w:val="0000FF"/>
                <w:kern w:val="2"/>
                <w:sz w:val="22"/>
                <w:szCs w:val="22"/>
              </w:rPr>
              <w:br w:type="textWrapping"/>
            </w:r>
            <w:r>
              <w:rPr>
                <w:rFonts w:hint="eastAsia" w:ascii="宋体" w:hAnsi="宋体" w:cs="仿宋"/>
                <w:color w:val="0000FF"/>
                <w:kern w:val="2"/>
                <w:sz w:val="22"/>
                <w:szCs w:val="22"/>
              </w:rPr>
              <w:t>2.第三名至第四</w:t>
            </w:r>
            <w:bookmarkStart w:id="2" w:name="_GoBack"/>
            <w:bookmarkEnd w:id="2"/>
            <w:r>
              <w:rPr>
                <w:rFonts w:hint="eastAsia" w:ascii="宋体" w:hAnsi="宋体" w:cs="仿宋"/>
                <w:color w:val="0000FF"/>
                <w:kern w:val="2"/>
                <w:sz w:val="22"/>
                <w:szCs w:val="22"/>
              </w:rPr>
              <w:t>名得</w:t>
            </w:r>
            <w:r>
              <w:rPr>
                <w:rFonts w:ascii="宋体" w:hAnsi="宋体" w:cs="仿宋"/>
                <w:color w:val="0000FF"/>
                <w:kern w:val="2"/>
                <w:sz w:val="22"/>
                <w:szCs w:val="22"/>
              </w:rPr>
              <w:t>24</w:t>
            </w:r>
            <w:r>
              <w:rPr>
                <w:rFonts w:hint="eastAsia" w:ascii="宋体" w:hAnsi="宋体" w:cs="仿宋"/>
                <w:color w:val="0000FF"/>
                <w:kern w:val="2"/>
                <w:sz w:val="22"/>
                <w:szCs w:val="22"/>
              </w:rPr>
              <w:t>分；</w:t>
            </w:r>
            <w:r>
              <w:rPr>
                <w:rFonts w:hint="eastAsia" w:ascii="宋体" w:hAnsi="宋体" w:cs="仿宋"/>
                <w:color w:val="0000FF"/>
                <w:kern w:val="2"/>
                <w:sz w:val="22"/>
                <w:szCs w:val="22"/>
              </w:rPr>
              <w:br w:type="textWrapping"/>
            </w:r>
            <w:r>
              <w:rPr>
                <w:rFonts w:hint="eastAsia" w:ascii="宋体" w:hAnsi="宋体" w:cs="仿宋"/>
                <w:color w:val="0000FF"/>
                <w:kern w:val="2"/>
                <w:sz w:val="22"/>
                <w:szCs w:val="22"/>
              </w:rPr>
              <w:t>3.第五名至第十名得</w:t>
            </w:r>
            <w:r>
              <w:rPr>
                <w:rFonts w:ascii="宋体" w:hAnsi="宋体" w:cs="仿宋"/>
                <w:color w:val="0000FF"/>
                <w:kern w:val="2"/>
                <w:sz w:val="22"/>
                <w:szCs w:val="22"/>
              </w:rPr>
              <w:t>23</w:t>
            </w:r>
            <w:r>
              <w:rPr>
                <w:rFonts w:hint="eastAsia" w:ascii="宋体" w:hAnsi="宋体" w:cs="仿宋"/>
                <w:color w:val="0000FF"/>
                <w:kern w:val="2"/>
                <w:sz w:val="22"/>
                <w:szCs w:val="22"/>
              </w:rPr>
              <w:t>分。</w:t>
            </w:r>
          </w:p>
          <w:p w14:paraId="59BB5EA9">
            <w:pPr>
              <w:pStyle w:val="28"/>
              <w:rPr>
                <w:color w:val="0000FF"/>
                <w:sz w:val="22"/>
                <w:szCs w:val="22"/>
                <w:highlight w:val="none"/>
              </w:rPr>
            </w:pPr>
            <w:r>
              <w:rPr>
                <w:rFonts w:hint="eastAsia" w:ascii="宋体" w:hAnsi="宋体" w:cs="仿宋"/>
                <w:color w:val="0000FF"/>
                <w:kern w:val="2"/>
                <w:sz w:val="22"/>
                <w:szCs w:val="22"/>
              </w:rPr>
              <w:t>本项满分</w:t>
            </w:r>
            <w:r>
              <w:rPr>
                <w:rFonts w:hint="eastAsia" w:ascii="宋体" w:hAnsi="宋体" w:eastAsia="宋体" w:cs="仿宋"/>
                <w:color w:val="0000FF"/>
                <w:kern w:val="2"/>
                <w:sz w:val="22"/>
                <w:szCs w:val="22"/>
                <w:lang w:val="en-US" w:eastAsia="zh-CN"/>
              </w:rPr>
              <w:t>25</w:t>
            </w:r>
            <w:r>
              <w:rPr>
                <w:rFonts w:hint="eastAsia" w:ascii="宋体" w:hAnsi="宋体" w:cs="仿宋"/>
                <w:color w:val="0000FF"/>
                <w:kern w:val="2"/>
                <w:sz w:val="22"/>
                <w:szCs w:val="22"/>
              </w:rPr>
              <w:t>分。</w:t>
            </w:r>
          </w:p>
        </w:tc>
        <w:tc>
          <w:tcPr>
            <w:tcW w:w="755" w:type="dxa"/>
            <w:noWrap w:val="0"/>
            <w:vAlign w:val="center"/>
          </w:tcPr>
          <w:p w14:paraId="362D1D52">
            <w:pPr>
              <w:pStyle w:val="22"/>
              <w:widowControl/>
              <w:kinsoku w:val="0"/>
              <w:autoSpaceDE w:val="0"/>
              <w:autoSpaceDN w:val="0"/>
              <w:snapToGrid w:val="0"/>
              <w:spacing w:line="360" w:lineRule="auto"/>
              <w:jc w:val="center"/>
              <w:rPr>
                <w:color w:val="0000FF"/>
                <w:sz w:val="22"/>
                <w:szCs w:val="22"/>
                <w:highlight w:val="none"/>
              </w:rPr>
            </w:pPr>
            <w:r>
              <w:rPr>
                <w:rFonts w:hint="eastAsia" w:eastAsia="宋体"/>
                <w:color w:val="0000FF"/>
                <w:sz w:val="22"/>
                <w:szCs w:val="22"/>
                <w:highlight w:val="none"/>
                <w:lang w:val="en-US" w:eastAsia="zh-CN"/>
              </w:rPr>
              <w:t>25</w:t>
            </w:r>
            <w:r>
              <w:rPr>
                <w:rFonts w:hint="eastAsia"/>
                <w:color w:val="0000FF"/>
                <w:sz w:val="22"/>
                <w:szCs w:val="22"/>
                <w:highlight w:val="none"/>
              </w:rPr>
              <w:t>分</w:t>
            </w:r>
          </w:p>
        </w:tc>
      </w:tr>
      <w:tr w14:paraId="20002C5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1050" w:type="dxa"/>
            <w:tcBorders>
              <w:bottom w:val="nil"/>
            </w:tcBorders>
            <w:noWrap w:val="0"/>
            <w:vAlign w:val="center"/>
          </w:tcPr>
          <w:p w14:paraId="4F4BAFF7">
            <w:pPr>
              <w:pStyle w:val="28"/>
              <w:widowControl/>
              <w:snapToGrid w:val="0"/>
              <w:jc w:val="left"/>
              <w:textAlignment w:val="center"/>
              <w:rPr>
                <w:rFonts w:hint="eastAsia" w:ascii="Times New Roman" w:hAnsi="Times New Roman" w:eastAsia="Times New Roman" w:cs="Times New Roman"/>
                <w:color w:val="0000FF"/>
                <w:sz w:val="22"/>
                <w:szCs w:val="22"/>
                <w:highlight w:val="none"/>
                <w:lang w:val="en-US" w:eastAsia="zh-CN"/>
              </w:rPr>
            </w:pPr>
            <w:r>
              <w:rPr>
                <w:rFonts w:hint="eastAsia" w:ascii="Times New Roman" w:hAnsi="Times New Roman" w:eastAsia="Times New Roman" w:cs="Times New Roman"/>
                <w:color w:val="0000FF"/>
                <w:sz w:val="22"/>
                <w:szCs w:val="22"/>
                <w:highlight w:val="none"/>
                <w:lang w:val="en-US" w:eastAsia="zh-CN"/>
              </w:rPr>
              <w:t>方案因素</w:t>
            </w:r>
          </w:p>
        </w:tc>
        <w:tc>
          <w:tcPr>
            <w:tcW w:w="7672" w:type="dxa"/>
            <w:noWrap w:val="0"/>
            <w:vAlign w:val="center"/>
          </w:tcPr>
          <w:p w14:paraId="0305067F">
            <w:pPr>
              <w:pStyle w:val="28"/>
              <w:widowControl/>
              <w:snapToGrid w:val="0"/>
              <w:ind w:firstLine="220" w:firstLineChars="100"/>
              <w:jc w:val="left"/>
              <w:textAlignment w:val="center"/>
              <w:rPr>
                <w:rFonts w:hint="eastAsia" w:ascii="Times New Roman" w:hAnsi="Times New Roman" w:eastAsia="Times New Roman" w:cs="Times New Roman"/>
                <w:color w:val="0000FF"/>
                <w:sz w:val="22"/>
                <w:szCs w:val="22"/>
                <w:highlight w:val="none"/>
                <w:lang w:val="en-US" w:eastAsia="zh-CN"/>
              </w:rPr>
            </w:pPr>
            <w:r>
              <w:rPr>
                <w:rFonts w:hint="eastAsia" w:ascii="Times New Roman" w:hAnsi="Times New Roman" w:eastAsia="Times New Roman" w:cs="Times New Roman"/>
                <w:color w:val="0000FF"/>
                <w:sz w:val="22"/>
                <w:szCs w:val="22"/>
                <w:highlight w:val="none"/>
                <w:lang w:val="en-US" w:eastAsia="zh-CN"/>
              </w:rPr>
              <w:t>1、设计方案：在满足限额设计以及安全、绿色、节能、环保要求的前提下设计方案重点对功能、技术、经济和美观等进行评审。满足基本设计要求的得基本分10分，设计方案对功能、技术、经济和美观等进行优化的加0～5分。</w:t>
            </w:r>
            <w:r>
              <w:rPr>
                <w:rFonts w:hint="eastAsia"/>
                <w:color w:val="0000FF"/>
                <w:sz w:val="22"/>
                <w:szCs w:val="22"/>
                <w:highlight w:val="none"/>
              </w:rPr>
              <w:t>本项</w:t>
            </w:r>
            <w:r>
              <w:rPr>
                <w:rFonts w:hint="eastAsia" w:ascii="Times New Roman" w:hAnsi="Times New Roman" w:eastAsia="Times New Roman" w:cs="Times New Roman"/>
                <w:color w:val="0000FF"/>
                <w:sz w:val="22"/>
                <w:szCs w:val="22"/>
                <w:highlight w:val="none"/>
                <w:lang w:val="en-US" w:eastAsia="zh-CN"/>
              </w:rPr>
              <w:t>满分15分。</w:t>
            </w:r>
          </w:p>
          <w:p w14:paraId="4A08B0C0">
            <w:pPr>
              <w:pStyle w:val="28"/>
              <w:widowControl/>
              <w:snapToGrid w:val="0"/>
              <w:ind w:firstLine="220" w:firstLineChars="100"/>
              <w:jc w:val="left"/>
              <w:textAlignment w:val="center"/>
              <w:rPr>
                <w:rFonts w:hint="eastAsia" w:ascii="Times New Roman" w:hAnsi="Times New Roman" w:eastAsia="Times New Roman" w:cs="Times New Roman"/>
                <w:color w:val="0000FF"/>
                <w:sz w:val="22"/>
                <w:szCs w:val="22"/>
                <w:highlight w:val="none"/>
                <w:lang w:val="en-US" w:eastAsia="zh-CN"/>
              </w:rPr>
            </w:pPr>
            <w:r>
              <w:rPr>
                <w:rFonts w:hint="eastAsia" w:ascii="Times New Roman" w:hAnsi="Times New Roman" w:eastAsia="Times New Roman" w:cs="Times New Roman"/>
                <w:color w:val="0000FF"/>
                <w:sz w:val="22"/>
                <w:szCs w:val="22"/>
                <w:highlight w:val="none"/>
                <w:lang w:val="en-US" w:eastAsia="zh-CN"/>
              </w:rPr>
              <w:t>2、施工方案：</w:t>
            </w:r>
            <w:r>
              <w:rPr>
                <w:rFonts w:hint="eastAsia" w:ascii="Times New Roman" w:hAnsi="Times New Roman" w:eastAsia="Times New Roman" w:cs="Times New Roman"/>
                <w:color w:val="0000FF"/>
                <w:sz w:val="22"/>
                <w:szCs w:val="22"/>
                <w:highlight w:val="none"/>
                <w:lang w:val="en-US" w:eastAsia="zh-CN"/>
              </w:rPr>
              <w:fldChar w:fldCharType="begin"/>
            </w:r>
            <w:r>
              <w:rPr>
                <w:rFonts w:hint="eastAsia" w:ascii="Times New Roman" w:hAnsi="Times New Roman" w:eastAsia="Times New Roman" w:cs="Times New Roman"/>
                <w:color w:val="0000FF"/>
                <w:sz w:val="22"/>
                <w:szCs w:val="22"/>
                <w:highlight w:val="none"/>
                <w:lang w:val="en-US" w:eastAsia="zh-CN"/>
              </w:rPr>
              <w:instrText xml:space="preserve"> = 1 \* GB3 \* MERGEFORMAT </w:instrText>
            </w:r>
            <w:r>
              <w:rPr>
                <w:rFonts w:hint="eastAsia" w:ascii="Times New Roman" w:hAnsi="Times New Roman" w:eastAsia="Times New Roman" w:cs="Times New Roman"/>
                <w:color w:val="0000FF"/>
                <w:sz w:val="22"/>
                <w:szCs w:val="22"/>
                <w:highlight w:val="none"/>
                <w:lang w:val="en-US" w:eastAsia="zh-CN"/>
              </w:rPr>
              <w:fldChar w:fldCharType="separate"/>
            </w:r>
            <w:r>
              <w:rPr>
                <w:rFonts w:hint="eastAsia" w:ascii="Times New Roman" w:hAnsi="Times New Roman" w:eastAsia="Times New Roman" w:cs="Times New Roman"/>
                <w:color w:val="0000FF"/>
                <w:sz w:val="22"/>
                <w:szCs w:val="22"/>
                <w:highlight w:val="none"/>
                <w:lang w:val="en-US" w:eastAsia="zh-CN"/>
              </w:rPr>
              <w:t>①</w:t>
            </w:r>
            <w:r>
              <w:rPr>
                <w:rFonts w:hint="eastAsia" w:ascii="Times New Roman" w:hAnsi="Times New Roman" w:eastAsia="Times New Roman" w:cs="Times New Roman"/>
                <w:color w:val="0000FF"/>
                <w:sz w:val="22"/>
                <w:szCs w:val="22"/>
                <w:highlight w:val="none"/>
                <w:lang w:val="en-US" w:eastAsia="zh-CN"/>
              </w:rPr>
              <w:fldChar w:fldCharType="end"/>
            </w:r>
            <w:r>
              <w:rPr>
                <w:rFonts w:hint="eastAsia" w:ascii="Times New Roman" w:hAnsi="Times New Roman" w:eastAsia="Times New Roman" w:cs="Times New Roman"/>
                <w:color w:val="0000FF"/>
                <w:sz w:val="22"/>
                <w:szCs w:val="22"/>
                <w:highlight w:val="none"/>
                <w:lang w:val="en-US" w:eastAsia="zh-CN"/>
              </w:rPr>
              <w:t>有提供本项目施工程序、方法。②有提供本项目施工质量、安全、文明、环保保障措施。③有提供本项目施工进度计划及保障措</w:t>
            </w:r>
            <w:r>
              <w:rPr>
                <w:rFonts w:hint="eastAsia" w:cs="Times New Roman"/>
                <w:color w:val="0000FF"/>
                <w:sz w:val="22"/>
                <w:szCs w:val="22"/>
                <w:highlight w:val="none"/>
                <w:lang w:val="en-US" w:eastAsia="zh-CN"/>
              </w:rPr>
              <w:t>施</w:t>
            </w:r>
            <w:r>
              <w:rPr>
                <w:rFonts w:hint="eastAsia" w:ascii="Times New Roman" w:hAnsi="Times New Roman" w:eastAsia="Times New Roman" w:cs="Times New Roman"/>
                <w:color w:val="0000FF"/>
                <w:sz w:val="22"/>
                <w:szCs w:val="22"/>
                <w:highlight w:val="none"/>
                <w:lang w:val="en-US" w:eastAsia="zh-CN"/>
              </w:rPr>
              <w:t>。④有提供本项目施工工作重点、难点和对策。⑤有提供本项目合理化建议。满足基本设计要求的得基本分10分，</w:t>
            </w:r>
            <w:r>
              <w:rPr>
                <w:rFonts w:hint="eastAsia" w:ascii="Times New Roman" w:hAnsi="Times New Roman" w:eastAsia="Times New Roman" w:cs="Times New Roman"/>
                <w:color w:val="0000FF"/>
                <w:sz w:val="22"/>
                <w:szCs w:val="22"/>
                <w:highlight w:val="none"/>
              </w:rPr>
              <w:t>由</w:t>
            </w:r>
            <w:r>
              <w:rPr>
                <w:rFonts w:hint="eastAsia" w:ascii="Times New Roman" w:hAnsi="Times New Roman" w:eastAsia="Times New Roman" w:cs="Times New Roman"/>
                <w:color w:val="0000FF"/>
                <w:sz w:val="22"/>
                <w:szCs w:val="22"/>
                <w:highlight w:val="none"/>
                <w:lang w:val="en-US" w:eastAsia="zh-CN"/>
              </w:rPr>
              <w:t>定标委员会</w:t>
            </w:r>
            <w:r>
              <w:rPr>
                <w:rFonts w:hint="eastAsia" w:ascii="Times New Roman" w:hAnsi="Times New Roman" w:eastAsia="Times New Roman" w:cs="Times New Roman"/>
                <w:color w:val="0000FF"/>
                <w:sz w:val="22"/>
                <w:szCs w:val="22"/>
                <w:highlight w:val="none"/>
              </w:rPr>
              <w:t>进行横向比较，在</w:t>
            </w:r>
            <w:r>
              <w:rPr>
                <w:rFonts w:hint="eastAsia" w:ascii="Times New Roman" w:hAnsi="Times New Roman" w:eastAsia="Times New Roman" w:cs="Times New Roman"/>
                <w:color w:val="0000FF"/>
                <w:sz w:val="22"/>
                <w:szCs w:val="22"/>
                <w:highlight w:val="none"/>
                <w:lang w:val="en-US" w:eastAsia="zh-CN"/>
              </w:rPr>
              <w:t>0</w:t>
            </w:r>
            <w:r>
              <w:rPr>
                <w:rFonts w:hint="eastAsia" w:ascii="Times New Roman" w:hAnsi="Times New Roman" w:eastAsia="Times New Roman" w:cs="Times New Roman"/>
                <w:color w:val="0000FF"/>
                <w:sz w:val="22"/>
                <w:szCs w:val="22"/>
                <w:highlight w:val="none"/>
              </w:rPr>
              <w:t>-</w:t>
            </w:r>
            <w:r>
              <w:rPr>
                <w:rFonts w:hint="eastAsia" w:ascii="Times New Roman" w:hAnsi="Times New Roman" w:eastAsia="Times New Roman" w:cs="Times New Roman"/>
                <w:color w:val="0000FF"/>
                <w:sz w:val="22"/>
                <w:szCs w:val="22"/>
                <w:highlight w:val="none"/>
                <w:lang w:val="en-US" w:eastAsia="zh-CN"/>
              </w:rPr>
              <w:t>5</w:t>
            </w:r>
            <w:r>
              <w:rPr>
                <w:rFonts w:hint="eastAsia" w:ascii="Times New Roman" w:hAnsi="Times New Roman" w:eastAsia="Times New Roman" w:cs="Times New Roman"/>
                <w:color w:val="0000FF"/>
                <w:sz w:val="22"/>
                <w:szCs w:val="22"/>
                <w:highlight w:val="none"/>
              </w:rPr>
              <w:t>分酌情</w:t>
            </w:r>
            <w:r>
              <w:rPr>
                <w:rFonts w:hint="eastAsia" w:ascii="Times New Roman" w:hAnsi="Times New Roman" w:eastAsia="Times New Roman" w:cs="Times New Roman"/>
                <w:color w:val="0000FF"/>
                <w:sz w:val="22"/>
                <w:szCs w:val="22"/>
                <w:highlight w:val="none"/>
                <w:lang w:val="en-US" w:eastAsia="zh-CN"/>
              </w:rPr>
              <w:t>加分</w:t>
            </w:r>
            <w:r>
              <w:rPr>
                <w:rFonts w:hint="eastAsia" w:ascii="Times New Roman" w:hAnsi="Times New Roman" w:eastAsia="Times New Roman" w:cs="Times New Roman"/>
                <w:color w:val="0000FF"/>
                <w:sz w:val="22"/>
                <w:szCs w:val="22"/>
                <w:highlight w:val="none"/>
              </w:rPr>
              <w:t>，</w:t>
            </w:r>
            <w:r>
              <w:rPr>
                <w:rFonts w:hint="eastAsia"/>
                <w:color w:val="0000FF"/>
                <w:sz w:val="22"/>
                <w:szCs w:val="22"/>
                <w:highlight w:val="none"/>
              </w:rPr>
              <w:t>本项</w:t>
            </w:r>
            <w:r>
              <w:rPr>
                <w:rFonts w:hint="eastAsia" w:ascii="Times New Roman" w:hAnsi="Times New Roman" w:eastAsia="Times New Roman" w:cs="Times New Roman"/>
                <w:color w:val="0000FF"/>
                <w:sz w:val="22"/>
                <w:szCs w:val="22"/>
                <w:highlight w:val="none"/>
                <w:lang w:val="en-US" w:eastAsia="zh-CN"/>
              </w:rPr>
              <w:t>满分15分。</w:t>
            </w:r>
          </w:p>
        </w:tc>
        <w:tc>
          <w:tcPr>
            <w:tcW w:w="755" w:type="dxa"/>
            <w:noWrap w:val="0"/>
            <w:vAlign w:val="center"/>
          </w:tcPr>
          <w:p w14:paraId="725D7FB0">
            <w:pPr>
              <w:pStyle w:val="28"/>
              <w:widowControl/>
              <w:snapToGrid w:val="0"/>
              <w:jc w:val="center"/>
              <w:textAlignment w:val="center"/>
              <w:rPr>
                <w:rFonts w:hint="eastAsia" w:ascii="Times New Roman" w:hAnsi="Times New Roman" w:eastAsia="Times New Roman" w:cs="Times New Roman"/>
                <w:color w:val="0000FF"/>
                <w:sz w:val="22"/>
                <w:szCs w:val="22"/>
                <w:highlight w:val="none"/>
              </w:rPr>
            </w:pPr>
            <w:r>
              <w:rPr>
                <w:rFonts w:hint="eastAsia" w:ascii="Times New Roman" w:hAnsi="Times New Roman" w:eastAsia="Times New Roman" w:cs="Times New Roman"/>
                <w:color w:val="0000FF"/>
                <w:sz w:val="22"/>
                <w:szCs w:val="22"/>
                <w:highlight w:val="none"/>
                <w:lang w:val="en-US" w:eastAsia="zh-CN"/>
              </w:rPr>
              <w:t>30</w:t>
            </w:r>
            <w:r>
              <w:rPr>
                <w:rFonts w:hint="eastAsia" w:ascii="Times New Roman" w:hAnsi="Times New Roman" w:eastAsia="Times New Roman" w:cs="Times New Roman"/>
                <w:color w:val="0000FF"/>
                <w:sz w:val="22"/>
                <w:szCs w:val="22"/>
                <w:highlight w:val="none"/>
              </w:rPr>
              <w:t>分</w:t>
            </w:r>
          </w:p>
        </w:tc>
      </w:tr>
      <w:tr w14:paraId="360E67C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1050" w:type="dxa"/>
            <w:tcBorders>
              <w:bottom w:val="single" w:color="auto" w:sz="4" w:space="0"/>
            </w:tcBorders>
            <w:noWrap w:val="0"/>
            <w:vAlign w:val="center"/>
          </w:tcPr>
          <w:p w14:paraId="32CF5C2D">
            <w:pPr>
              <w:pStyle w:val="28"/>
              <w:widowControl/>
              <w:snapToGrid w:val="0"/>
              <w:jc w:val="left"/>
              <w:textAlignment w:val="center"/>
              <w:rPr>
                <w:rFonts w:hint="eastAsia" w:ascii="Times New Roman" w:hAnsi="Times New Roman" w:eastAsia="Times New Roman" w:cs="Times New Roman"/>
                <w:color w:val="0000FF"/>
                <w:sz w:val="22"/>
                <w:szCs w:val="22"/>
                <w:highlight w:val="none"/>
              </w:rPr>
            </w:pPr>
            <w:r>
              <w:rPr>
                <w:rFonts w:hint="eastAsia" w:ascii="Times New Roman" w:hAnsi="Times New Roman" w:eastAsia="Times New Roman" w:cs="Times New Roman"/>
                <w:color w:val="0000FF"/>
                <w:sz w:val="22"/>
                <w:szCs w:val="22"/>
                <w:highlight w:val="none"/>
              </w:rPr>
              <w:t>团队因素</w:t>
            </w:r>
          </w:p>
        </w:tc>
        <w:tc>
          <w:tcPr>
            <w:tcW w:w="7672" w:type="dxa"/>
            <w:tcBorders>
              <w:bottom w:val="single" w:color="auto" w:sz="4" w:space="0"/>
            </w:tcBorders>
            <w:noWrap w:val="0"/>
            <w:vAlign w:val="center"/>
          </w:tcPr>
          <w:p w14:paraId="18F5E41F">
            <w:pPr>
              <w:pStyle w:val="28"/>
              <w:widowControl/>
              <w:snapToGrid w:val="0"/>
              <w:ind w:firstLine="220" w:firstLineChars="100"/>
              <w:jc w:val="left"/>
              <w:textAlignment w:val="center"/>
              <w:rPr>
                <w:rFonts w:hint="eastAsia" w:ascii="Times New Roman" w:hAnsi="Times New Roman" w:eastAsia="Times New Roman" w:cs="Times New Roman"/>
                <w:color w:val="0000FF"/>
                <w:sz w:val="22"/>
                <w:szCs w:val="22"/>
                <w:highlight w:val="none"/>
                <w:lang w:val="en-US" w:eastAsia="zh-CN"/>
              </w:rPr>
            </w:pPr>
            <w:r>
              <w:rPr>
                <w:rFonts w:hint="eastAsia" w:ascii="Times New Roman" w:hAnsi="Times New Roman" w:eastAsia="Times New Roman" w:cs="Times New Roman"/>
                <w:color w:val="0000FF"/>
                <w:sz w:val="22"/>
                <w:szCs w:val="22"/>
                <w:highlight w:val="none"/>
                <w:lang w:val="en-US" w:eastAsia="zh-CN"/>
              </w:rPr>
              <w:t>设计团队：</w:t>
            </w:r>
            <w:r>
              <w:rPr>
                <w:rFonts w:hint="eastAsia" w:ascii="Times New Roman" w:hAnsi="Times New Roman" w:eastAsia="Times New Roman" w:cs="Times New Roman"/>
                <w:color w:val="0000FF"/>
                <w:sz w:val="22"/>
                <w:szCs w:val="22"/>
                <w:highlight w:val="none"/>
              </w:rPr>
              <w:t>投标人（或主体工程设计单位）中</w:t>
            </w:r>
            <w:r>
              <w:rPr>
                <w:rFonts w:hint="eastAsia" w:ascii="Times New Roman" w:hAnsi="Times New Roman" w:eastAsia="Times New Roman" w:cs="Times New Roman"/>
                <w:color w:val="0000FF"/>
                <w:sz w:val="22"/>
                <w:szCs w:val="22"/>
                <w:highlight w:val="none"/>
                <w:lang w:val="en-US" w:eastAsia="zh-CN"/>
              </w:rPr>
              <w:t>a、</w:t>
            </w:r>
            <w:r>
              <w:rPr>
                <w:rFonts w:hint="eastAsia" w:ascii="Times New Roman" w:hAnsi="Times New Roman" w:eastAsia="Times New Roman" w:cs="Times New Roman"/>
                <w:color w:val="0000FF"/>
                <w:sz w:val="22"/>
                <w:szCs w:val="22"/>
                <w:highlight w:val="none"/>
              </w:rPr>
              <w:t>拟派设计团队</w:t>
            </w:r>
            <w:r>
              <w:rPr>
                <w:rFonts w:hint="eastAsia" w:ascii="Times New Roman" w:hAnsi="Times New Roman" w:eastAsia="Times New Roman" w:cs="Times New Roman"/>
                <w:color w:val="0000FF"/>
                <w:sz w:val="22"/>
                <w:szCs w:val="22"/>
                <w:highlight w:val="none"/>
                <w:lang w:eastAsia="zh-CN"/>
              </w:rPr>
              <w:t>中建筑专业负责人、结构专业负责人、电气专业负责人、给排水专业负责人均具备</w:t>
            </w:r>
            <w:r>
              <w:rPr>
                <w:rFonts w:hint="eastAsia" w:ascii="Times New Roman" w:hAnsi="Times New Roman" w:eastAsia="Times New Roman" w:cs="Times New Roman"/>
                <w:color w:val="0000FF"/>
                <w:sz w:val="22"/>
                <w:szCs w:val="22"/>
                <w:highlight w:val="none"/>
                <w:lang w:val="en-US" w:eastAsia="zh-CN"/>
              </w:rPr>
              <w:t>工程师职称得5分；b、</w:t>
            </w:r>
            <w:r>
              <w:rPr>
                <w:rFonts w:hint="eastAsia" w:ascii="Times New Roman" w:hAnsi="Times New Roman" w:eastAsia="Times New Roman" w:cs="Times New Roman"/>
                <w:color w:val="0000FF"/>
                <w:sz w:val="22"/>
                <w:szCs w:val="22"/>
                <w:highlight w:val="none"/>
                <w:lang w:eastAsia="zh-CN"/>
              </w:rPr>
              <w:t>拟派设计团队中建筑专业负责人、结构专业负责人、电气专业负责人、给排水专业负责人均具备高级工程师</w:t>
            </w:r>
            <w:r>
              <w:rPr>
                <w:rFonts w:hint="eastAsia" w:ascii="Times New Roman" w:hAnsi="Times New Roman" w:eastAsia="Times New Roman" w:cs="Times New Roman"/>
                <w:color w:val="0000FF"/>
                <w:sz w:val="22"/>
                <w:szCs w:val="22"/>
                <w:highlight w:val="none"/>
                <w:lang w:val="en-US" w:eastAsia="zh-CN"/>
              </w:rPr>
              <w:t>及以上职称的</w:t>
            </w:r>
            <w:r>
              <w:rPr>
                <w:rFonts w:hint="eastAsia" w:ascii="Times New Roman" w:hAnsi="Times New Roman" w:eastAsia="Times New Roman" w:cs="Times New Roman"/>
                <w:color w:val="0000FF"/>
                <w:sz w:val="22"/>
                <w:szCs w:val="22"/>
                <w:highlight w:val="none"/>
                <w:lang w:eastAsia="zh-CN"/>
              </w:rPr>
              <w:t>，</w:t>
            </w:r>
            <w:r>
              <w:rPr>
                <w:rFonts w:hint="eastAsia" w:ascii="Times New Roman" w:hAnsi="Times New Roman" w:eastAsia="Times New Roman" w:cs="Times New Roman"/>
                <w:color w:val="0000FF"/>
                <w:sz w:val="22"/>
                <w:szCs w:val="22"/>
                <w:highlight w:val="none"/>
                <w:lang w:val="en-US" w:eastAsia="zh-CN"/>
              </w:rPr>
              <w:t>得10分；</w:t>
            </w:r>
            <w:r>
              <w:rPr>
                <w:rFonts w:hint="eastAsia"/>
                <w:color w:val="0000FF"/>
                <w:sz w:val="22"/>
                <w:szCs w:val="22"/>
                <w:highlight w:val="none"/>
              </w:rPr>
              <w:t>本项</w:t>
            </w:r>
            <w:r>
              <w:rPr>
                <w:rFonts w:hint="eastAsia" w:ascii="Times New Roman" w:hAnsi="Times New Roman" w:eastAsia="Times New Roman" w:cs="Times New Roman"/>
                <w:color w:val="0000FF"/>
                <w:sz w:val="22"/>
                <w:szCs w:val="22"/>
                <w:highlight w:val="none"/>
                <w:lang w:val="en-US" w:eastAsia="zh-CN"/>
              </w:rPr>
              <w:t>满分10分。 c、</w:t>
            </w:r>
            <w:r>
              <w:rPr>
                <w:rFonts w:hint="eastAsia" w:ascii="Times New Roman" w:hAnsi="Times New Roman" w:eastAsia="Times New Roman" w:cs="Times New Roman"/>
                <w:color w:val="0000FF"/>
                <w:sz w:val="22"/>
                <w:szCs w:val="22"/>
                <w:highlight w:val="none"/>
              </w:rPr>
              <w:t>拟派设计团队</w:t>
            </w:r>
            <w:r>
              <w:rPr>
                <w:rFonts w:hint="eastAsia" w:ascii="Times New Roman" w:hAnsi="Times New Roman" w:eastAsia="Times New Roman" w:cs="Times New Roman"/>
                <w:color w:val="0000FF"/>
                <w:sz w:val="22"/>
                <w:szCs w:val="22"/>
                <w:highlight w:val="none"/>
                <w:lang w:eastAsia="zh-CN"/>
              </w:rPr>
              <w:t>中给排水专业负责人</w:t>
            </w:r>
            <w:r>
              <w:rPr>
                <w:rFonts w:hint="eastAsia" w:ascii="Times New Roman" w:hAnsi="Times New Roman" w:eastAsia="Times New Roman" w:cs="Times New Roman"/>
                <w:color w:val="0000FF"/>
                <w:sz w:val="22"/>
                <w:szCs w:val="22"/>
                <w:highlight w:val="none"/>
                <w:lang w:val="en-US" w:eastAsia="zh-CN"/>
              </w:rPr>
              <w:t>具备注册设备工程师（给水排水）得2分，具备一级注册造价工程师（安装工程）和教授级或正高级工程师职称的每项加1.5分，</w:t>
            </w:r>
            <w:r>
              <w:rPr>
                <w:rFonts w:hint="eastAsia" w:ascii="Times New Roman" w:hAnsi="Times New Roman" w:eastAsia="Times New Roman" w:cs="Times New Roman"/>
                <w:color w:val="0000FF"/>
                <w:sz w:val="22"/>
                <w:szCs w:val="22"/>
                <w:highlight w:val="none"/>
              </w:rPr>
              <w:t>本项</w:t>
            </w:r>
            <w:r>
              <w:rPr>
                <w:rFonts w:hint="eastAsia" w:ascii="Times New Roman" w:hAnsi="Times New Roman" w:eastAsia="Times New Roman" w:cs="Times New Roman"/>
                <w:color w:val="0000FF"/>
                <w:sz w:val="22"/>
                <w:szCs w:val="22"/>
                <w:highlight w:val="none"/>
                <w:lang w:val="en-US" w:eastAsia="zh-CN"/>
              </w:rPr>
              <w:t>满分5分。</w:t>
            </w:r>
          </w:p>
          <w:p w14:paraId="0C7799BA">
            <w:pPr>
              <w:pStyle w:val="28"/>
              <w:widowControl/>
              <w:snapToGrid w:val="0"/>
              <w:ind w:firstLine="220" w:firstLineChars="100"/>
              <w:jc w:val="left"/>
              <w:textAlignment w:val="center"/>
              <w:rPr>
                <w:rFonts w:hint="default" w:ascii="Times New Roman" w:hAnsi="Times New Roman" w:eastAsia="Times New Roman" w:cs="Times New Roman"/>
                <w:color w:val="0000FF"/>
                <w:sz w:val="22"/>
                <w:szCs w:val="22"/>
                <w:highlight w:val="none"/>
                <w:lang w:val="en-US" w:eastAsia="zh-CN"/>
              </w:rPr>
            </w:pPr>
            <w:r>
              <w:rPr>
                <w:rFonts w:hint="eastAsia" w:ascii="Times New Roman" w:hAnsi="Times New Roman" w:eastAsia="Times New Roman" w:cs="Times New Roman"/>
                <w:color w:val="0000FF"/>
                <w:sz w:val="22"/>
                <w:szCs w:val="22"/>
                <w:highlight w:val="none"/>
                <w:lang w:val="en-US" w:eastAsia="zh-CN"/>
              </w:rPr>
              <w:t>说明：设计团队各专业负责人均为1人,人员不得重复。</w:t>
            </w:r>
          </w:p>
        </w:tc>
        <w:tc>
          <w:tcPr>
            <w:tcW w:w="755" w:type="dxa"/>
            <w:noWrap w:val="0"/>
            <w:vAlign w:val="center"/>
          </w:tcPr>
          <w:p w14:paraId="3753DB6B">
            <w:pPr>
              <w:pStyle w:val="28"/>
              <w:widowControl/>
              <w:snapToGrid w:val="0"/>
              <w:jc w:val="center"/>
              <w:textAlignment w:val="center"/>
              <w:rPr>
                <w:rFonts w:hint="eastAsia" w:ascii="Times New Roman" w:hAnsi="Times New Roman" w:eastAsia="Times New Roman" w:cs="Times New Roman"/>
                <w:color w:val="0000FF"/>
                <w:sz w:val="22"/>
                <w:szCs w:val="22"/>
                <w:highlight w:val="none"/>
              </w:rPr>
            </w:pPr>
            <w:r>
              <w:rPr>
                <w:rFonts w:hint="eastAsia" w:ascii="Times New Roman" w:hAnsi="Times New Roman" w:eastAsia="Times New Roman" w:cs="Times New Roman"/>
                <w:color w:val="0000FF"/>
                <w:sz w:val="22"/>
                <w:szCs w:val="22"/>
                <w:highlight w:val="none"/>
                <w:lang w:val="en-US" w:eastAsia="zh-CN"/>
              </w:rPr>
              <w:t>15</w:t>
            </w:r>
            <w:r>
              <w:rPr>
                <w:rFonts w:hint="eastAsia" w:ascii="Times New Roman" w:hAnsi="Times New Roman" w:eastAsia="Times New Roman" w:cs="Times New Roman"/>
                <w:color w:val="0000FF"/>
                <w:sz w:val="22"/>
                <w:szCs w:val="22"/>
                <w:highlight w:val="none"/>
              </w:rPr>
              <w:t>分</w:t>
            </w:r>
          </w:p>
        </w:tc>
      </w:tr>
      <w:tr w14:paraId="6F8854E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1050" w:type="dxa"/>
            <w:tcBorders>
              <w:bottom w:val="single" w:color="auto" w:sz="4" w:space="0"/>
            </w:tcBorders>
            <w:noWrap w:val="0"/>
            <w:vAlign w:val="center"/>
          </w:tcPr>
          <w:p w14:paraId="10C22EAF">
            <w:pPr>
              <w:pStyle w:val="28"/>
              <w:widowControl/>
              <w:snapToGrid w:val="0"/>
              <w:jc w:val="left"/>
              <w:textAlignment w:val="center"/>
              <w:rPr>
                <w:rFonts w:hint="eastAsia" w:ascii="Times New Roman" w:hAnsi="Times New Roman" w:eastAsia="Times New Roman" w:cs="Times New Roman"/>
                <w:color w:val="0000FF"/>
                <w:sz w:val="22"/>
                <w:szCs w:val="22"/>
                <w:highlight w:val="none"/>
              </w:rPr>
            </w:pPr>
            <w:r>
              <w:rPr>
                <w:rFonts w:hint="eastAsia" w:ascii="Times New Roman" w:hAnsi="Times New Roman" w:eastAsia="Times New Roman" w:cs="Times New Roman"/>
                <w:color w:val="0000FF"/>
                <w:sz w:val="22"/>
                <w:szCs w:val="22"/>
                <w:highlight w:val="none"/>
              </w:rPr>
              <w:t>服务因素</w:t>
            </w:r>
          </w:p>
        </w:tc>
        <w:tc>
          <w:tcPr>
            <w:tcW w:w="7672" w:type="dxa"/>
            <w:tcBorders>
              <w:bottom w:val="single" w:color="auto" w:sz="4" w:space="0"/>
            </w:tcBorders>
            <w:noWrap w:val="0"/>
            <w:vAlign w:val="center"/>
          </w:tcPr>
          <w:p w14:paraId="171A11A5">
            <w:pPr>
              <w:pStyle w:val="29"/>
              <w:ind w:left="0" w:leftChars="0" w:firstLine="220" w:firstLineChars="100"/>
              <w:rPr>
                <w:rFonts w:hint="default" w:eastAsia="宋体"/>
                <w:color w:val="0000FF"/>
                <w:highlight w:val="none"/>
                <w:lang w:val="en-US" w:eastAsia="zh-CN"/>
              </w:rPr>
            </w:pPr>
            <w:r>
              <w:rPr>
                <w:rFonts w:hint="eastAsia" w:ascii="宋体" w:hAnsi="宋体" w:cs="仿宋"/>
                <w:color w:val="0000FF"/>
                <w:sz w:val="22"/>
                <w:szCs w:val="22"/>
              </w:rPr>
              <w:t>服务方案：根据定标候选人的履约能力、质量保证、服务的主动性、响应时间、团队到岗履职能力、定标候选人对项目团队检查、考核等公司内控体系，重点考核履约能力；由定标委员会进行评议打分，服务方案包含的要点齐全无缺漏项、内容与要点相符、内容完善且完全适用于本项目的，在</w:t>
            </w:r>
            <w:r>
              <w:rPr>
                <w:rFonts w:ascii="宋体" w:hAnsi="宋体" w:cs="仿宋"/>
                <w:color w:val="0000FF"/>
                <w:sz w:val="22"/>
                <w:szCs w:val="22"/>
              </w:rPr>
              <w:t>8-10</w:t>
            </w:r>
            <w:r>
              <w:rPr>
                <w:rFonts w:hint="eastAsia" w:ascii="宋体" w:hAnsi="宋体" w:cs="仿宋"/>
                <w:color w:val="0000FF"/>
                <w:sz w:val="22"/>
                <w:szCs w:val="22"/>
              </w:rPr>
              <w:t>分之间进行打分；服务方案所包含的要点齐全、内容与要点不够完善，且部分适用本项目的，在</w:t>
            </w:r>
            <w:r>
              <w:rPr>
                <w:rFonts w:ascii="宋体" w:hAnsi="宋体" w:cs="仿宋"/>
                <w:color w:val="0000FF"/>
                <w:sz w:val="22"/>
                <w:szCs w:val="22"/>
              </w:rPr>
              <w:t>5-8</w:t>
            </w:r>
            <w:r>
              <w:rPr>
                <w:rFonts w:hint="eastAsia" w:ascii="宋体" w:hAnsi="宋体" w:cs="仿宋"/>
                <w:color w:val="0000FF"/>
                <w:sz w:val="22"/>
                <w:szCs w:val="22"/>
              </w:rPr>
              <w:t>分之间进行打分；服务方案有缺漏或内容存在错误的，在</w:t>
            </w:r>
            <w:r>
              <w:rPr>
                <w:rFonts w:ascii="宋体" w:hAnsi="宋体" w:cs="仿宋"/>
                <w:color w:val="0000FF"/>
                <w:sz w:val="22"/>
                <w:szCs w:val="22"/>
              </w:rPr>
              <w:t>3-5</w:t>
            </w:r>
            <w:r>
              <w:rPr>
                <w:rFonts w:hint="eastAsia" w:ascii="宋体" w:hAnsi="宋体" w:cs="仿宋"/>
                <w:color w:val="0000FF"/>
                <w:sz w:val="22"/>
                <w:szCs w:val="22"/>
              </w:rPr>
              <w:t>分之间进行打分；未提供的本项不得分。</w:t>
            </w:r>
          </w:p>
        </w:tc>
        <w:tc>
          <w:tcPr>
            <w:tcW w:w="755" w:type="dxa"/>
            <w:noWrap w:val="0"/>
            <w:vAlign w:val="center"/>
          </w:tcPr>
          <w:p w14:paraId="18BAE40C">
            <w:pPr>
              <w:pStyle w:val="28"/>
              <w:widowControl/>
              <w:snapToGrid w:val="0"/>
              <w:jc w:val="center"/>
              <w:textAlignment w:val="center"/>
              <w:rPr>
                <w:rFonts w:hint="eastAsia" w:ascii="Times New Roman" w:hAnsi="Times New Roman" w:eastAsia="Times New Roman" w:cs="Times New Roman"/>
                <w:color w:val="0000FF"/>
                <w:sz w:val="22"/>
                <w:szCs w:val="22"/>
                <w:highlight w:val="none"/>
              </w:rPr>
            </w:pPr>
            <w:r>
              <w:rPr>
                <w:rFonts w:hint="eastAsia" w:ascii="Times New Roman" w:hAnsi="Times New Roman" w:eastAsia="Times New Roman" w:cs="Times New Roman"/>
                <w:color w:val="0000FF"/>
                <w:sz w:val="22"/>
                <w:szCs w:val="22"/>
                <w:highlight w:val="none"/>
                <w:lang w:val="en-US" w:eastAsia="zh-CN"/>
              </w:rPr>
              <w:t>10</w:t>
            </w:r>
            <w:r>
              <w:rPr>
                <w:rFonts w:hint="eastAsia" w:ascii="Times New Roman" w:hAnsi="Times New Roman" w:eastAsia="Times New Roman" w:cs="Times New Roman"/>
                <w:color w:val="0000FF"/>
                <w:sz w:val="22"/>
                <w:szCs w:val="22"/>
                <w:highlight w:val="none"/>
              </w:rPr>
              <w:t>分</w:t>
            </w:r>
          </w:p>
        </w:tc>
      </w:tr>
      <w:tr w14:paraId="0C44E61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050" w:type="dxa"/>
            <w:noWrap w:val="0"/>
            <w:vAlign w:val="center"/>
          </w:tcPr>
          <w:p w14:paraId="3BE3B46F">
            <w:pPr>
              <w:pStyle w:val="28"/>
              <w:widowControl/>
              <w:snapToGrid w:val="0"/>
              <w:jc w:val="left"/>
              <w:textAlignment w:val="center"/>
              <w:rPr>
                <w:rFonts w:hint="eastAsia" w:ascii="Times New Roman" w:hAnsi="Times New Roman" w:eastAsia="Times New Roman" w:cs="Times New Roman"/>
                <w:color w:val="0000FF"/>
                <w:sz w:val="22"/>
                <w:szCs w:val="22"/>
                <w:highlight w:val="none"/>
              </w:rPr>
            </w:pPr>
            <w:r>
              <w:rPr>
                <w:rFonts w:hint="eastAsia" w:ascii="Times New Roman" w:hAnsi="Times New Roman" w:eastAsia="Times New Roman" w:cs="Times New Roman"/>
                <w:color w:val="0000FF"/>
                <w:sz w:val="22"/>
                <w:szCs w:val="22"/>
                <w:highlight w:val="none"/>
              </w:rPr>
              <w:t>答辩因素</w:t>
            </w:r>
          </w:p>
        </w:tc>
        <w:tc>
          <w:tcPr>
            <w:tcW w:w="7672" w:type="dxa"/>
            <w:noWrap w:val="0"/>
            <w:vAlign w:val="center"/>
          </w:tcPr>
          <w:p w14:paraId="7AB4FFE7">
            <w:pPr>
              <w:pStyle w:val="28"/>
              <w:widowControl/>
              <w:snapToGrid w:val="0"/>
              <w:ind w:firstLine="220" w:firstLineChars="100"/>
              <w:jc w:val="left"/>
              <w:textAlignment w:val="center"/>
              <w:rPr>
                <w:rFonts w:hint="eastAsia" w:ascii="Times New Roman" w:hAnsi="Times New Roman" w:eastAsia="Times New Roman" w:cs="Times New Roman"/>
                <w:color w:val="0000FF"/>
                <w:sz w:val="22"/>
                <w:szCs w:val="22"/>
                <w:highlight w:val="none"/>
              </w:rPr>
            </w:pPr>
            <w:r>
              <w:rPr>
                <w:rFonts w:hint="eastAsia" w:ascii="Times New Roman" w:hAnsi="Times New Roman" w:eastAsia="Times New Roman" w:cs="Times New Roman"/>
                <w:color w:val="0000FF"/>
                <w:sz w:val="22"/>
                <w:szCs w:val="22"/>
                <w:highlight w:val="none"/>
              </w:rPr>
              <w:fldChar w:fldCharType="begin"/>
            </w:r>
            <w:r>
              <w:rPr>
                <w:rFonts w:hint="eastAsia" w:ascii="Times New Roman" w:hAnsi="Times New Roman" w:eastAsia="Times New Roman" w:cs="Times New Roman"/>
                <w:color w:val="0000FF"/>
                <w:sz w:val="22"/>
                <w:szCs w:val="22"/>
                <w:highlight w:val="none"/>
              </w:rPr>
              <w:instrText xml:space="preserve"> = 1 \* GB3 \* MERGEFORMAT </w:instrText>
            </w:r>
            <w:r>
              <w:rPr>
                <w:rFonts w:hint="eastAsia" w:ascii="Times New Roman" w:hAnsi="Times New Roman" w:eastAsia="Times New Roman" w:cs="Times New Roman"/>
                <w:color w:val="0000FF"/>
                <w:sz w:val="22"/>
                <w:szCs w:val="22"/>
                <w:highlight w:val="none"/>
              </w:rPr>
              <w:fldChar w:fldCharType="separate"/>
            </w:r>
            <w:r>
              <w:rPr>
                <w:rFonts w:hint="eastAsia" w:ascii="Times New Roman" w:hAnsi="Times New Roman" w:eastAsia="Times New Roman" w:cs="Times New Roman"/>
                <w:color w:val="0000FF"/>
                <w:sz w:val="22"/>
                <w:highlight w:val="none"/>
              </w:rPr>
              <w:t>①</w:t>
            </w:r>
            <w:r>
              <w:rPr>
                <w:rFonts w:hint="eastAsia" w:ascii="Times New Roman" w:hAnsi="Times New Roman" w:eastAsia="Times New Roman" w:cs="Times New Roman"/>
                <w:color w:val="0000FF"/>
                <w:sz w:val="22"/>
                <w:szCs w:val="22"/>
                <w:highlight w:val="none"/>
              </w:rPr>
              <w:fldChar w:fldCharType="end"/>
            </w:r>
            <w:r>
              <w:rPr>
                <w:rFonts w:hint="eastAsia" w:ascii="Times New Roman" w:hAnsi="Times New Roman" w:eastAsia="Times New Roman" w:cs="Times New Roman"/>
                <w:color w:val="0000FF"/>
                <w:sz w:val="22"/>
                <w:szCs w:val="22"/>
                <w:highlight w:val="none"/>
              </w:rPr>
              <w:t>拟派项目负责人不能参加答辩，委托项目组成员代替参加答辩得</w:t>
            </w:r>
            <w:r>
              <w:rPr>
                <w:rFonts w:hint="eastAsia" w:ascii="Times New Roman" w:hAnsi="Times New Roman" w:eastAsia="Times New Roman" w:cs="Times New Roman"/>
                <w:color w:val="0000FF"/>
                <w:sz w:val="22"/>
                <w:szCs w:val="22"/>
                <w:highlight w:val="none"/>
                <w:lang w:val="en-US" w:eastAsia="zh-CN"/>
              </w:rPr>
              <w:t>基本分5</w:t>
            </w:r>
            <w:r>
              <w:rPr>
                <w:rFonts w:hint="eastAsia" w:ascii="Times New Roman" w:hAnsi="Times New Roman" w:eastAsia="Times New Roman" w:cs="Times New Roman"/>
                <w:color w:val="0000FF"/>
                <w:sz w:val="22"/>
                <w:szCs w:val="22"/>
                <w:highlight w:val="none"/>
              </w:rPr>
              <w:t>分;本项目的项目负责人本人亲自参加答辩得</w:t>
            </w:r>
            <w:r>
              <w:rPr>
                <w:rFonts w:hint="eastAsia" w:ascii="Times New Roman" w:hAnsi="Times New Roman" w:eastAsia="Times New Roman" w:cs="Times New Roman"/>
                <w:color w:val="0000FF"/>
                <w:sz w:val="22"/>
                <w:szCs w:val="22"/>
                <w:highlight w:val="none"/>
                <w:lang w:val="en-US" w:eastAsia="zh-CN"/>
              </w:rPr>
              <w:t>基本分10</w:t>
            </w:r>
            <w:r>
              <w:rPr>
                <w:rFonts w:hint="eastAsia" w:ascii="Times New Roman" w:hAnsi="Times New Roman" w:eastAsia="Times New Roman" w:cs="Times New Roman"/>
                <w:color w:val="0000FF"/>
                <w:sz w:val="22"/>
                <w:szCs w:val="22"/>
                <w:highlight w:val="none"/>
              </w:rPr>
              <w:t>分。</w:t>
            </w:r>
          </w:p>
          <w:p w14:paraId="67DFFC8B">
            <w:pPr>
              <w:pStyle w:val="28"/>
              <w:widowControl/>
              <w:snapToGrid w:val="0"/>
              <w:ind w:firstLine="220" w:firstLineChars="100"/>
              <w:jc w:val="left"/>
              <w:textAlignment w:val="center"/>
              <w:rPr>
                <w:rFonts w:hint="eastAsia" w:ascii="Times New Roman" w:hAnsi="Times New Roman" w:eastAsia="Times New Roman" w:cs="Times New Roman"/>
                <w:color w:val="0000FF"/>
                <w:sz w:val="22"/>
                <w:szCs w:val="22"/>
                <w:highlight w:val="none"/>
              </w:rPr>
            </w:pPr>
            <w:r>
              <w:rPr>
                <w:rFonts w:hint="eastAsia" w:ascii="Times New Roman" w:hAnsi="Times New Roman" w:eastAsia="Times New Roman" w:cs="Times New Roman"/>
                <w:color w:val="0000FF"/>
                <w:sz w:val="22"/>
                <w:szCs w:val="22"/>
                <w:highlight w:val="none"/>
              </w:rPr>
              <w:fldChar w:fldCharType="begin"/>
            </w:r>
            <w:r>
              <w:rPr>
                <w:rFonts w:hint="eastAsia" w:ascii="Times New Roman" w:hAnsi="Times New Roman" w:eastAsia="Times New Roman" w:cs="Times New Roman"/>
                <w:color w:val="0000FF"/>
                <w:sz w:val="22"/>
                <w:szCs w:val="22"/>
                <w:highlight w:val="none"/>
              </w:rPr>
              <w:instrText xml:space="preserve"> = 2 \* GB3 \* MERGEFORMAT </w:instrText>
            </w:r>
            <w:r>
              <w:rPr>
                <w:rFonts w:hint="eastAsia" w:ascii="Times New Roman" w:hAnsi="Times New Roman" w:eastAsia="Times New Roman" w:cs="Times New Roman"/>
                <w:color w:val="0000FF"/>
                <w:sz w:val="22"/>
                <w:szCs w:val="22"/>
                <w:highlight w:val="none"/>
              </w:rPr>
              <w:fldChar w:fldCharType="separate"/>
            </w:r>
            <w:r>
              <w:rPr>
                <w:rFonts w:hint="eastAsia" w:ascii="Times New Roman" w:hAnsi="Times New Roman" w:eastAsia="Times New Roman" w:cs="Times New Roman"/>
                <w:color w:val="0000FF"/>
                <w:sz w:val="22"/>
                <w:highlight w:val="none"/>
              </w:rPr>
              <w:t>②</w:t>
            </w:r>
            <w:r>
              <w:rPr>
                <w:rFonts w:hint="eastAsia" w:ascii="Times New Roman" w:hAnsi="Times New Roman" w:eastAsia="Times New Roman" w:cs="Times New Roman"/>
                <w:color w:val="0000FF"/>
                <w:sz w:val="22"/>
                <w:szCs w:val="22"/>
                <w:highlight w:val="none"/>
              </w:rPr>
              <w:fldChar w:fldCharType="end"/>
            </w:r>
            <w:r>
              <w:rPr>
                <w:rFonts w:hint="eastAsia" w:ascii="Times New Roman" w:hAnsi="Times New Roman" w:eastAsia="Times New Roman" w:cs="Times New Roman"/>
                <w:color w:val="0000FF"/>
                <w:sz w:val="22"/>
                <w:szCs w:val="22"/>
                <w:highlight w:val="none"/>
              </w:rPr>
              <w:t>依据项目负责人对</w:t>
            </w:r>
            <w:r>
              <w:rPr>
                <w:rFonts w:hint="eastAsia" w:ascii="Times New Roman" w:hAnsi="Times New Roman" w:eastAsia="Times New Roman" w:cs="Times New Roman"/>
                <w:color w:val="0000FF"/>
                <w:sz w:val="22"/>
                <w:szCs w:val="22"/>
                <w:highlight w:val="none"/>
                <w:lang w:eastAsia="zh-CN"/>
              </w:rPr>
              <w:t>工程</w:t>
            </w:r>
            <w:r>
              <w:rPr>
                <w:rFonts w:hint="eastAsia" w:ascii="Times New Roman" w:hAnsi="Times New Roman" w:eastAsia="Times New Roman" w:cs="Times New Roman"/>
                <w:color w:val="0000FF"/>
                <w:sz w:val="22"/>
                <w:szCs w:val="22"/>
                <w:highlight w:val="none"/>
              </w:rPr>
              <w:t>总承包项目政策理解、项目总体管控思路，对工程进度计划总体安排及质量、安全保证的举措答辩情况，参加答辩的项目负责人,每人应答3题</w:t>
            </w:r>
            <w:r>
              <w:rPr>
                <w:rFonts w:hint="eastAsia" w:ascii="Times New Roman" w:hAnsi="Times New Roman" w:eastAsia="Times New Roman" w:cs="Times New Roman"/>
                <w:color w:val="0000FF"/>
                <w:sz w:val="22"/>
                <w:szCs w:val="22"/>
                <w:highlight w:val="none"/>
                <w:lang w:eastAsia="zh-CN"/>
              </w:rPr>
              <w:t>（</w:t>
            </w:r>
            <w:r>
              <w:rPr>
                <w:rFonts w:hint="eastAsia" w:ascii="Times New Roman" w:hAnsi="Times New Roman" w:eastAsia="Times New Roman" w:cs="Times New Roman"/>
                <w:color w:val="0000FF"/>
                <w:sz w:val="22"/>
                <w:szCs w:val="22"/>
                <w:highlight w:val="none"/>
                <w:lang w:val="en-US" w:eastAsia="zh-CN"/>
              </w:rPr>
              <w:t>答辩时间10分钟</w:t>
            </w:r>
            <w:r>
              <w:rPr>
                <w:rFonts w:hint="eastAsia" w:ascii="Times New Roman" w:hAnsi="Times New Roman" w:eastAsia="Times New Roman" w:cs="Times New Roman"/>
                <w:color w:val="0000FF"/>
                <w:sz w:val="22"/>
                <w:szCs w:val="22"/>
                <w:highlight w:val="none"/>
                <w:lang w:eastAsia="zh-CN"/>
              </w:rPr>
              <w:t>）</w:t>
            </w:r>
            <w:r>
              <w:rPr>
                <w:rFonts w:hint="eastAsia" w:ascii="Times New Roman" w:hAnsi="Times New Roman" w:eastAsia="Times New Roman" w:cs="Times New Roman"/>
                <w:color w:val="0000FF"/>
                <w:sz w:val="22"/>
                <w:szCs w:val="22"/>
                <w:highlight w:val="none"/>
              </w:rPr>
              <w:t>。定标委员会对合格的定标候选人拟派项目负责人的答辩情况进行评审，考察0-10分进行打分。</w:t>
            </w:r>
          </w:p>
          <w:p w14:paraId="541913FB">
            <w:pPr>
              <w:pStyle w:val="28"/>
              <w:widowControl/>
              <w:snapToGrid w:val="0"/>
              <w:ind w:firstLine="220" w:firstLineChars="100"/>
              <w:jc w:val="left"/>
              <w:textAlignment w:val="center"/>
              <w:rPr>
                <w:rFonts w:hint="eastAsia" w:ascii="Times New Roman" w:hAnsi="Times New Roman" w:eastAsia="Times New Roman" w:cs="Times New Roman"/>
                <w:color w:val="0000FF"/>
                <w:sz w:val="22"/>
                <w:szCs w:val="22"/>
                <w:highlight w:val="none"/>
              </w:rPr>
            </w:pPr>
            <w:r>
              <w:rPr>
                <w:rFonts w:hint="eastAsia" w:ascii="Times New Roman" w:hAnsi="Times New Roman" w:eastAsia="Times New Roman" w:cs="Times New Roman"/>
                <w:color w:val="0000FF"/>
                <w:sz w:val="22"/>
                <w:szCs w:val="22"/>
                <w:highlight w:val="none"/>
              </w:rPr>
              <w:t>注:项目负责人不得旁听其他人答辩。若拟派项目负责人不能参加答辩，可委托项目组成员代替，未派出人员参加答辩的不得分。</w:t>
            </w:r>
          </w:p>
        </w:tc>
        <w:tc>
          <w:tcPr>
            <w:tcW w:w="755" w:type="dxa"/>
            <w:noWrap w:val="0"/>
            <w:vAlign w:val="center"/>
          </w:tcPr>
          <w:p w14:paraId="16DC956B">
            <w:pPr>
              <w:pStyle w:val="28"/>
              <w:widowControl/>
              <w:snapToGrid w:val="0"/>
              <w:jc w:val="center"/>
              <w:textAlignment w:val="center"/>
              <w:rPr>
                <w:rFonts w:hint="eastAsia" w:ascii="Times New Roman" w:hAnsi="Times New Roman" w:eastAsia="Times New Roman" w:cs="Times New Roman"/>
                <w:color w:val="0000FF"/>
                <w:sz w:val="22"/>
                <w:szCs w:val="22"/>
                <w:highlight w:val="none"/>
              </w:rPr>
            </w:pPr>
            <w:r>
              <w:rPr>
                <w:rFonts w:hint="eastAsia" w:ascii="Times New Roman" w:hAnsi="Times New Roman" w:eastAsia="Times New Roman" w:cs="Times New Roman"/>
                <w:color w:val="0000FF"/>
                <w:sz w:val="22"/>
                <w:szCs w:val="22"/>
                <w:highlight w:val="none"/>
                <w:lang w:val="en-US" w:eastAsia="zh-CN"/>
              </w:rPr>
              <w:t>20</w:t>
            </w:r>
            <w:r>
              <w:rPr>
                <w:rFonts w:hint="eastAsia" w:ascii="Times New Roman" w:hAnsi="Times New Roman" w:eastAsia="Times New Roman" w:cs="Times New Roman"/>
                <w:color w:val="0000FF"/>
                <w:sz w:val="22"/>
                <w:szCs w:val="22"/>
                <w:highlight w:val="none"/>
              </w:rPr>
              <w:t>分</w:t>
            </w:r>
          </w:p>
        </w:tc>
      </w:tr>
    </w:tbl>
    <w:p w14:paraId="50A12D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AC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uiPriority w:val="99"/>
    <w:pPr>
      <w:spacing w:after="120"/>
      <w:ind w:left="420" w:leftChars="200"/>
    </w:pPr>
  </w:style>
  <w:style w:type="paragraph" w:customStyle="1" w:styleId="6">
    <w:name w:val="Normal_0"/>
    <w:basedOn w:val="7"/>
    <w:next w:val="19"/>
    <w:qFormat/>
    <w:uiPriority w:val="0"/>
    <w:pPr>
      <w:widowControl w:val="0"/>
      <w:jc w:val="both"/>
    </w:pPr>
    <w:rPr>
      <w:rFonts w:ascii="Times New Roman" w:hAnsi="Times New Roman" w:eastAsia="Times New Roman"/>
      <w:kern w:val="2"/>
      <w:sz w:val="21"/>
      <w:szCs w:val="22"/>
      <w:lang w:val="en-US" w:eastAsia="zh-CN" w:bidi="ar-SA"/>
    </w:rPr>
  </w:style>
  <w:style w:type="paragraph" w:customStyle="1" w:styleId="7">
    <w:name w:val="Normal_1"/>
    <w:next w:val="8"/>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8">
    <w:name w:val="Body Text First Indent 2_0_1"/>
    <w:basedOn w:val="9"/>
    <w:next w:val="11"/>
    <w:unhideWhenUsed/>
    <w:qFormat/>
    <w:uiPriority w:val="99"/>
    <w:pPr>
      <w:ind w:firstLine="420" w:firstLineChars="200"/>
    </w:pPr>
    <w:rPr>
      <w:rFonts w:ascii="Times New Roman" w:hAnsi="Times New Roman" w:eastAsia="Times New Roman"/>
    </w:rPr>
  </w:style>
  <w:style w:type="paragraph" w:customStyle="1" w:styleId="9">
    <w:name w:val="Body Text Indent_0_1"/>
    <w:basedOn w:val="10"/>
    <w:next w:val="7"/>
    <w:unhideWhenUsed/>
    <w:qFormat/>
    <w:uiPriority w:val="99"/>
    <w:pPr>
      <w:spacing w:after="120"/>
      <w:ind w:left="420" w:leftChars="200"/>
    </w:pPr>
  </w:style>
  <w:style w:type="paragraph" w:customStyle="1" w:styleId="10">
    <w:name w:val="Normal_0_1"/>
    <w:next w:val="8"/>
    <w:qFormat/>
    <w:uiPriority w:val="0"/>
    <w:rPr>
      <w:rFonts w:ascii="宋体" w:hAnsi="宋体" w:eastAsia="宋体" w:cs="Times New Roman"/>
      <w:sz w:val="32"/>
      <w:szCs w:val="24"/>
      <w:lang w:bidi="ar-SA"/>
    </w:rPr>
  </w:style>
  <w:style w:type="paragraph" w:customStyle="1" w:styleId="11">
    <w:name w:val="样式 标题 3 + (中文) 黑体 小四 非加粗 段前: 7.8 磅 段后: 0 磅 行距: 固定值 20 磅_0_0_0"/>
    <w:basedOn w:val="12"/>
    <w:qFormat/>
    <w:uiPriority w:val="0"/>
    <w:pPr>
      <w:spacing w:before="0" w:after="0" w:line="400" w:lineRule="exact"/>
    </w:pPr>
    <w:rPr>
      <w:rFonts w:ascii="Times New Roman" w:hAnsi="Times New Roman" w:eastAsia="黑体" w:cs="宋体"/>
      <w:b w:val="0"/>
      <w:bCs w:val="0"/>
      <w:sz w:val="21"/>
      <w:szCs w:val="20"/>
    </w:rPr>
  </w:style>
  <w:style w:type="paragraph" w:customStyle="1" w:styleId="12">
    <w:name w:val="标题 3_0"/>
    <w:basedOn w:val="13"/>
    <w:next w:val="1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customStyle="1" w:styleId="13">
    <w:name w:val="正文_0"/>
    <w:next w:val="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首行缩进 21"/>
    <w:basedOn w:val="15"/>
    <w:next w:val="17"/>
    <w:unhideWhenUsed/>
    <w:qFormat/>
    <w:uiPriority w:val="99"/>
    <w:pPr>
      <w:ind w:firstLine="420" w:firstLineChars="200"/>
    </w:pPr>
  </w:style>
  <w:style w:type="paragraph" w:customStyle="1" w:styleId="15">
    <w:name w:val="正文文本缩进1"/>
    <w:basedOn w:val="16"/>
    <w:next w:val="16"/>
    <w:unhideWhenUsed/>
    <w:qFormat/>
    <w:uiPriority w:val="99"/>
    <w:pPr>
      <w:spacing w:after="120"/>
      <w:ind w:left="420" w:leftChars="200"/>
    </w:pPr>
  </w:style>
  <w:style w:type="paragraph" w:customStyle="1" w:styleId="16">
    <w:name w:val="正文1"/>
    <w:next w:val="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样式 标题 3 + (中文) 黑体 小四 非加粗 段前: 7.8 磅 段后: 0 磅 行距: 固定值 20 磅_0"/>
    <w:qFormat/>
    <w:uiPriority w:val="99"/>
    <w:pPr>
      <w:keepNext/>
      <w:keepLines/>
      <w:widowControl w:val="0"/>
      <w:spacing w:line="400" w:lineRule="exact"/>
      <w:ind w:firstLine="137" w:firstLineChars="49"/>
      <w:jc w:val="both"/>
      <w:outlineLvl w:val="2"/>
    </w:pPr>
    <w:rPr>
      <w:rFonts w:ascii="黑体" w:hAnsi="宋体" w:eastAsia="黑体" w:cs="黑体"/>
      <w:kern w:val="2"/>
      <w:sz w:val="24"/>
      <w:szCs w:val="24"/>
      <w:lang w:val="en-US" w:eastAsia="zh-CN" w:bidi="ar-SA"/>
    </w:rPr>
  </w:style>
  <w:style w:type="paragraph" w:customStyle="1" w:styleId="18">
    <w:name w:val="正文_1"/>
    <w:next w:val="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Body Text First Indent 2_0"/>
    <w:basedOn w:val="20"/>
    <w:next w:val="17"/>
    <w:unhideWhenUsed/>
    <w:qFormat/>
    <w:uiPriority w:val="99"/>
    <w:pPr>
      <w:widowControl w:val="0"/>
      <w:spacing w:after="120"/>
      <w:ind w:left="420" w:leftChars="200" w:firstLine="420" w:firstLineChars="200"/>
      <w:jc w:val="both"/>
    </w:pPr>
    <w:rPr>
      <w:rFonts w:ascii="Times New Roman" w:hAnsi="Times New Roman" w:eastAsia="Times New Roman"/>
      <w:kern w:val="2"/>
      <w:sz w:val="21"/>
      <w:szCs w:val="22"/>
      <w:lang w:val="en-US" w:eastAsia="zh-CN" w:bidi="ar-SA"/>
    </w:rPr>
  </w:style>
  <w:style w:type="paragraph" w:customStyle="1" w:styleId="20">
    <w:name w:val="Body Text Indent_0"/>
    <w:basedOn w:val="21"/>
    <w:next w:val="6"/>
    <w:unhideWhenUsed/>
    <w:qFormat/>
    <w:uiPriority w:val="99"/>
    <w:pPr>
      <w:spacing w:after="120"/>
      <w:ind w:left="420" w:leftChars="200"/>
    </w:pPr>
  </w:style>
  <w:style w:type="paragraph" w:customStyle="1" w:styleId="21">
    <w:name w:val="Normal_5"/>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2">
    <w:name w:val="Normal_2"/>
    <w:next w:val="23"/>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3">
    <w:name w:val="Body Text First Indent 2_1"/>
    <w:basedOn w:val="24"/>
    <w:next w:val="26"/>
    <w:unhideWhenUsed/>
    <w:qFormat/>
    <w:uiPriority w:val="99"/>
    <w:pPr>
      <w:widowControl w:val="0"/>
      <w:spacing w:after="120"/>
      <w:ind w:left="420" w:leftChars="200" w:firstLine="420" w:firstLineChars="200"/>
      <w:jc w:val="both"/>
    </w:pPr>
    <w:rPr>
      <w:rFonts w:ascii="Times New Roman" w:hAnsi="Times New Roman" w:eastAsia="Times New Roman"/>
      <w:kern w:val="2"/>
      <w:sz w:val="21"/>
      <w:szCs w:val="22"/>
      <w:lang w:val="en-US" w:eastAsia="zh-CN" w:bidi="ar-SA"/>
    </w:rPr>
  </w:style>
  <w:style w:type="paragraph" w:customStyle="1" w:styleId="24">
    <w:name w:val="Body Text Indent_1"/>
    <w:basedOn w:val="7"/>
    <w:next w:val="25"/>
    <w:unhideWhenUsed/>
    <w:qFormat/>
    <w:uiPriority w:val="99"/>
    <w:pPr>
      <w:spacing w:after="120"/>
      <w:ind w:left="420" w:leftChars="200"/>
    </w:pPr>
  </w:style>
  <w:style w:type="paragraph" w:customStyle="1" w:styleId="25">
    <w:name w:val="Normal_3"/>
    <w:next w:val="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样式 标题 3 + (中文) 黑体 小四 非加粗 段前: 7.8 磅 段后: 0 磅 行距: 固定值 20 磅_1"/>
    <w:basedOn w:val="27"/>
    <w:qFormat/>
    <w:uiPriority w:val="99"/>
    <w:pPr>
      <w:spacing w:before="0" w:after="0" w:line="400" w:lineRule="exact"/>
    </w:pPr>
    <w:rPr>
      <w:rFonts w:ascii="Times New Roman" w:hAnsi="Times New Roman" w:eastAsia="Times New Roman"/>
      <w:sz w:val="24"/>
      <w:szCs w:val="24"/>
    </w:rPr>
  </w:style>
  <w:style w:type="paragraph" w:customStyle="1" w:styleId="27">
    <w:name w:val="Heading 3_0"/>
    <w:next w:val="25"/>
    <w:unhideWhenUsed/>
    <w:qFormat/>
    <w:uiPriority w:val="99"/>
    <w:pPr>
      <w:keepNext/>
      <w:keepLines/>
      <w:widowControl w:val="0"/>
      <w:spacing w:before="260" w:after="260" w:line="412" w:lineRule="auto"/>
      <w:ind w:firstLine="137" w:firstLineChars="49"/>
      <w:jc w:val="both"/>
      <w:outlineLvl w:val="2"/>
    </w:pPr>
    <w:rPr>
      <w:rFonts w:ascii="黑体" w:hAnsi="宋体" w:eastAsia="黑体" w:cs="黑体"/>
      <w:kern w:val="2"/>
      <w:sz w:val="28"/>
      <w:szCs w:val="28"/>
      <w:lang w:val="en-US" w:eastAsia="zh-CN" w:bidi="ar-SA"/>
    </w:rPr>
  </w:style>
  <w:style w:type="paragraph" w:customStyle="1" w:styleId="28">
    <w:name w:val="Normal"/>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9">
    <w:name w:val="Normal Indent"/>
    <w:basedOn w:val="30"/>
    <w:next w:val="31"/>
    <w:unhideWhenUsed/>
    <w:qFormat/>
    <w:uiPriority w:val="99"/>
    <w:pPr>
      <w:ind w:firstLine="420" w:firstLineChars="200"/>
    </w:pPr>
    <w:rPr>
      <w:rFonts w:ascii="Times New Roman" w:hAnsi="Times New Roman" w:eastAsia="Times New Roman"/>
    </w:rPr>
  </w:style>
  <w:style w:type="paragraph" w:customStyle="1" w:styleId="30">
    <w:name w:val="Normal_0_2"/>
    <w:next w:val="29"/>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31">
    <w:name w:val="Header"/>
    <w:basedOn w:val="32"/>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32">
    <w:name w:val="Normal_6"/>
    <w:qFormat/>
    <w:uiPriority w:val="0"/>
    <w:pPr>
      <w:widowControl w:val="0"/>
      <w:jc w:val="both"/>
    </w:pPr>
    <w:rPr>
      <w:rFonts w:ascii="Times New Roman" w:hAnsi="Times New Roman" w:eastAsia="Times New Roman" w:cs="Times New Roman"/>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2025-02-07T08:15:48Z</dcterms:created>
  <dc:creator>Lenovo</dc:creator>
  <cp:lastModifiedBy>NTKO</cp:lastModifiedBy>
  <dcterms:modified xsi:type="dcterms:W3CDTF">2025-02-07T08:16:19Z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eyJoZGlkIjoiMzk1M2NlMzZlZTdkNTI3MTMwYWU2NDk2MGE4YTkyOWIiLCJ1c2VySWQiOiI5MDQ0NDc5ODAifQ==</vt:lpwstr>
  </property>
  <property fmtid="{D5CDD505-2E9C-101B-9397-08002B2CF9AE}" pid="4" name="ICV">
    <vt:lpwstr>F609816E27EB4B95BB9615EF68456477_12</vt:lpwstr>
  </property>
</Properties>
</file>