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156"/>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143"/>
        <w:gridCol w:w="4245"/>
        <w:gridCol w:w="2268"/>
        <w:gridCol w:w="2126"/>
      </w:tblGrid>
      <w:tr w:rsidR="00307C88" w:rsidRPr="00307C88" w:rsidTr="0085443A">
        <w:trPr>
          <w:trHeight w:val="346"/>
        </w:trPr>
        <w:tc>
          <w:tcPr>
            <w:tcW w:w="9782" w:type="dxa"/>
            <w:gridSpan w:val="4"/>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jc w:val="center"/>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福建省公共资源交易目录指引（2019年修订）</w:t>
            </w:r>
          </w:p>
        </w:tc>
      </w:tr>
      <w:tr w:rsidR="00307C88" w:rsidRPr="00307C88" w:rsidTr="0085443A">
        <w:trPr>
          <w:trHeight w:val="396"/>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jc w:val="center"/>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类别编码</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jc w:val="center"/>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项目名称</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jc w:val="center"/>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行政监督部门</w:t>
            </w: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jc w:val="center"/>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备注</w:t>
            </w:r>
          </w:p>
        </w:tc>
      </w:tr>
      <w:tr w:rsidR="00307C88" w:rsidRPr="00307C88" w:rsidTr="0085443A">
        <w:trPr>
          <w:trHeight w:val="2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A</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工程建设项目</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A01</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房屋建筑工程</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46"/>
        </w:trPr>
        <w:tc>
          <w:tcPr>
            <w:tcW w:w="1143"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具体项目</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工业建筑（构筑物）工程</w:t>
            </w:r>
          </w:p>
        </w:tc>
        <w:tc>
          <w:tcPr>
            <w:tcW w:w="2268"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住房城乡建设主管部门</w:t>
            </w:r>
          </w:p>
        </w:tc>
        <w:tc>
          <w:tcPr>
            <w:tcW w:w="2126"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包括与工程配套的线路、管道、设备的安装项目</w:t>
            </w:r>
          </w:p>
        </w:tc>
      </w:tr>
      <w:tr w:rsidR="00307C88" w:rsidRPr="00307C88" w:rsidTr="0085443A">
        <w:trPr>
          <w:trHeight w:val="82"/>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民用建筑（构筑物）工程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24"/>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公共建筑（构筑物）工程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其它构筑物工程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186"/>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地基与基础工程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土石方工程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建筑装修装饰工程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钢结构工程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305"/>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消防设施工程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电梯安装工程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暖通工程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6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建筑智能化工程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304"/>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园林古建筑(含古建筑修缮)工程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建筑幕墙工程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爆破与拆除工程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其它房建工程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A02</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市政基础设施工程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具体项目</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城市道路工程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城市桥梁工程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8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城市隧道工程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城市公共交通工程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公共广场工程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体育场地设施工程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8"/>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城市热力工程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城市燃气工程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城市排水工程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城市供水工程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城市园林绿化工程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城市环卫工程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城市污水处理工程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城市垃圾处理工程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城市轨道交通工程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城市及道路照明工程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城市及道路智能化工程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城市地下公共设施工程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住宅小区场外工程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185"/>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公共绿地（道路、公园、广场）养护</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8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其它市政工程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A03</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交通工程</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89"/>
        </w:trPr>
        <w:tc>
          <w:tcPr>
            <w:tcW w:w="1143"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具体项目</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铁路工程</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铁路主管部门</w:t>
            </w: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85443A" w:rsidRPr="00307C88" w:rsidTr="0085443A">
        <w:trPr>
          <w:trHeight w:val="327"/>
        </w:trPr>
        <w:tc>
          <w:tcPr>
            <w:tcW w:w="1143" w:type="dxa"/>
            <w:vMerge/>
            <w:tcBorders>
              <w:bottom w:val="single" w:sz="4" w:space="0" w:color="auto"/>
            </w:tcBorders>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tcBorders>
              <w:bottom w:val="single" w:sz="4" w:space="0" w:color="auto"/>
            </w:tcBorders>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公路工程</w:t>
            </w:r>
          </w:p>
        </w:tc>
        <w:tc>
          <w:tcPr>
            <w:tcW w:w="2268" w:type="dxa"/>
            <w:vMerge w:val="restart"/>
            <w:tcBorders>
              <w:bottom w:val="single" w:sz="4" w:space="0" w:color="auto"/>
            </w:tcBorders>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交通运输主管部门</w:t>
            </w:r>
          </w:p>
        </w:tc>
        <w:tc>
          <w:tcPr>
            <w:tcW w:w="2126" w:type="dxa"/>
            <w:vMerge w:val="restart"/>
            <w:tcBorders>
              <w:bottom w:val="single" w:sz="4" w:space="0" w:color="auto"/>
            </w:tcBorders>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49"/>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水运工程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A04</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水利工程</w:t>
            </w:r>
          </w:p>
        </w:tc>
        <w:tc>
          <w:tcPr>
            <w:tcW w:w="2268"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水行政主管部门</w:t>
            </w:r>
          </w:p>
        </w:tc>
        <w:tc>
          <w:tcPr>
            <w:tcW w:w="2126"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具体项目</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挡水工程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泄洪工程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引水工程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发电厂工程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中型泵站、水闸等工程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升压变电站工程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航运过坝工程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鱼道工程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338"/>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水利交通工程（公路、铁路、桥梁、码头）</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542"/>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渠（管）道工程（堤防工程、除险加固工程、河道整治工程、围垦工程）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其它水利工程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lastRenderedPageBreak/>
              <w:t>A05</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民用航空工程</w:t>
            </w:r>
          </w:p>
        </w:tc>
        <w:tc>
          <w:tcPr>
            <w:tcW w:w="2268"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民航华东局</w:t>
            </w:r>
          </w:p>
        </w:tc>
        <w:tc>
          <w:tcPr>
            <w:tcW w:w="2126"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按照《关于进一步明确民航建设工程招投标管理和质量监督工作职责分工的通知》民航发〔2011〕34号规定执行</w:t>
            </w: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民航专业工程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754"/>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非民航专业工程</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住房城乡建设主管部门</w:t>
            </w: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195"/>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A06</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信息化工程</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信息化（大数据）主管部门</w:t>
            </w: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301"/>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A07</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工业项目（除房屋建筑）</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工业主管部门</w:t>
            </w: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65"/>
        </w:trPr>
        <w:tc>
          <w:tcPr>
            <w:tcW w:w="1143"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A08</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海巡码头建设工程</w:t>
            </w:r>
          </w:p>
        </w:tc>
        <w:tc>
          <w:tcPr>
            <w:tcW w:w="2268"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海事行政主管部门</w:t>
            </w: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海上通信系统工程</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57"/>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船舶建造</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99"/>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船舶交通管理系统</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A09</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渔港工程</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海洋渔业主管部门</w:t>
            </w: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A10</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机电产品国际招标</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商务主管部门</w:t>
            </w: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347"/>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B</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政府采购货物、工程和服务</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财政部门</w:t>
            </w: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105"/>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C</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资源资产类</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9"/>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C01</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土地使用权和矿业权交易</w:t>
            </w:r>
          </w:p>
        </w:tc>
        <w:tc>
          <w:tcPr>
            <w:tcW w:w="2268"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自然资源主管部门</w:t>
            </w:r>
          </w:p>
        </w:tc>
        <w:tc>
          <w:tcPr>
            <w:tcW w:w="2126"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345"/>
        </w:trPr>
        <w:tc>
          <w:tcPr>
            <w:tcW w:w="1143"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具体项目</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国有建设用地（地上、地表、地下）使用权出让</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探矿权竞争性出让</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采矿权竞争性出让</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r>
      <w:tr w:rsidR="00307C88" w:rsidRPr="00307C88" w:rsidTr="0085443A">
        <w:trPr>
          <w:trHeight w:val="1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C02</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水权交易</w:t>
            </w:r>
          </w:p>
        </w:tc>
        <w:tc>
          <w:tcPr>
            <w:tcW w:w="2268"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水行政主管部门</w:t>
            </w: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710C41" w:rsidRPr="00307C88" w:rsidTr="0085443A">
        <w:trPr>
          <w:trHeight w:val="270"/>
        </w:trPr>
        <w:tc>
          <w:tcPr>
            <w:tcW w:w="1143" w:type="dxa"/>
            <w:vMerge w:val="restart"/>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具体项目</w:t>
            </w:r>
          </w:p>
        </w:tc>
        <w:tc>
          <w:tcPr>
            <w:tcW w:w="4245" w:type="dxa"/>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区域水权交易</w:t>
            </w:r>
          </w:p>
        </w:tc>
        <w:tc>
          <w:tcPr>
            <w:tcW w:w="2268" w:type="dxa"/>
            <w:vMerge/>
            <w:shd w:val="clear" w:color="auto" w:fill="FFFFFF"/>
            <w:vAlign w:val="center"/>
            <w:hideMark/>
          </w:tcPr>
          <w:p w:rsidR="00710C41" w:rsidRPr="00307C88" w:rsidRDefault="00710C41"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val="restart"/>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p>
        </w:tc>
      </w:tr>
      <w:tr w:rsidR="00710C41" w:rsidRPr="00307C88" w:rsidTr="0085443A">
        <w:trPr>
          <w:trHeight w:val="300"/>
        </w:trPr>
        <w:tc>
          <w:tcPr>
            <w:tcW w:w="1143" w:type="dxa"/>
            <w:vMerge/>
            <w:shd w:val="clear" w:color="auto" w:fill="FFFFFF"/>
            <w:vAlign w:val="center"/>
            <w:hideMark/>
          </w:tcPr>
          <w:p w:rsidR="00710C41" w:rsidRPr="00307C88" w:rsidRDefault="00710C41"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取水权交易</w:t>
            </w:r>
          </w:p>
        </w:tc>
        <w:tc>
          <w:tcPr>
            <w:tcW w:w="2268" w:type="dxa"/>
            <w:vMerge/>
            <w:shd w:val="clear" w:color="auto" w:fill="FFFFFF"/>
            <w:vAlign w:val="center"/>
            <w:hideMark/>
          </w:tcPr>
          <w:p w:rsidR="00710C41" w:rsidRPr="00307C88" w:rsidRDefault="00710C41"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C03</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海洋资源交易</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02"/>
        </w:trPr>
        <w:tc>
          <w:tcPr>
            <w:tcW w:w="1143"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具体项目</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海域使用权出让、转让、出租</w:t>
            </w:r>
          </w:p>
        </w:tc>
        <w:tc>
          <w:tcPr>
            <w:tcW w:w="2268"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自然资源主管部门</w:t>
            </w: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371"/>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无居民海岛等海洋资源的使用权出让、转让、出租</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353"/>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C04</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林权交易</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710C41" w:rsidRPr="00307C88" w:rsidTr="0085443A">
        <w:trPr>
          <w:trHeight w:val="389"/>
        </w:trPr>
        <w:tc>
          <w:tcPr>
            <w:tcW w:w="1143" w:type="dxa"/>
            <w:vMerge w:val="restart"/>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具体项目</w:t>
            </w:r>
          </w:p>
        </w:tc>
        <w:tc>
          <w:tcPr>
            <w:tcW w:w="4245" w:type="dxa"/>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国有森林资源（林地使用权、林木所有权、林木使用权）出让、有偿使用</w:t>
            </w:r>
          </w:p>
        </w:tc>
        <w:tc>
          <w:tcPr>
            <w:tcW w:w="2268" w:type="dxa"/>
            <w:vMerge w:val="restart"/>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林业主管部门</w:t>
            </w:r>
          </w:p>
        </w:tc>
        <w:tc>
          <w:tcPr>
            <w:tcW w:w="2126" w:type="dxa"/>
            <w:vMerge w:val="restart"/>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p>
        </w:tc>
      </w:tr>
      <w:tr w:rsidR="00710C41" w:rsidRPr="00307C88" w:rsidTr="0085443A">
        <w:trPr>
          <w:trHeight w:val="344"/>
        </w:trPr>
        <w:tc>
          <w:tcPr>
            <w:tcW w:w="1143" w:type="dxa"/>
            <w:vMerge/>
            <w:shd w:val="clear" w:color="auto" w:fill="FFFFFF"/>
            <w:vAlign w:val="center"/>
            <w:hideMark/>
          </w:tcPr>
          <w:p w:rsidR="00710C41" w:rsidRPr="00307C88" w:rsidRDefault="00710C41"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集体统一经营管理的林地经营权和林木所有权出让</w:t>
            </w:r>
          </w:p>
        </w:tc>
        <w:tc>
          <w:tcPr>
            <w:tcW w:w="2268" w:type="dxa"/>
            <w:vMerge/>
            <w:shd w:val="clear" w:color="auto" w:fill="FFFFFF"/>
            <w:vAlign w:val="center"/>
            <w:hideMark/>
          </w:tcPr>
          <w:p w:rsidR="00710C41" w:rsidRPr="00307C88" w:rsidRDefault="00710C41"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C05</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农村集体产权交易</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710C41" w:rsidRPr="00307C88" w:rsidTr="0085443A">
        <w:trPr>
          <w:trHeight w:val="367"/>
        </w:trPr>
        <w:tc>
          <w:tcPr>
            <w:tcW w:w="1143" w:type="dxa"/>
            <w:vMerge w:val="restart"/>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具体项目</w:t>
            </w:r>
          </w:p>
        </w:tc>
        <w:tc>
          <w:tcPr>
            <w:tcW w:w="4245" w:type="dxa"/>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农村集体资产使用权承包、租赁 </w:t>
            </w:r>
          </w:p>
        </w:tc>
        <w:tc>
          <w:tcPr>
            <w:tcW w:w="2268" w:type="dxa"/>
            <w:vMerge w:val="restart"/>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项目所在地县级地方政府指定的有关部门</w:t>
            </w:r>
          </w:p>
        </w:tc>
        <w:tc>
          <w:tcPr>
            <w:tcW w:w="2126" w:type="dxa"/>
            <w:vMerge w:val="restart"/>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p>
        </w:tc>
      </w:tr>
      <w:tr w:rsidR="00710C41" w:rsidRPr="00307C88" w:rsidTr="0085443A">
        <w:trPr>
          <w:trHeight w:val="270"/>
        </w:trPr>
        <w:tc>
          <w:tcPr>
            <w:tcW w:w="1143" w:type="dxa"/>
            <w:vMerge/>
            <w:shd w:val="clear" w:color="auto" w:fill="FFFFFF"/>
            <w:vAlign w:val="center"/>
            <w:hideMark/>
          </w:tcPr>
          <w:p w:rsidR="00710C41" w:rsidRPr="00307C88" w:rsidRDefault="00710C41"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农村集体资产股权转让</w:t>
            </w:r>
          </w:p>
        </w:tc>
        <w:tc>
          <w:tcPr>
            <w:tcW w:w="2268" w:type="dxa"/>
            <w:vMerge/>
            <w:shd w:val="clear" w:color="auto" w:fill="FFFFFF"/>
            <w:vAlign w:val="center"/>
            <w:hideMark/>
          </w:tcPr>
          <w:p w:rsidR="00710C41" w:rsidRPr="00307C88" w:rsidRDefault="00710C41"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368"/>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C06</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企业和行政事业单位产权资产交易</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具体项目</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企业国有产权转让</w:t>
            </w:r>
          </w:p>
        </w:tc>
        <w:tc>
          <w:tcPr>
            <w:tcW w:w="2268"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同级国有资产监督管理机构</w:t>
            </w:r>
          </w:p>
        </w:tc>
        <w:tc>
          <w:tcPr>
            <w:tcW w:w="2126"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企业国有资产转让</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423"/>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行政事业单位国有资产（房屋、车辆、设备，以及其他物资）出售、转让与出租</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C07</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无形资产交易</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30"/>
        </w:trPr>
        <w:tc>
          <w:tcPr>
            <w:tcW w:w="1143"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具体项目</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基础设施和公用事业特许经营权授予</w:t>
            </w:r>
          </w:p>
        </w:tc>
        <w:tc>
          <w:tcPr>
            <w:tcW w:w="2268"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项目所在地县级（含）以上地方政府指定的有关部门</w:t>
            </w:r>
          </w:p>
        </w:tc>
        <w:tc>
          <w:tcPr>
            <w:tcW w:w="2126"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547"/>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市政公用设施及公共场地使用权、承包经营权、冠名权有偿转让</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179"/>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D</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环境权类</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D01</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排污权交易</w:t>
            </w:r>
          </w:p>
        </w:tc>
        <w:tc>
          <w:tcPr>
            <w:tcW w:w="2268"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生态环境主管部门</w:t>
            </w:r>
          </w:p>
        </w:tc>
        <w:tc>
          <w:tcPr>
            <w:tcW w:w="2126"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val="restart"/>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具体项目</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定额出让排污权</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公开拍卖排污权</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D02</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碳排放权交易</w:t>
            </w:r>
          </w:p>
        </w:tc>
        <w:tc>
          <w:tcPr>
            <w:tcW w:w="2268" w:type="dxa"/>
            <w:vMerge/>
            <w:shd w:val="clear" w:color="auto" w:fill="FFFFFF"/>
            <w:vAlign w:val="center"/>
            <w:hideMark/>
          </w:tcPr>
          <w:p w:rsidR="00307C88" w:rsidRPr="00307C88" w:rsidRDefault="00307C88"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710C41" w:rsidRPr="00307C88" w:rsidTr="0085443A">
        <w:trPr>
          <w:trHeight w:val="270"/>
        </w:trPr>
        <w:tc>
          <w:tcPr>
            <w:tcW w:w="1143" w:type="dxa"/>
            <w:vMerge w:val="restart"/>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具体项目</w:t>
            </w:r>
          </w:p>
        </w:tc>
        <w:tc>
          <w:tcPr>
            <w:tcW w:w="4245" w:type="dxa"/>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配额现货交易</w:t>
            </w:r>
          </w:p>
        </w:tc>
        <w:tc>
          <w:tcPr>
            <w:tcW w:w="2268" w:type="dxa"/>
            <w:vMerge/>
            <w:shd w:val="clear" w:color="auto" w:fill="FFFFFF"/>
            <w:vAlign w:val="center"/>
            <w:hideMark/>
          </w:tcPr>
          <w:p w:rsidR="00710C41" w:rsidRPr="00307C88" w:rsidRDefault="00710C41"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val="restart"/>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p>
        </w:tc>
      </w:tr>
      <w:tr w:rsidR="00710C41" w:rsidRPr="00307C88" w:rsidTr="0085443A">
        <w:trPr>
          <w:trHeight w:val="467"/>
        </w:trPr>
        <w:tc>
          <w:tcPr>
            <w:tcW w:w="1143" w:type="dxa"/>
            <w:vMerge/>
            <w:shd w:val="clear" w:color="auto" w:fill="FFFFFF"/>
            <w:vAlign w:val="center"/>
            <w:hideMark/>
          </w:tcPr>
          <w:p w:rsidR="00710C41" w:rsidRPr="00307C88" w:rsidRDefault="00710C41" w:rsidP="0085443A">
            <w:pPr>
              <w:widowControl/>
              <w:spacing w:line="280" w:lineRule="exact"/>
              <w:jc w:val="left"/>
              <w:rPr>
                <w:rFonts w:ascii="微软雅黑" w:eastAsia="微软雅黑" w:hAnsi="微软雅黑" w:cs="宋体"/>
                <w:color w:val="333333"/>
                <w:spacing w:val="8"/>
                <w:kern w:val="0"/>
                <w:sz w:val="18"/>
                <w:szCs w:val="18"/>
              </w:rPr>
            </w:pPr>
          </w:p>
        </w:tc>
        <w:tc>
          <w:tcPr>
            <w:tcW w:w="4245" w:type="dxa"/>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符合交易规则的国家核证自愿减排量及其他产品交易</w:t>
            </w:r>
          </w:p>
        </w:tc>
        <w:tc>
          <w:tcPr>
            <w:tcW w:w="2268" w:type="dxa"/>
            <w:vMerge/>
            <w:shd w:val="clear" w:color="auto" w:fill="FFFFFF"/>
            <w:vAlign w:val="center"/>
            <w:hideMark/>
          </w:tcPr>
          <w:p w:rsidR="00710C41" w:rsidRPr="00307C88" w:rsidRDefault="00710C41" w:rsidP="0085443A">
            <w:pPr>
              <w:widowControl/>
              <w:spacing w:line="280" w:lineRule="exact"/>
              <w:jc w:val="left"/>
              <w:rPr>
                <w:rFonts w:ascii="微软雅黑" w:eastAsia="微软雅黑" w:hAnsi="微软雅黑" w:cs="宋体"/>
                <w:color w:val="333333"/>
                <w:spacing w:val="8"/>
                <w:kern w:val="0"/>
                <w:sz w:val="18"/>
                <w:szCs w:val="18"/>
              </w:rPr>
            </w:pPr>
          </w:p>
        </w:tc>
        <w:tc>
          <w:tcPr>
            <w:tcW w:w="2126" w:type="dxa"/>
            <w:vMerge/>
            <w:shd w:val="clear" w:color="auto" w:fill="FFFFFF"/>
            <w:tcMar>
              <w:top w:w="75" w:type="dxa"/>
              <w:left w:w="150" w:type="dxa"/>
              <w:bottom w:w="75" w:type="dxa"/>
              <w:right w:w="150" w:type="dxa"/>
            </w:tcMar>
            <w:vAlign w:val="center"/>
            <w:hideMark/>
          </w:tcPr>
          <w:p w:rsidR="00710C41" w:rsidRPr="00307C88" w:rsidRDefault="00710C41"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70"/>
        </w:trPr>
        <w:tc>
          <w:tcPr>
            <w:tcW w:w="1143"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D03</w:t>
            </w:r>
          </w:p>
        </w:tc>
        <w:tc>
          <w:tcPr>
            <w:tcW w:w="4245"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用能权交易</w:t>
            </w:r>
          </w:p>
        </w:tc>
        <w:tc>
          <w:tcPr>
            <w:tcW w:w="2268"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工业主管部门</w:t>
            </w:r>
          </w:p>
        </w:tc>
        <w:tc>
          <w:tcPr>
            <w:tcW w:w="2126" w:type="dxa"/>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p>
        </w:tc>
      </w:tr>
      <w:tr w:rsidR="00307C88" w:rsidRPr="00307C88" w:rsidTr="0085443A">
        <w:trPr>
          <w:trHeight w:val="2820"/>
        </w:trPr>
        <w:tc>
          <w:tcPr>
            <w:tcW w:w="9782" w:type="dxa"/>
            <w:gridSpan w:val="4"/>
            <w:shd w:val="clear" w:color="auto" w:fill="FFFFFF"/>
            <w:tcMar>
              <w:top w:w="75" w:type="dxa"/>
              <w:left w:w="150" w:type="dxa"/>
              <w:bottom w:w="75" w:type="dxa"/>
              <w:right w:w="150" w:type="dxa"/>
            </w:tcMar>
            <w:vAlign w:val="center"/>
            <w:hideMark/>
          </w:tcPr>
          <w:p w:rsidR="00307C88" w:rsidRPr="00307C88" w:rsidRDefault="00307C88" w:rsidP="0085443A">
            <w:pPr>
              <w:widowControl/>
              <w:spacing w:line="280" w:lineRule="exact"/>
              <w:rPr>
                <w:rFonts w:ascii="微软雅黑" w:eastAsia="微软雅黑" w:hAnsi="微软雅黑" w:cs="宋体"/>
                <w:color w:val="333333"/>
                <w:spacing w:val="8"/>
                <w:kern w:val="0"/>
                <w:sz w:val="18"/>
                <w:szCs w:val="18"/>
              </w:rPr>
            </w:pPr>
            <w:r w:rsidRPr="00307C88">
              <w:rPr>
                <w:rFonts w:ascii="微软雅黑" w:eastAsia="微软雅黑" w:hAnsi="微软雅黑" w:cs="宋体" w:hint="eastAsia"/>
                <w:color w:val="333333"/>
                <w:spacing w:val="8"/>
                <w:kern w:val="0"/>
                <w:sz w:val="18"/>
                <w:szCs w:val="18"/>
              </w:rPr>
              <w:t>说明：</w:t>
            </w:r>
            <w:r w:rsidRPr="00307C88">
              <w:rPr>
                <w:rFonts w:ascii="微软雅黑" w:eastAsia="微软雅黑" w:hAnsi="微软雅黑" w:cs="宋体" w:hint="eastAsia"/>
                <w:color w:val="333333"/>
                <w:spacing w:val="8"/>
                <w:kern w:val="0"/>
                <w:sz w:val="18"/>
                <w:szCs w:val="18"/>
              </w:rPr>
              <w:br/>
              <w:t>   1、公共资源交易项目按行业归口监管的原则，由各行业主管部门实施监管，具体项目类别、层级监管权限，由省级行业主管部门具体划分。</w:t>
            </w:r>
            <w:r w:rsidRPr="00307C88">
              <w:rPr>
                <w:rFonts w:ascii="微软雅黑" w:eastAsia="微软雅黑" w:hAnsi="微软雅黑" w:cs="宋体" w:hint="eastAsia"/>
                <w:color w:val="333333"/>
                <w:spacing w:val="8"/>
                <w:kern w:val="0"/>
                <w:sz w:val="18"/>
                <w:szCs w:val="18"/>
              </w:rPr>
              <w:br/>
              <w:t>    2、工程类项目范围包括：①依法必须招标的各类建设项目（含新建、改建、扩建及其相关的装修、拆除、维修等）的勘察、设计、施工、监理；②与上述工程建设有关的重要设备和材料等采购。</w:t>
            </w:r>
            <w:r w:rsidRPr="00307C88">
              <w:rPr>
                <w:rFonts w:ascii="微软雅黑" w:eastAsia="微软雅黑" w:hAnsi="微软雅黑" w:cs="宋体" w:hint="eastAsia"/>
                <w:color w:val="333333"/>
                <w:spacing w:val="8"/>
                <w:kern w:val="0"/>
                <w:sz w:val="18"/>
                <w:szCs w:val="18"/>
              </w:rPr>
              <w:br/>
              <w:t>   3、中央企业和地方国有企业在闽投资的各类建设项目按照国家和省政府有关规定执行；</w:t>
            </w:r>
            <w:r w:rsidRPr="00307C88">
              <w:rPr>
                <w:rFonts w:ascii="微软雅黑" w:eastAsia="微软雅黑" w:hAnsi="微软雅黑" w:cs="宋体" w:hint="eastAsia"/>
                <w:color w:val="333333"/>
                <w:spacing w:val="8"/>
                <w:kern w:val="0"/>
                <w:sz w:val="18"/>
                <w:szCs w:val="18"/>
              </w:rPr>
              <w:br/>
              <w:t>   4、不属于依法必须招标范围的政府采购工程以及与工程建设有关的货物、服务，自愿选择招标方式发包的，按照行业归口管理原则，实施行政监督。采用政府采购的非招标方式发包的，应当执行政府采购政策，由政府采购监管部门实施行政监管。</w:t>
            </w:r>
            <w:r w:rsidRPr="00307C88">
              <w:rPr>
                <w:rFonts w:ascii="微软雅黑" w:eastAsia="微软雅黑" w:hAnsi="微软雅黑" w:cs="宋体" w:hint="eastAsia"/>
                <w:color w:val="333333"/>
                <w:spacing w:val="8"/>
                <w:kern w:val="0"/>
                <w:sz w:val="18"/>
                <w:szCs w:val="18"/>
              </w:rPr>
              <w:br/>
              <w:t>   5、未包含在目录内的工程建设项目，招投标行政监管单位不明确的，由各级招投标指导协调部门会同有关行政监督部门，会商研究确定项目招投标行政监管单位。</w:t>
            </w:r>
          </w:p>
        </w:tc>
      </w:tr>
    </w:tbl>
    <w:p w:rsidR="0053174B" w:rsidRDefault="0053174B" w:rsidP="0085443A">
      <w:pPr>
        <w:spacing w:line="280" w:lineRule="exact"/>
      </w:pPr>
    </w:p>
    <w:sectPr w:rsidR="0053174B" w:rsidSect="00373457">
      <w:pgSz w:w="11907" w:h="16838" w:code="9"/>
      <w:pgMar w:top="1797" w:right="1440" w:bottom="1797"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7C88"/>
    <w:rsid w:val="001D21A7"/>
    <w:rsid w:val="00236B69"/>
    <w:rsid w:val="00265ADC"/>
    <w:rsid w:val="00307C88"/>
    <w:rsid w:val="00373457"/>
    <w:rsid w:val="003B64E2"/>
    <w:rsid w:val="0053174B"/>
    <w:rsid w:val="005938BD"/>
    <w:rsid w:val="00710C41"/>
    <w:rsid w:val="0085443A"/>
    <w:rsid w:val="009848A0"/>
    <w:rsid w:val="00A54675"/>
    <w:rsid w:val="00D03A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74B"/>
    <w:pPr>
      <w:widowControl w:val="0"/>
      <w:jc w:val="both"/>
    </w:pPr>
  </w:style>
  <w:style w:type="paragraph" w:styleId="2">
    <w:name w:val="heading 2"/>
    <w:basedOn w:val="a"/>
    <w:link w:val="2Char"/>
    <w:uiPriority w:val="9"/>
    <w:qFormat/>
    <w:rsid w:val="00307C88"/>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07C88"/>
    <w:rPr>
      <w:rFonts w:ascii="宋体" w:eastAsia="宋体" w:hAnsi="宋体" w:cs="宋体"/>
      <w:b/>
      <w:bCs/>
      <w:kern w:val="0"/>
      <w:sz w:val="36"/>
      <w:szCs w:val="36"/>
    </w:rPr>
  </w:style>
  <w:style w:type="character" w:customStyle="1" w:styleId="richmediameta">
    <w:name w:val="rich_media_meta"/>
    <w:basedOn w:val="a0"/>
    <w:rsid w:val="00307C88"/>
  </w:style>
  <w:style w:type="character" w:styleId="a3">
    <w:name w:val="Hyperlink"/>
    <w:basedOn w:val="a0"/>
    <w:uiPriority w:val="99"/>
    <w:semiHidden/>
    <w:unhideWhenUsed/>
    <w:rsid w:val="00307C88"/>
    <w:rPr>
      <w:color w:val="0000FF"/>
      <w:u w:val="single"/>
    </w:rPr>
  </w:style>
  <w:style w:type="character" w:customStyle="1" w:styleId="apple-converted-space">
    <w:name w:val="apple-converted-space"/>
    <w:basedOn w:val="a0"/>
    <w:rsid w:val="00307C88"/>
  </w:style>
  <w:style w:type="character" w:styleId="a4">
    <w:name w:val="Emphasis"/>
    <w:basedOn w:val="a0"/>
    <w:uiPriority w:val="20"/>
    <w:qFormat/>
    <w:rsid w:val="00307C88"/>
    <w:rPr>
      <w:i/>
      <w:iCs/>
    </w:rPr>
  </w:style>
  <w:style w:type="paragraph" w:styleId="a5">
    <w:name w:val="Normal (Web)"/>
    <w:basedOn w:val="a"/>
    <w:uiPriority w:val="99"/>
    <w:semiHidden/>
    <w:unhideWhenUsed/>
    <w:rsid w:val="00307C88"/>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04829611">
      <w:bodyDiv w:val="1"/>
      <w:marLeft w:val="0"/>
      <w:marRight w:val="0"/>
      <w:marTop w:val="0"/>
      <w:marBottom w:val="0"/>
      <w:divBdr>
        <w:top w:val="none" w:sz="0" w:space="0" w:color="auto"/>
        <w:left w:val="none" w:sz="0" w:space="0" w:color="auto"/>
        <w:bottom w:val="none" w:sz="0" w:space="0" w:color="auto"/>
        <w:right w:val="none" w:sz="0" w:space="0" w:color="auto"/>
      </w:divBdr>
      <w:divsChild>
        <w:div w:id="333806047">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2020-01-09T00:41:00Z</dcterms:created>
  <dcterms:modified xsi:type="dcterms:W3CDTF">2020-01-09T01:21:00Z</dcterms:modified>
</cp:coreProperties>
</file>