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108DB8">
      <w:pPr>
        <w:adjustRightInd w:val="0"/>
        <w:snapToGrid w:val="0"/>
        <w:jc w:val="center"/>
        <w:rPr>
          <w:rFonts w:ascii="仿宋_GB2312" w:hAnsi="宋体" w:eastAsia="仿宋_GB2312"/>
          <w:b/>
          <w:bCs/>
          <w:sz w:val="36"/>
          <w:szCs w:val="36"/>
        </w:rPr>
      </w:pPr>
      <w:r>
        <w:rPr>
          <w:rFonts w:hint="eastAsia" w:ascii="仿宋_GB2312" w:hAnsi="宋体" w:eastAsia="仿宋_GB2312"/>
          <w:b/>
          <w:bCs/>
          <w:sz w:val="36"/>
          <w:szCs w:val="36"/>
        </w:rPr>
        <w:t>建筑工程招标控制价编制说明</w:t>
      </w:r>
    </w:p>
    <w:p w14:paraId="64157E80">
      <w:pPr>
        <w:adjustRightInd w:val="0"/>
        <w:snapToGrid w:val="0"/>
        <w:jc w:val="center"/>
        <w:rPr>
          <w:rFonts w:ascii="仿宋_GB2312" w:hAnsi="宋体" w:eastAsia="仿宋_GB2312"/>
          <w:b/>
          <w:bCs/>
          <w:sz w:val="36"/>
          <w:szCs w:val="36"/>
        </w:rPr>
      </w:pPr>
    </w:p>
    <w:p w14:paraId="7C4B1C8E">
      <w:pPr>
        <w:widowControl w:val="0"/>
        <w:wordWrap/>
        <w:adjustRightInd/>
        <w:snapToGrid/>
        <w:spacing w:line="280" w:lineRule="atLeast"/>
        <w:ind w:left="0" w:leftChars="0"/>
        <w:jc w:val="left"/>
        <w:textAlignment w:val="auto"/>
        <w:outlineLvl w:val="9"/>
        <w:rPr>
          <w:rFonts w:hint="eastAsia" w:ascii="仿宋_GB2312" w:hAnsi="宋体" w:eastAsia="仿宋_GB2312"/>
          <w:b/>
          <w:bCs/>
          <w:kern w:val="10"/>
          <w:sz w:val="21"/>
          <w:szCs w:val="21"/>
          <w:u w:val="single"/>
          <w:lang w:val="en-US" w:eastAsia="zh-CN"/>
        </w:rPr>
      </w:pPr>
      <w:r>
        <w:rPr>
          <w:rFonts w:hint="eastAsia" w:ascii="仿宋_GB2312" w:hAnsi="宋体" w:eastAsia="仿宋_GB2312"/>
          <w:kern w:val="10"/>
          <w:sz w:val="24"/>
          <w:szCs w:val="24"/>
        </w:rPr>
        <w:t>工程名称</w:t>
      </w:r>
      <w:r>
        <w:rPr>
          <w:rFonts w:hint="eastAsia" w:ascii="仿宋_GB2312" w:hAnsi="宋体" w:eastAsia="仿宋_GB2312"/>
          <w:kern w:val="10"/>
          <w:sz w:val="24"/>
          <w:szCs w:val="24"/>
          <w:lang w:eastAsia="zh-CN"/>
        </w:rPr>
        <w:t>：</w:t>
      </w:r>
      <w:r>
        <w:rPr>
          <w:rFonts w:hint="eastAsia" w:ascii="仿宋_GB2312" w:hAnsi="宋体" w:eastAsia="仿宋_GB2312"/>
          <w:kern w:val="10"/>
          <w:sz w:val="24"/>
          <w:szCs w:val="24"/>
          <w:u w:val="single"/>
        </w:rPr>
        <w:t>将乐县古城保护及历史文化名城旅游基础设施建设项目-文物修缮工程</w:t>
      </w:r>
    </w:p>
    <w:tbl>
      <w:tblPr>
        <w:tblStyle w:val="4"/>
        <w:tblW w:w="9356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6"/>
      </w:tblGrid>
      <w:tr w14:paraId="3672E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26" w:hRule="atLeast"/>
        </w:trPr>
        <w:tc>
          <w:tcPr>
            <w:tcW w:w="9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5C1F2C3">
            <w:pPr>
              <w:numPr>
                <w:ilvl w:val="0"/>
                <w:numId w:val="1"/>
              </w:numPr>
              <w:spacing w:line="360" w:lineRule="auto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工程概况</w:t>
            </w:r>
          </w:p>
          <w:p w14:paraId="1EB5CB72">
            <w:pPr>
              <w:spacing w:line="360" w:lineRule="auto"/>
              <w:ind w:firstLine="555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1.建设地点：</w:t>
            </w:r>
            <w:r>
              <w:rPr>
                <w:rFonts w:hint="eastAsia" w:ascii="仿宋_GB2312" w:hAnsi="仿宋" w:eastAsia="仿宋_GB2312" w:cs="Times New Roman"/>
                <w:color w:val="auto"/>
                <w:sz w:val="28"/>
                <w:szCs w:val="28"/>
                <w:u w:val="single"/>
              </w:rPr>
              <w:t>福建省</w:t>
            </w:r>
            <w:r>
              <w:rPr>
                <w:rFonts w:hint="eastAsia" w:ascii="仿宋_GB2312" w:hAnsi="仿宋" w:eastAsia="仿宋_GB2312" w:cs="Times New Roman"/>
                <w:color w:val="auto"/>
                <w:sz w:val="28"/>
                <w:szCs w:val="28"/>
                <w:u w:val="single"/>
                <w:lang w:val="en-US" w:eastAsia="zh-CN"/>
              </w:rPr>
              <w:t>三</w:t>
            </w:r>
            <w:r>
              <w:rPr>
                <w:rFonts w:hint="eastAsia" w:ascii="仿宋_GB2312" w:hAnsi="仿宋" w:eastAsia="仿宋_GB2312" w:cs="Times New Roman"/>
                <w:color w:val="auto"/>
                <w:sz w:val="28"/>
                <w:szCs w:val="28"/>
                <w:u w:val="single"/>
              </w:rPr>
              <w:t>明市将乐县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。</w:t>
            </w:r>
          </w:p>
          <w:p w14:paraId="50581C2C">
            <w:pPr>
              <w:spacing w:line="360" w:lineRule="auto"/>
              <w:ind w:firstLine="555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2.工程专业：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  <w:u w:val="single"/>
                <w:lang w:val="en-US" w:eastAsia="zh-CN"/>
              </w:rPr>
              <w:t>古建筑工程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。</w:t>
            </w:r>
          </w:p>
          <w:p w14:paraId="7A066A89">
            <w:pPr>
              <w:spacing w:line="360" w:lineRule="auto"/>
              <w:ind w:left="959" w:leftChars="261" w:hanging="411" w:hangingChars="147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3.合同工期：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u w:val="single"/>
                <w:lang w:val="en-US" w:eastAsia="zh-CN"/>
              </w:rPr>
              <w:t>详招标文件约定</w:t>
            </w: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</w:rPr>
              <w:t>；</w:t>
            </w:r>
            <w:r>
              <w:rPr>
                <w:rFonts w:hint="eastAsia" w:ascii="仿宋_GB2312" w:eastAsia="仿宋_GB2312"/>
                <w:bCs/>
                <w:color w:val="auto"/>
                <w:sz w:val="28"/>
                <w:szCs w:val="28"/>
              </w:rPr>
              <w:t>工程质量等级：</w:t>
            </w:r>
            <w:r>
              <w:rPr>
                <w:rFonts w:hint="eastAsia" w:ascii="仿宋_GB2312" w:eastAsia="仿宋_GB2312"/>
                <w:bCs/>
                <w:color w:val="auto"/>
                <w:sz w:val="28"/>
                <w:szCs w:val="28"/>
                <w:u w:val="single"/>
              </w:rPr>
              <w:t>合格工程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。</w:t>
            </w:r>
          </w:p>
          <w:p w14:paraId="343294D1">
            <w:pPr>
              <w:spacing w:line="240" w:lineRule="auto"/>
              <w:ind w:left="653" w:leftChars="259" w:hanging="109" w:hangingChars="39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4.招标范围：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bCs/>
                <w:color w:val="auto"/>
                <w:sz w:val="28"/>
                <w:szCs w:val="28"/>
                <w:u w:val="single"/>
                <w:lang w:val="en-US" w:eastAsia="zh-CN"/>
              </w:rPr>
              <w:t>施工图纸所载明的拆除、维修、</w:t>
            </w:r>
            <w:r>
              <w:rPr>
                <w:rFonts w:hint="eastAsia" w:ascii="仿宋_GB2312" w:eastAsia="仿宋_GB2312"/>
                <w:bCs/>
                <w:color w:val="auto"/>
                <w:sz w:val="28"/>
                <w:szCs w:val="28"/>
                <w:u w:val="single"/>
              </w:rPr>
              <w:t>土石方、</w:t>
            </w: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u w:val="single"/>
              </w:rPr>
              <w:t>土建</w:t>
            </w: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u w:val="single"/>
                <w:lang w:eastAsia="zh-CN"/>
              </w:rPr>
              <w:t>、</w:t>
            </w: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u w:val="single"/>
                <w:lang w:val="en-US" w:eastAsia="zh-CN"/>
              </w:rPr>
              <w:t>装饰、石作、木作、</w:t>
            </w: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u w:val="single"/>
              </w:rPr>
              <w:t>水电安装</w:t>
            </w: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u w:val="single"/>
                <w:lang w:eastAsia="zh-CN"/>
              </w:rPr>
              <w:t>、</w:t>
            </w: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u w:val="single"/>
                <w:lang w:val="en-US" w:eastAsia="zh-CN"/>
              </w:rPr>
              <w:t>夜景照明等内容</w:t>
            </w: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</w:rPr>
              <w:t>；</w:t>
            </w:r>
            <w:r>
              <w:rPr>
                <w:rFonts w:hint="eastAsia" w:ascii="仿宋_GB2312" w:eastAsia="仿宋_GB2312"/>
                <w:bCs/>
                <w:color w:val="auto"/>
                <w:sz w:val="28"/>
                <w:szCs w:val="28"/>
              </w:rPr>
              <w:t>单独发包的专业工程：</w:t>
            </w:r>
            <w:r>
              <w:rPr>
                <w:rFonts w:hint="eastAsia" w:ascii="仿宋_GB2312" w:eastAsia="仿宋_GB2312"/>
                <w:bCs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bCs/>
                <w:color w:val="auto"/>
                <w:sz w:val="28"/>
                <w:szCs w:val="28"/>
                <w:u w:val="single"/>
                <w:lang w:val="en-US" w:eastAsia="zh-CN"/>
              </w:rPr>
              <w:t xml:space="preserve">/ </w:t>
            </w: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</w:rPr>
              <w:t>。</w:t>
            </w:r>
          </w:p>
          <w:p w14:paraId="0BA09C8E">
            <w:pPr>
              <w:spacing w:line="360" w:lineRule="auto"/>
              <w:ind w:left="959" w:leftChars="261" w:hanging="411" w:hangingChars="147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5.工程特征：</w:t>
            </w:r>
          </w:p>
          <w:p w14:paraId="00D858E7">
            <w:pPr>
              <w:numPr>
                <w:ilvl w:val="0"/>
                <w:numId w:val="2"/>
              </w:numPr>
              <w:tabs>
                <w:tab w:val="left" w:pos="0"/>
                <w:tab w:val="clear" w:pos="968"/>
              </w:tabs>
              <w:spacing w:line="240" w:lineRule="auto"/>
              <w:ind w:left="0" w:firstLine="548"/>
              <w:rPr>
                <w:rFonts w:hint="eastAsia" w:ascii="仿宋_GB2312" w:hAnsi="宋体" w:eastAsia="仿宋_GB2312"/>
                <w:bCs/>
                <w:color w:val="auto"/>
                <w:spacing w:val="-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color w:val="auto"/>
                <w:spacing w:val="-2"/>
                <w:sz w:val="28"/>
                <w:szCs w:val="28"/>
                <w:u w:val="single"/>
              </w:rPr>
              <w:t>建筑面积：</w:t>
            </w:r>
            <w:r>
              <w:rPr>
                <w:rFonts w:hint="eastAsia" w:ascii="仿宋_GB2312" w:eastAsia="仿宋_GB2312"/>
                <w:bCs/>
                <w:color w:val="auto"/>
                <w:sz w:val="28"/>
                <w:szCs w:val="28"/>
                <w:u w:val="single"/>
                <w:lang w:val="en-US" w:eastAsia="zh-CN"/>
              </w:rPr>
              <w:t xml:space="preserve">/ </w:t>
            </w:r>
            <w:r>
              <w:rPr>
                <w:rFonts w:hint="eastAsia" w:ascii="仿宋_GB2312" w:hAnsi="宋体" w:eastAsia="仿宋_GB2312"/>
                <w:bCs/>
                <w:color w:val="auto"/>
                <w:spacing w:val="-2"/>
                <w:sz w:val="28"/>
                <w:szCs w:val="28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color w:val="auto"/>
                <w:spacing w:val="-2"/>
                <w:sz w:val="28"/>
                <w:szCs w:val="28"/>
                <w:u w:val="single"/>
              </w:rPr>
              <w:t>m2。</w:t>
            </w:r>
            <w:r>
              <w:rPr>
                <w:rFonts w:hint="eastAsia" w:ascii="仿宋_GB2312" w:hAnsi="宋体" w:eastAsia="仿宋_GB2312"/>
                <w:bCs/>
                <w:color w:val="auto"/>
                <w:spacing w:val="-2"/>
                <w:sz w:val="28"/>
                <w:szCs w:val="28"/>
              </w:rPr>
              <w:t xml:space="preserve"> </w:t>
            </w:r>
          </w:p>
          <w:p w14:paraId="57DF022D">
            <w:pPr>
              <w:numPr>
                <w:ilvl w:val="0"/>
                <w:numId w:val="2"/>
              </w:numPr>
              <w:tabs>
                <w:tab w:val="left" w:pos="0"/>
                <w:tab w:val="clear" w:pos="968"/>
              </w:tabs>
              <w:spacing w:line="240" w:lineRule="auto"/>
              <w:ind w:left="0" w:firstLine="548"/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color w:val="auto"/>
                <w:spacing w:val="-2"/>
                <w:sz w:val="28"/>
                <w:szCs w:val="28"/>
              </w:rPr>
              <w:t>层数：</w:t>
            </w:r>
            <w:r>
              <w:rPr>
                <w:rFonts w:hint="eastAsia" w:ascii="仿宋_GB2312" w:hAnsi="宋体" w:eastAsia="仿宋_GB2312"/>
                <w:bCs/>
                <w:color w:val="auto"/>
                <w:spacing w:val="-2"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u w:val="single"/>
              </w:rPr>
              <w:t>；</w:t>
            </w:r>
            <w:r>
              <w:rPr>
                <w:rFonts w:hint="eastAsia" w:ascii="仿宋_GB2312" w:hAnsi="宋体" w:eastAsia="仿宋_GB2312"/>
                <w:bCs/>
                <w:color w:val="auto"/>
                <w:spacing w:val="-2"/>
                <w:sz w:val="28"/>
                <w:szCs w:val="28"/>
              </w:rPr>
              <w:t>檐口高度：</w:t>
            </w:r>
            <w:r>
              <w:rPr>
                <w:rFonts w:hint="eastAsia" w:ascii="仿宋_GB2312" w:hAnsi="宋体" w:eastAsia="仿宋_GB2312"/>
                <w:bCs/>
                <w:color w:val="auto"/>
                <w:spacing w:val="-2"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u w:val="single"/>
              </w:rPr>
              <w:t>。</w:t>
            </w:r>
          </w:p>
          <w:p w14:paraId="5C7CF1DD">
            <w:pPr>
              <w:numPr>
                <w:ilvl w:val="0"/>
                <w:numId w:val="2"/>
              </w:numPr>
              <w:tabs>
                <w:tab w:val="left" w:pos="885"/>
                <w:tab w:val="clear" w:pos="968"/>
              </w:tabs>
              <w:spacing w:line="240" w:lineRule="auto"/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color w:val="auto"/>
                <w:spacing w:val="-2"/>
                <w:sz w:val="28"/>
                <w:szCs w:val="28"/>
              </w:rPr>
              <w:t>结构质式：</w:t>
            </w:r>
            <w:r>
              <w:rPr>
                <w:rFonts w:hint="eastAsia" w:ascii="仿宋_GB2312" w:hAnsi="宋体" w:eastAsia="仿宋_GB2312"/>
                <w:bCs/>
                <w:color w:val="auto"/>
                <w:spacing w:val="-2"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color w:val="auto"/>
                <w:spacing w:val="-2"/>
                <w:sz w:val="28"/>
                <w:szCs w:val="28"/>
                <w:u w:val="single"/>
              </w:rPr>
              <w:t>结构</w:t>
            </w: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</w:rPr>
              <w:t>。</w:t>
            </w:r>
          </w:p>
          <w:p w14:paraId="3E6F2D34">
            <w:pPr>
              <w:numPr>
                <w:ilvl w:val="0"/>
                <w:numId w:val="2"/>
              </w:numPr>
              <w:tabs>
                <w:tab w:val="left" w:pos="885"/>
                <w:tab w:val="clear" w:pos="968"/>
              </w:tabs>
              <w:spacing w:line="240" w:lineRule="auto"/>
              <w:ind w:left="0" w:firstLine="548"/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color w:val="auto"/>
                <w:spacing w:val="-2"/>
                <w:sz w:val="28"/>
                <w:szCs w:val="28"/>
              </w:rPr>
              <w:t>基础类型：</w:t>
            </w:r>
            <w:r>
              <w:rPr>
                <w:rFonts w:hint="eastAsia" w:ascii="仿宋_GB2312" w:hAnsi="宋体" w:eastAsia="仿宋_GB2312"/>
                <w:bCs/>
                <w:color w:val="auto"/>
                <w:spacing w:val="-2"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</w:rPr>
              <w:t>。</w:t>
            </w:r>
          </w:p>
          <w:p w14:paraId="77437952">
            <w:pPr>
              <w:numPr>
                <w:ilvl w:val="0"/>
                <w:numId w:val="2"/>
              </w:numPr>
              <w:tabs>
                <w:tab w:val="left" w:pos="885"/>
                <w:tab w:val="clear" w:pos="968"/>
              </w:tabs>
              <w:spacing w:line="240" w:lineRule="auto"/>
              <w:ind w:left="0" w:firstLine="548"/>
              <w:rPr>
                <w:rFonts w:hint="eastAsia" w:ascii="仿宋_GB2312" w:hAnsi="宋体" w:eastAsia="仿宋_GB2312"/>
                <w:bCs/>
                <w:color w:val="auto"/>
                <w:spacing w:val="-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color w:val="auto"/>
                <w:spacing w:val="-2"/>
                <w:sz w:val="28"/>
                <w:szCs w:val="28"/>
              </w:rPr>
              <w:t>装饰情况：</w:t>
            </w:r>
            <w:r>
              <w:rPr>
                <w:rFonts w:hint="eastAsia" w:ascii="仿宋_GB2312" w:hAnsi="宋体" w:eastAsia="仿宋_GB2312"/>
                <w:bCs/>
                <w:color w:val="auto"/>
                <w:spacing w:val="-2"/>
                <w:sz w:val="28"/>
                <w:szCs w:val="28"/>
                <w:u w:val="single"/>
                <w:lang w:val="en-US" w:eastAsia="zh-CN"/>
              </w:rPr>
              <w:t>古建修复改造</w:t>
            </w:r>
            <w:r>
              <w:rPr>
                <w:rFonts w:hint="eastAsia" w:ascii="仿宋_GB2312" w:hAnsi="宋体" w:eastAsia="仿宋_GB2312"/>
                <w:bCs/>
                <w:color w:val="auto"/>
                <w:spacing w:val="-2"/>
                <w:sz w:val="28"/>
                <w:szCs w:val="28"/>
                <w:u w:val="single"/>
              </w:rPr>
              <w:t>，</w:t>
            </w:r>
            <w:r>
              <w:rPr>
                <w:rFonts w:hint="eastAsia" w:ascii="仿宋_GB2312" w:hAnsi="宋体" w:eastAsia="仿宋_GB2312"/>
                <w:bCs/>
                <w:color w:val="auto"/>
                <w:spacing w:val="-2"/>
                <w:sz w:val="28"/>
                <w:szCs w:val="28"/>
                <w:u w:val="single"/>
                <w:lang w:val="en-US" w:eastAsia="zh-CN"/>
              </w:rPr>
              <w:t>具体详各专业设计图纸</w:t>
            </w:r>
            <w:r>
              <w:rPr>
                <w:rFonts w:hint="eastAsia" w:ascii="仿宋_GB2312" w:hAnsi="宋体" w:eastAsia="仿宋_GB2312"/>
                <w:bCs/>
                <w:color w:val="auto"/>
                <w:spacing w:val="-2"/>
                <w:sz w:val="28"/>
                <w:szCs w:val="28"/>
                <w:u w:val="single"/>
              </w:rPr>
              <w:t>。</w:t>
            </w:r>
          </w:p>
          <w:p w14:paraId="0A0B2EBD">
            <w:pPr>
              <w:numPr>
                <w:ilvl w:val="0"/>
                <w:numId w:val="2"/>
              </w:numPr>
              <w:tabs>
                <w:tab w:val="left" w:pos="885"/>
                <w:tab w:val="clear" w:pos="968"/>
              </w:tabs>
              <w:spacing w:line="240" w:lineRule="auto"/>
              <w:ind w:left="0" w:firstLine="548"/>
              <w:rPr>
                <w:rFonts w:hint="eastAsia" w:ascii="仿宋_GB2312" w:hAnsi="宋体" w:eastAsia="仿宋_GB2312"/>
                <w:bCs/>
                <w:color w:val="auto"/>
                <w:spacing w:val="-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color w:val="auto"/>
                <w:spacing w:val="-2"/>
                <w:sz w:val="28"/>
                <w:szCs w:val="28"/>
              </w:rPr>
              <w:t>混凝土情况：</w:t>
            </w:r>
            <w:r>
              <w:rPr>
                <w:rFonts w:hint="eastAsia" w:ascii="仿宋_GB2312" w:hAnsi="宋体" w:eastAsia="仿宋_GB2312"/>
                <w:bCs/>
                <w:color w:val="auto"/>
                <w:spacing w:val="-2"/>
                <w:sz w:val="28"/>
                <w:szCs w:val="28"/>
                <w:u w:val="single"/>
                <w:lang w:val="en-US" w:eastAsia="zh-CN"/>
              </w:rPr>
              <w:t>采用非</w:t>
            </w:r>
            <w:r>
              <w:rPr>
                <w:rFonts w:hint="eastAsia" w:ascii="仿宋_GB2312" w:hAnsi="宋体" w:eastAsia="仿宋_GB2312"/>
                <w:bCs/>
                <w:color w:val="auto"/>
                <w:spacing w:val="-2"/>
                <w:sz w:val="28"/>
                <w:szCs w:val="28"/>
                <w:u w:val="single"/>
              </w:rPr>
              <w:t>泵送商品</w:t>
            </w:r>
            <w:r>
              <w:rPr>
                <w:rFonts w:hint="eastAsia" w:ascii="仿宋_GB2312" w:hAnsi="宋体" w:eastAsia="仿宋_GB2312"/>
                <w:bCs/>
                <w:color w:val="auto"/>
                <w:spacing w:val="-2"/>
                <w:sz w:val="28"/>
                <w:szCs w:val="28"/>
                <w:u w:val="single"/>
                <w:lang w:val="en-US" w:eastAsia="zh-CN"/>
              </w:rPr>
              <w:t>砼</w:t>
            </w:r>
            <w:r>
              <w:rPr>
                <w:rFonts w:hint="eastAsia" w:ascii="仿宋_GB2312" w:hAnsi="宋体" w:eastAsia="仿宋_GB2312"/>
                <w:bCs/>
                <w:color w:val="auto"/>
                <w:spacing w:val="-2"/>
                <w:sz w:val="28"/>
                <w:szCs w:val="28"/>
                <w:u w:val="single"/>
              </w:rPr>
              <w:t>。</w:t>
            </w:r>
          </w:p>
          <w:p w14:paraId="080F9110">
            <w:pPr>
              <w:numPr>
                <w:ilvl w:val="0"/>
                <w:numId w:val="1"/>
              </w:numPr>
              <w:spacing w:line="360" w:lineRule="auto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编制范围</w:t>
            </w:r>
          </w:p>
          <w:p w14:paraId="53755530">
            <w:pPr>
              <w:ind w:firstLine="560" w:firstLineChars="200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 xml:space="preserve">按照 </w:t>
            </w:r>
            <w:r>
              <w:rPr>
                <w:rFonts w:hint="eastAsia" w:ascii="仿宋_GB2312" w:hAnsi="宋体" w:eastAsia="仿宋_GB2312" w:cs="Times New Roman"/>
                <w:bCs/>
                <w:color w:val="auto"/>
                <w:kern w:val="2"/>
                <w:sz w:val="28"/>
                <w:szCs w:val="28"/>
                <w:u w:val="single"/>
                <w:lang w:val="en-US" w:eastAsia="zh-CN" w:bidi="ar-SA"/>
              </w:rPr>
              <w:t>福建清华建筑设计院有限公司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设计的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Times New Roman"/>
                <w:color w:val="auto"/>
                <w:kern w:val="0"/>
                <w:sz w:val="28"/>
                <w:szCs w:val="28"/>
                <w:u w:val="single"/>
                <w:lang w:val="en-US" w:eastAsia="zh-CN"/>
              </w:rPr>
              <w:t>将乐县古城保护及历史文化名城旅游基础设施建设项目-文物修缮工程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图纸，专业范围包括</w:t>
            </w:r>
            <w:r>
              <w:rPr>
                <w:rFonts w:hint="eastAsia" w:ascii="仿宋_GB2312" w:eastAsia="仿宋_GB2312"/>
                <w:bCs/>
                <w:color w:val="auto"/>
                <w:sz w:val="28"/>
                <w:szCs w:val="28"/>
                <w:u w:val="single"/>
                <w:lang w:val="en-US" w:eastAsia="zh-CN"/>
              </w:rPr>
              <w:t>建筑、古建筑、结构、水、电气、暖通、岩土、室内装修、门窗等各专业</w:t>
            </w: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u w:val="single"/>
                <w:lang w:val="en-US" w:eastAsia="zh-CN"/>
              </w:rPr>
              <w:t>设计图纸所包含的内容</w:t>
            </w: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u w:val="single"/>
              </w:rPr>
              <w:t>等</w:t>
            </w: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u w:val="single"/>
                <w:lang w:eastAsia="zh-CN"/>
              </w:rPr>
              <w:t>。</w:t>
            </w:r>
          </w:p>
          <w:p w14:paraId="217FC8A7">
            <w:pPr>
              <w:numPr>
                <w:ilvl w:val="0"/>
                <w:numId w:val="1"/>
              </w:numPr>
              <w:spacing w:line="360" w:lineRule="auto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编制依据</w:t>
            </w:r>
          </w:p>
          <w:p w14:paraId="7297AED9">
            <w:pPr>
              <w:ind w:firstLine="560" w:firstLineChars="200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 xml:space="preserve">1.图纸： </w:t>
            </w:r>
            <w:r>
              <w:rPr>
                <w:rFonts w:hint="eastAsia" w:ascii="仿宋_GB2312" w:hAnsi="宋体" w:eastAsia="仿宋_GB2312" w:cs="Times New Roman"/>
                <w:bCs/>
                <w:color w:val="auto"/>
                <w:kern w:val="2"/>
                <w:sz w:val="28"/>
                <w:szCs w:val="28"/>
                <w:u w:val="single"/>
                <w:lang w:val="en-US" w:eastAsia="zh-CN" w:bidi="ar-SA"/>
              </w:rPr>
              <w:t>福建清华建筑设计院有限公司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设计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Times New Roman"/>
                <w:color w:val="auto"/>
                <w:kern w:val="0"/>
                <w:sz w:val="28"/>
                <w:szCs w:val="28"/>
                <w:u w:val="single"/>
                <w:lang w:val="en-US" w:eastAsia="zh-CN"/>
              </w:rPr>
              <w:t>将乐县古城保护及历史文化名城旅游基础设施建设项目-文物修缮工程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图纸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及有关设计文件。</w:t>
            </w:r>
          </w:p>
          <w:p w14:paraId="3C6FCA63">
            <w:pPr>
              <w:spacing w:line="360" w:lineRule="auto"/>
              <w:ind w:firstLine="560" w:firstLineChars="20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2.招标文件：</w:t>
            </w: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u w:val="single"/>
                <w:lang w:val="en-US" w:eastAsia="zh-CN"/>
              </w:rPr>
              <w:t xml:space="preserve">   /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编制的招标文件，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其中存在与现行计价规定不一致的内容：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>无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。</w:t>
            </w:r>
          </w:p>
          <w:p w14:paraId="27EB54E1">
            <w:pPr>
              <w:spacing w:line="360" w:lineRule="auto"/>
              <w:ind w:firstLine="560" w:firstLineChars="200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3.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地质勘察报告：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>/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。</w:t>
            </w:r>
          </w:p>
          <w:p w14:paraId="5D5D78E3">
            <w:pPr>
              <w:autoSpaceDE w:val="0"/>
              <w:autoSpaceDN w:val="0"/>
              <w:adjustRightInd w:val="0"/>
              <w:spacing w:line="360" w:lineRule="auto"/>
              <w:ind w:firstLine="560" w:firstLineChars="200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4.计价计量规范：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  <w:u w:val="single"/>
                <w:lang w:val="en-US" w:eastAsia="zh-CN"/>
              </w:rPr>
              <w:t>工程量清单计算规范（GB50854-2013～50862-2013）福建省各专业实施细则，《建设工程工程量清单计价规范》（GB50500-2013）、</w:t>
            </w:r>
            <w:r>
              <w:rPr>
                <w:rFonts w:hint="eastAsia" w:ascii="仿宋_GB2312" w:hAnsi="仿宋" w:eastAsia="仿宋_GB2312" w:cs="Times New Roman"/>
                <w:color w:val="auto"/>
                <w:sz w:val="28"/>
                <w:szCs w:val="28"/>
                <w:u w:val="single"/>
                <w:lang w:val="en-US" w:eastAsia="zh-CN"/>
              </w:rPr>
              <w:t>《仿古建筑工程工程量计算规范》（GB50855-2013）福建省各专业实施细则。</w:t>
            </w:r>
          </w:p>
          <w:p w14:paraId="4636DB46">
            <w:pPr>
              <w:autoSpaceDE w:val="0"/>
              <w:autoSpaceDN w:val="0"/>
              <w:adjustRightInd w:val="0"/>
              <w:spacing w:line="360" w:lineRule="auto"/>
              <w:ind w:firstLine="560" w:firstLineChars="200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5.预算定额：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  <w:u w:val="single"/>
                <w:lang w:val="en-US" w:eastAsia="zh-CN"/>
              </w:rPr>
              <w:t>《福建省房屋建筑与装饰工程预算定额》（2017版）；《福建省通用安装工程预算定额》（FJYD-301-2017～ FJYD-311-2017）;《福建省市政工程预算定额》（FJYD-401-2017～ FJYD-409-2017）； 《福建省园林绿化工程预算定额》（FJYD-501-2017）;《福建省构筑物工程预算定额》（FJYD-102-2017）;《福建省建设工程混凝土、砂浆等半成品配合比》（2017版）;《福建省混凝土和砂浆等半成品配合比》（2017版）；</w:t>
            </w:r>
            <w:r>
              <w:rPr>
                <w:rFonts w:hint="eastAsia" w:ascii="仿宋_GB2312" w:hAnsi="仿宋" w:eastAsia="仿宋_GB2312" w:cs="Times New Roman"/>
                <w:color w:val="auto"/>
                <w:sz w:val="28"/>
                <w:szCs w:val="28"/>
                <w:u w:val="single"/>
                <w:lang w:val="en-US" w:eastAsia="zh-CN"/>
              </w:rPr>
              <w:t>《福建省古建筑保护修复工程预算定额》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  <w:u w:val="single"/>
                <w:lang w:val="en-US" w:eastAsia="zh-CN"/>
              </w:rPr>
              <w:t>（2016版）</w:t>
            </w:r>
            <w:r>
              <w:rPr>
                <w:rFonts w:hint="eastAsia" w:ascii="仿宋_GB2312" w:hAnsi="仿宋" w:eastAsia="仿宋_GB2312" w:cs="Times New Roman"/>
                <w:color w:val="auto"/>
                <w:sz w:val="28"/>
                <w:szCs w:val="28"/>
                <w:u w:val="single"/>
                <w:lang w:val="en-US" w:eastAsia="zh-CN"/>
              </w:rPr>
              <w:t>及建设主管部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  <w:u w:val="single"/>
                <w:lang w:val="en-US" w:eastAsia="zh-CN"/>
              </w:rPr>
              <w:t>门发部的相关定额补充说明、调整文件（截止2024年11月7日）。</w:t>
            </w:r>
          </w:p>
          <w:p w14:paraId="55FA99EA">
            <w:pPr>
              <w:spacing w:line="360" w:lineRule="auto"/>
              <w:ind w:firstLine="560" w:firstLineChars="200"/>
              <w:rPr>
                <w:rFonts w:ascii="仿宋" w:hAnsi="仿宋" w:eastAsia="仿宋" w:cs="仿宋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6.费用定额：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>福建省建筑安装工程费用定额（2017版）及现行补充或调整文件（截止202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>年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>11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>月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>日以前）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。其中，</w:t>
            </w: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  <w:t>暂列金额：</w:t>
            </w: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  <w:t>；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专业工程暂估价：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；甲供材料费：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>无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。</w:t>
            </w:r>
          </w:p>
          <w:p w14:paraId="0382613B">
            <w:pPr>
              <w:spacing w:line="360" w:lineRule="auto"/>
              <w:ind w:firstLine="560" w:firstLineChars="200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7.人材机价格：</w:t>
            </w:r>
          </w:p>
          <w:p w14:paraId="436BAD91">
            <w:pPr>
              <w:spacing w:line="360" w:lineRule="auto"/>
              <w:ind w:firstLine="560" w:firstLineChars="200"/>
              <w:rPr>
                <w:rFonts w:ascii="仿宋" w:hAnsi="仿宋" w:eastAsia="仿宋" w:cs="仿宋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（1）人工费指数：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>明建〔</w:t>
            </w:r>
            <w:r>
              <w:rPr>
                <w:rFonts w:ascii="仿宋" w:hAnsi="仿宋" w:eastAsia="仿宋" w:cs="仿宋"/>
                <w:bCs/>
                <w:sz w:val="28"/>
                <w:szCs w:val="28"/>
                <w:u w:val="single"/>
              </w:rPr>
              <w:t>2020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>〕</w:t>
            </w:r>
            <w:r>
              <w:rPr>
                <w:rFonts w:ascii="仿宋" w:hAnsi="仿宋" w:eastAsia="仿宋" w:cs="仿宋"/>
                <w:bCs/>
                <w:sz w:val="28"/>
                <w:szCs w:val="28"/>
                <w:u w:val="single"/>
              </w:rPr>
              <w:t>9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>号（人工费指数调整为</w:t>
            </w:r>
            <w:r>
              <w:rPr>
                <w:rFonts w:ascii="仿宋" w:hAnsi="仿宋" w:eastAsia="仿宋" w:cs="仿宋"/>
                <w:bCs/>
                <w:sz w:val="28"/>
                <w:szCs w:val="28"/>
                <w:u w:val="single"/>
              </w:rPr>
              <w:t>1.0587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>）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。</w:t>
            </w:r>
          </w:p>
          <w:p w14:paraId="2912DE06">
            <w:pPr>
              <w:spacing w:line="360" w:lineRule="auto"/>
              <w:ind w:firstLine="560" w:firstLineChars="200"/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（2）施工机械台班单价：</w:t>
            </w:r>
            <w:r>
              <w:rPr>
                <w:rFonts w:hint="eastAsia" w:ascii="仿宋_GB2312" w:eastAsia="仿宋_GB2312"/>
                <w:bCs/>
                <w:color w:val="auto"/>
                <w:sz w:val="28"/>
                <w:szCs w:val="28"/>
                <w:u w:val="single"/>
                <w:lang w:val="en-US" w:eastAsia="zh-CN"/>
              </w:rPr>
              <w:t>闽建筑[2022]1号文关于颁发《福建省房屋建筑和市政基础设施工程施工机械台班费用定额》（2021版）的通知相关规定计取并参考2019年第三季度台班。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  <w:t>。</w:t>
            </w:r>
          </w:p>
          <w:p w14:paraId="04C1E11D">
            <w:pPr>
              <w:spacing w:line="360" w:lineRule="auto"/>
              <w:ind w:firstLine="560" w:firstLineChars="200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（3）材料设备价格：</w:t>
            </w:r>
            <w:r>
              <w:rPr>
                <w:rFonts w:hint="eastAsia" w:ascii="仿宋_GB2312" w:eastAsia="仿宋_GB2312"/>
                <w:bCs/>
                <w:color w:val="auto"/>
                <w:sz w:val="28"/>
                <w:szCs w:val="28"/>
                <w:u w:val="single"/>
                <w:lang w:val="en-US" w:eastAsia="zh-CN"/>
              </w:rPr>
              <w:t>参照三明市建设工程造价信息网发布的三明市2024年10月份将乐县综合信息价、定额基价</w:t>
            </w:r>
            <w:r>
              <w:rPr>
                <w:rFonts w:hint="eastAsia" w:ascii="仿宋" w:hAnsi="仿宋" w:eastAsia="仿宋"/>
                <w:bCs/>
                <w:color w:val="auto"/>
                <w:sz w:val="28"/>
                <w:szCs w:val="28"/>
                <w:u w:val="single"/>
              </w:rPr>
              <w:t>并结合行情市场</w:t>
            </w:r>
            <w:r>
              <w:rPr>
                <w:rFonts w:hint="eastAsia" w:ascii="仿宋" w:hAnsi="仿宋" w:eastAsia="仿宋"/>
                <w:bCs/>
                <w:color w:val="auto"/>
                <w:sz w:val="28"/>
                <w:szCs w:val="28"/>
                <w:u w:val="single"/>
                <w:lang w:val="en-US" w:eastAsia="zh-CN"/>
              </w:rPr>
              <w:t>询价</w:t>
            </w:r>
            <w:r>
              <w:rPr>
                <w:rFonts w:hint="eastAsia" w:ascii="仿宋" w:hAnsi="仿宋" w:eastAsia="仿宋"/>
                <w:bCs/>
                <w:color w:val="auto"/>
                <w:sz w:val="28"/>
                <w:szCs w:val="28"/>
                <w:u w:val="single"/>
              </w:rPr>
              <w:t>。</w:t>
            </w:r>
          </w:p>
          <w:p w14:paraId="42DC79DB">
            <w:pPr>
              <w:spacing w:line="360" w:lineRule="auto"/>
              <w:ind w:firstLine="560" w:firstLineChars="200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8、其他：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>无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。</w:t>
            </w:r>
          </w:p>
          <w:p w14:paraId="0860E754">
            <w:pPr>
              <w:numPr>
                <w:ilvl w:val="0"/>
                <w:numId w:val="1"/>
              </w:numPr>
              <w:spacing w:line="360" w:lineRule="auto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取费标准</w:t>
            </w:r>
          </w:p>
          <w:p w14:paraId="4A203D89">
            <w:pPr>
              <w:tabs>
                <w:tab w:val="left" w:pos="432"/>
              </w:tabs>
              <w:spacing w:line="360" w:lineRule="auto"/>
              <w:ind w:firstLine="560" w:firstLineChars="200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1.专业类别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eastAsia="zh-CN"/>
              </w:rPr>
              <w:t>：</w:t>
            </w:r>
            <w:r>
              <w:rPr>
                <w:rFonts w:hint="eastAsia" w:ascii="仿宋_GB2312" w:eastAsia="仿宋_GB2312"/>
                <w:bCs/>
                <w:color w:val="auto"/>
                <w:sz w:val="28"/>
                <w:szCs w:val="28"/>
                <w:u w:val="single"/>
                <w:lang w:val="en-US" w:eastAsia="zh-CN"/>
              </w:rPr>
              <w:t>古建筑工程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。</w:t>
            </w:r>
          </w:p>
          <w:p w14:paraId="3FF4A009">
            <w:pPr>
              <w:tabs>
                <w:tab w:val="left" w:pos="432"/>
              </w:tabs>
              <w:spacing w:line="360" w:lineRule="auto"/>
              <w:ind w:firstLine="560" w:firstLineChars="200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2.总承包服务费费率：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无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。</w:t>
            </w:r>
          </w:p>
          <w:p w14:paraId="0DF9E5A0">
            <w:pPr>
              <w:tabs>
                <w:tab w:val="left" w:pos="432"/>
              </w:tabs>
              <w:spacing w:line="360" w:lineRule="auto"/>
              <w:ind w:firstLine="560" w:firstLineChars="200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3.税率：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9%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。</w:t>
            </w:r>
          </w:p>
          <w:p w14:paraId="485A6F6B">
            <w:pPr>
              <w:numPr>
                <w:ilvl w:val="0"/>
                <w:numId w:val="1"/>
              </w:numPr>
              <w:tabs>
                <w:tab w:val="left" w:pos="602"/>
              </w:tabs>
              <w:spacing w:line="360" w:lineRule="auto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施工方法与措施（仅供投标人参考，投标人自行确定方案，自主报价）</w:t>
            </w:r>
          </w:p>
          <w:p w14:paraId="40ADC4A8">
            <w:pPr>
              <w:spacing w:line="600" w:lineRule="exact"/>
              <w:ind w:firstLine="560" w:firstLineChars="200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土方工程：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  <w:u w:val="single"/>
                <w:lang w:val="en-US" w:eastAsia="zh-CN"/>
              </w:rPr>
              <w:t>土方开挖考虑机械施工，人工配合按5%；土方开挖按全部外运考虑，余方外运运距按3KM考虑。未考虑土方、废渣堆置及土源费用</w:t>
            </w:r>
            <w:r>
              <w:rPr>
                <w:rFonts w:hint="eastAsia" w:ascii="仿宋_GB2312" w:eastAsia="仿宋_GB2312"/>
                <w:bCs/>
                <w:color w:val="auto"/>
                <w:sz w:val="28"/>
                <w:szCs w:val="28"/>
              </w:rPr>
              <w:t>。</w:t>
            </w:r>
          </w:p>
          <w:p w14:paraId="7BD92968">
            <w:pPr>
              <w:spacing w:line="360" w:lineRule="auto"/>
              <w:ind w:firstLine="560" w:firstLineChars="200"/>
              <w:rPr>
                <w:rFonts w:ascii="仿宋" w:hAnsi="仿宋" w:eastAsia="仿宋" w:cs="仿宋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2.桩基工程：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/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。</w:t>
            </w:r>
          </w:p>
          <w:p w14:paraId="15D2949C">
            <w:pPr>
              <w:spacing w:line="360" w:lineRule="auto"/>
              <w:ind w:firstLine="560" w:firstLineChars="200"/>
              <w:rPr>
                <w:rFonts w:ascii="仿宋" w:hAnsi="仿宋" w:eastAsia="仿宋" w:cs="仿宋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3.混凝土模板及支架：</w:t>
            </w:r>
            <w:r>
              <w:rPr>
                <w:rFonts w:hint="eastAsia" w:ascii="仿宋_GB2312" w:eastAsia="仿宋_GB2312"/>
                <w:bCs/>
                <w:color w:val="auto"/>
                <w:sz w:val="28"/>
                <w:szCs w:val="28"/>
                <w:u w:val="single"/>
              </w:rPr>
              <w:t>采用胶合板模板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。</w:t>
            </w:r>
          </w:p>
          <w:p w14:paraId="00F3E3CB">
            <w:pPr>
              <w:spacing w:line="360" w:lineRule="auto"/>
              <w:ind w:firstLine="560" w:firstLineChars="200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4.脚手架：</w:t>
            </w:r>
            <w:r>
              <w:rPr>
                <w:rFonts w:hint="eastAsia" w:ascii="仿宋_GB2312" w:eastAsia="仿宋_GB2312"/>
                <w:bCs/>
                <w:color w:val="auto"/>
                <w:sz w:val="28"/>
                <w:szCs w:val="28"/>
                <w:u w:val="single"/>
              </w:rPr>
              <w:t>外墙脚手架采用落地式扣件式钢管脚手架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。</w:t>
            </w:r>
          </w:p>
          <w:p w14:paraId="5D47B20C">
            <w:pPr>
              <w:spacing w:line="360" w:lineRule="auto"/>
              <w:ind w:firstLine="560" w:firstLineChars="200"/>
              <w:rPr>
                <w:rFonts w:ascii="仿宋" w:hAnsi="仿宋" w:eastAsia="仿宋" w:cs="仿宋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5.施工排水、降水：</w:t>
            </w:r>
            <w:r>
              <w:rPr>
                <w:rFonts w:hint="eastAsia" w:ascii="仿宋_GB2312" w:eastAsia="仿宋_GB2312"/>
                <w:bCs/>
                <w:color w:val="auto"/>
                <w:sz w:val="28"/>
                <w:szCs w:val="28"/>
                <w:u w:val="single"/>
                <w:lang w:val="en-US" w:eastAsia="zh-CN"/>
              </w:rPr>
              <w:t>未考虑</w:t>
            </w: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u w:val="single"/>
              </w:rPr>
              <w:t>。</w:t>
            </w:r>
          </w:p>
          <w:p w14:paraId="54EA3EF9">
            <w:pPr>
              <w:spacing w:line="360" w:lineRule="auto"/>
              <w:ind w:firstLine="560" w:firstLineChars="200"/>
              <w:rPr>
                <w:rFonts w:ascii="仿宋" w:hAnsi="仿宋" w:eastAsia="仿宋" w:cs="仿宋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6.垂直运输：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采用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>钢管斜道</w:t>
            </w: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</w:rPr>
              <w:t>。</w:t>
            </w:r>
          </w:p>
          <w:p w14:paraId="633E2570">
            <w:pPr>
              <w:spacing w:line="360" w:lineRule="auto"/>
              <w:ind w:firstLine="560" w:firstLineChars="200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7.大型机械设备进出场及安拆：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eastAsia="zh-CN"/>
              </w:rPr>
              <w:t>履带式单斗挖掘机液压 斗容量1.25m3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 xml:space="preserve"> 1台次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；大型机械设备基础：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>/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；大型机械设备检测：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>/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。</w:t>
            </w:r>
          </w:p>
          <w:p w14:paraId="0863685D">
            <w:pPr>
              <w:spacing w:line="360" w:lineRule="auto"/>
              <w:ind w:firstLine="560" w:firstLineChars="200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8.基坑支护工程拆除：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无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。</w:t>
            </w:r>
          </w:p>
          <w:p w14:paraId="2A5FF7F2">
            <w:pPr>
              <w:spacing w:line="360" w:lineRule="auto"/>
              <w:ind w:firstLine="560" w:firstLineChars="200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9.材料二次搬运：</w:t>
            </w:r>
            <w:r>
              <w:rPr>
                <w:rFonts w:hint="eastAsia" w:ascii="仿宋_GB2312" w:eastAsia="仿宋_GB2312"/>
                <w:bCs/>
                <w:color w:val="auto"/>
                <w:sz w:val="28"/>
                <w:szCs w:val="28"/>
                <w:u w:val="single"/>
                <w:lang w:val="en-US" w:eastAsia="zh-CN"/>
              </w:rPr>
              <w:t>按人工搬运计算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。</w:t>
            </w:r>
          </w:p>
          <w:p w14:paraId="5B233C3F">
            <w:pPr>
              <w:spacing w:line="360" w:lineRule="auto"/>
              <w:ind w:firstLine="560" w:firstLineChars="200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10.其他：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>无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。</w:t>
            </w:r>
          </w:p>
          <w:p w14:paraId="0C90C421">
            <w:pPr>
              <w:numPr>
                <w:ilvl w:val="0"/>
                <w:numId w:val="1"/>
              </w:numPr>
              <w:spacing w:line="360" w:lineRule="auto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2"/>
                <w:sz w:val="28"/>
                <w:szCs w:val="28"/>
              </w:rPr>
              <w:t>材料设备品牌及甲供材料</w:t>
            </w:r>
          </w:p>
          <w:p w14:paraId="14101988">
            <w:pPr>
              <w:spacing w:line="400" w:lineRule="exact"/>
              <w:ind w:firstLine="560" w:firstLineChars="20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1、本控制价取定的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材料设备品牌</w:t>
            </w:r>
          </w:p>
          <w:tbl>
            <w:tblPr>
              <w:tblStyle w:val="4"/>
              <w:tblW w:w="8277" w:type="dxa"/>
              <w:tblInd w:w="313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52"/>
              <w:gridCol w:w="1712"/>
              <w:gridCol w:w="1513"/>
              <w:gridCol w:w="2569"/>
              <w:gridCol w:w="931"/>
            </w:tblGrid>
            <w:tr w14:paraId="5791D9D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6" w:hRule="atLeast"/>
              </w:trPr>
              <w:tc>
                <w:tcPr>
                  <w:tcW w:w="155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6D3E6F1">
                  <w:pPr>
                    <w:spacing w:line="400" w:lineRule="exact"/>
                    <w:jc w:val="center"/>
                    <w:rPr>
                      <w:rFonts w:ascii="仿宋" w:hAnsi="仿宋" w:eastAsia="仿宋" w:cs="仿宋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  <w:t>名称</w:t>
                  </w:r>
                </w:p>
              </w:tc>
              <w:tc>
                <w:tcPr>
                  <w:tcW w:w="171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45D52B8">
                  <w:pPr>
                    <w:spacing w:line="400" w:lineRule="exact"/>
                    <w:jc w:val="center"/>
                    <w:rPr>
                      <w:rFonts w:ascii="仿宋" w:hAnsi="仿宋" w:eastAsia="仿宋" w:cs="仿宋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  <w:t>规格、型号</w:t>
                  </w:r>
                </w:p>
              </w:tc>
              <w:tc>
                <w:tcPr>
                  <w:tcW w:w="151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60DB051">
                  <w:pPr>
                    <w:spacing w:line="400" w:lineRule="exact"/>
                    <w:jc w:val="center"/>
                    <w:rPr>
                      <w:rFonts w:ascii="仿宋" w:hAnsi="仿宋" w:eastAsia="仿宋" w:cs="仿宋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  <w:t>招标人要求的品牌</w:t>
                  </w:r>
                </w:p>
              </w:tc>
              <w:tc>
                <w:tcPr>
                  <w:tcW w:w="256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F219538">
                  <w:pPr>
                    <w:spacing w:line="400" w:lineRule="exact"/>
                    <w:jc w:val="center"/>
                    <w:rPr>
                      <w:rFonts w:ascii="仿宋" w:hAnsi="仿宋" w:eastAsia="仿宋" w:cs="仿宋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  <w:t>控制价取定的品牌</w:t>
                  </w:r>
                </w:p>
              </w:tc>
              <w:tc>
                <w:tcPr>
                  <w:tcW w:w="93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7E77E22E">
                  <w:pPr>
                    <w:spacing w:line="400" w:lineRule="exact"/>
                    <w:jc w:val="center"/>
                    <w:rPr>
                      <w:rFonts w:ascii="仿宋" w:hAnsi="仿宋" w:eastAsia="仿宋" w:cs="仿宋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  <w:t>备注</w:t>
                  </w:r>
                </w:p>
              </w:tc>
            </w:tr>
            <w:tr w14:paraId="3930F3E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55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top"/>
                </w:tcPr>
                <w:p w14:paraId="348FBF9B">
                  <w:pPr>
                    <w:spacing w:line="360" w:lineRule="auto"/>
                    <w:rPr>
                      <w:rFonts w:ascii="宋体" w:hAnsi="宋体" w:eastAsia="宋体" w:cs="仿宋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71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top"/>
                </w:tcPr>
                <w:p w14:paraId="426AFE80">
                  <w:pPr>
                    <w:spacing w:line="360" w:lineRule="auto"/>
                    <w:jc w:val="center"/>
                    <w:rPr>
                      <w:rFonts w:ascii="宋体" w:hAnsi="宋体" w:eastAsia="宋体" w:cs="仿宋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51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top"/>
                </w:tcPr>
                <w:p w14:paraId="741FAF81">
                  <w:pPr>
                    <w:spacing w:line="360" w:lineRule="auto"/>
                    <w:rPr>
                      <w:rFonts w:ascii="宋体" w:hAnsi="宋体" w:eastAsia="宋体" w:cs="仿宋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56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top"/>
                </w:tcPr>
                <w:p w14:paraId="1CD01EB0">
                  <w:pPr>
                    <w:spacing w:line="360" w:lineRule="auto"/>
                    <w:rPr>
                      <w:rFonts w:ascii="宋体" w:hAnsi="宋体" w:eastAsia="宋体" w:cs="仿宋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93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top"/>
                </w:tcPr>
                <w:p w14:paraId="25C4EB7B">
                  <w:pPr>
                    <w:spacing w:line="360" w:lineRule="auto"/>
                    <w:rPr>
                      <w:rFonts w:ascii="仿宋" w:hAnsi="仿宋" w:eastAsia="仿宋" w:cs="仿宋"/>
                      <w:bCs/>
                      <w:sz w:val="28"/>
                      <w:szCs w:val="28"/>
                    </w:rPr>
                  </w:pPr>
                </w:p>
              </w:tc>
            </w:tr>
            <w:tr w14:paraId="6B9C084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55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top"/>
                </w:tcPr>
                <w:p w14:paraId="42EBB6A7">
                  <w:pPr>
                    <w:spacing w:line="360" w:lineRule="auto"/>
                    <w:rPr>
                      <w:rFonts w:ascii="宋体" w:hAnsi="宋体" w:eastAsia="宋体" w:cs="仿宋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71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top"/>
                </w:tcPr>
                <w:p w14:paraId="3C0F7C1E">
                  <w:pPr>
                    <w:spacing w:line="360" w:lineRule="auto"/>
                    <w:jc w:val="distribute"/>
                    <w:rPr>
                      <w:rFonts w:ascii="宋体" w:hAnsi="宋体" w:eastAsia="宋体" w:cs="仿宋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51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top"/>
                </w:tcPr>
                <w:p w14:paraId="6A672896">
                  <w:pPr>
                    <w:spacing w:line="360" w:lineRule="auto"/>
                    <w:rPr>
                      <w:rFonts w:ascii="宋体" w:hAnsi="宋体" w:eastAsia="宋体" w:cs="仿宋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56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top"/>
                </w:tcPr>
                <w:p w14:paraId="06002DDA">
                  <w:pPr>
                    <w:spacing w:line="360" w:lineRule="auto"/>
                    <w:rPr>
                      <w:rFonts w:ascii="宋体" w:hAnsi="宋体" w:eastAsia="宋体" w:cs="仿宋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93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top"/>
                </w:tcPr>
                <w:p w14:paraId="52A05C05">
                  <w:pPr>
                    <w:spacing w:line="360" w:lineRule="auto"/>
                    <w:rPr>
                      <w:rFonts w:ascii="仿宋" w:hAnsi="仿宋" w:eastAsia="仿宋" w:cs="仿宋"/>
                      <w:bCs/>
                      <w:sz w:val="28"/>
                      <w:szCs w:val="28"/>
                    </w:rPr>
                  </w:pPr>
                </w:p>
              </w:tc>
            </w:tr>
          </w:tbl>
          <w:p w14:paraId="3AA689D3">
            <w:pPr>
              <w:numPr>
                <w:ilvl w:val="0"/>
                <w:numId w:val="3"/>
              </w:numPr>
              <w:ind w:firstLine="560" w:firstLineChars="20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甲供材料一览表</w:t>
            </w:r>
          </w:p>
          <w:tbl>
            <w:tblPr>
              <w:tblStyle w:val="4"/>
              <w:tblW w:w="7740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73"/>
              <w:gridCol w:w="1800"/>
              <w:gridCol w:w="1263"/>
              <w:gridCol w:w="1721"/>
              <w:gridCol w:w="1183"/>
            </w:tblGrid>
            <w:tr w14:paraId="5BA2C53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15" w:hRule="atLeast"/>
                <w:jc w:val="center"/>
              </w:trPr>
              <w:tc>
                <w:tcPr>
                  <w:tcW w:w="177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958B520">
                  <w:pPr>
                    <w:spacing w:line="600" w:lineRule="exact"/>
                    <w:jc w:val="center"/>
                    <w:rPr>
                      <w:rFonts w:ascii="仿宋" w:hAnsi="仿宋" w:eastAsia="仿宋" w:cs="仿宋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  <w:t>材料名称</w:t>
                  </w:r>
                </w:p>
              </w:tc>
              <w:tc>
                <w:tcPr>
                  <w:tcW w:w="18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6D398A31">
                  <w:pPr>
                    <w:spacing w:line="600" w:lineRule="exact"/>
                    <w:jc w:val="center"/>
                    <w:rPr>
                      <w:rFonts w:ascii="仿宋" w:hAnsi="仿宋" w:eastAsia="仿宋" w:cs="仿宋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  <w:t>规格、型号</w:t>
                  </w:r>
                </w:p>
              </w:tc>
              <w:tc>
                <w:tcPr>
                  <w:tcW w:w="126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4437F9C4">
                  <w:pPr>
                    <w:spacing w:line="600" w:lineRule="exact"/>
                    <w:jc w:val="center"/>
                    <w:rPr>
                      <w:rFonts w:ascii="仿宋" w:hAnsi="仿宋" w:eastAsia="仿宋" w:cs="仿宋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  <w:t>品牌</w:t>
                  </w:r>
                </w:p>
              </w:tc>
              <w:tc>
                <w:tcPr>
                  <w:tcW w:w="172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4DB52D1A">
                  <w:pPr>
                    <w:spacing w:line="400" w:lineRule="exact"/>
                    <w:jc w:val="center"/>
                    <w:rPr>
                      <w:rFonts w:ascii="仿宋" w:hAnsi="仿宋" w:eastAsia="仿宋" w:cs="仿宋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  <w:t>含税单价（元）</w:t>
                  </w:r>
                </w:p>
              </w:tc>
              <w:tc>
                <w:tcPr>
                  <w:tcW w:w="118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CB0978F">
                  <w:pPr>
                    <w:spacing w:line="600" w:lineRule="exact"/>
                    <w:jc w:val="center"/>
                    <w:rPr>
                      <w:rFonts w:ascii="仿宋" w:hAnsi="仿宋" w:eastAsia="仿宋" w:cs="仿宋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  <w:t>备注</w:t>
                  </w:r>
                </w:p>
              </w:tc>
            </w:tr>
            <w:tr w14:paraId="173C8A9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  <w:jc w:val="center"/>
              </w:trPr>
              <w:tc>
                <w:tcPr>
                  <w:tcW w:w="177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top"/>
                </w:tcPr>
                <w:p w14:paraId="4D366CAA">
                  <w:pPr>
                    <w:spacing w:line="600" w:lineRule="exact"/>
                    <w:jc w:val="center"/>
                    <w:rPr>
                      <w:rFonts w:ascii="仿宋" w:hAnsi="仿宋" w:eastAsia="仿宋" w:cs="仿宋"/>
                      <w:color w:val="FF0000"/>
                      <w:sz w:val="28"/>
                      <w:szCs w:val="28"/>
                    </w:rPr>
                  </w:pPr>
                </w:p>
              </w:tc>
              <w:tc>
                <w:tcPr>
                  <w:tcW w:w="18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top"/>
                </w:tcPr>
                <w:p w14:paraId="5C770C95">
                  <w:pPr>
                    <w:spacing w:line="600" w:lineRule="exact"/>
                    <w:jc w:val="center"/>
                    <w:rPr>
                      <w:rFonts w:ascii="仿宋" w:hAnsi="仿宋" w:eastAsia="仿宋" w:cs="仿宋"/>
                      <w:color w:val="FF0000"/>
                      <w:sz w:val="28"/>
                      <w:szCs w:val="28"/>
                    </w:rPr>
                  </w:pPr>
                </w:p>
              </w:tc>
              <w:tc>
                <w:tcPr>
                  <w:tcW w:w="126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top"/>
                </w:tcPr>
                <w:p w14:paraId="62BF2A4A">
                  <w:pPr>
                    <w:spacing w:line="600" w:lineRule="exact"/>
                    <w:rPr>
                      <w:rFonts w:ascii="仿宋" w:hAnsi="仿宋" w:eastAsia="仿宋" w:cs="仿宋"/>
                      <w:color w:val="FF0000"/>
                      <w:sz w:val="28"/>
                      <w:szCs w:val="28"/>
                    </w:rPr>
                  </w:pPr>
                </w:p>
              </w:tc>
              <w:tc>
                <w:tcPr>
                  <w:tcW w:w="172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top"/>
                </w:tcPr>
                <w:p w14:paraId="6F70DEBB">
                  <w:pPr>
                    <w:spacing w:line="400" w:lineRule="exact"/>
                    <w:jc w:val="center"/>
                    <w:rPr>
                      <w:rFonts w:ascii="仿宋" w:hAnsi="仿宋" w:eastAsia="仿宋" w:cs="仿宋"/>
                      <w:color w:val="FF0000"/>
                      <w:sz w:val="28"/>
                      <w:szCs w:val="28"/>
                    </w:rPr>
                  </w:pPr>
                </w:p>
              </w:tc>
              <w:tc>
                <w:tcPr>
                  <w:tcW w:w="118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top"/>
                </w:tcPr>
                <w:p w14:paraId="1B67F137">
                  <w:pPr>
                    <w:spacing w:line="600" w:lineRule="exact"/>
                    <w:rPr>
                      <w:rFonts w:ascii="仿宋" w:hAnsi="仿宋" w:eastAsia="仿宋" w:cs="仿宋"/>
                      <w:color w:val="FF0000"/>
                      <w:sz w:val="28"/>
                      <w:szCs w:val="28"/>
                    </w:rPr>
                  </w:pPr>
                </w:p>
              </w:tc>
            </w:tr>
          </w:tbl>
          <w:p w14:paraId="754202E3">
            <w:pPr>
              <w:numPr>
                <w:ilvl w:val="0"/>
                <w:numId w:val="3"/>
              </w:numPr>
              <w:spacing w:line="600" w:lineRule="exact"/>
              <w:ind w:left="71" w:leftChars="0"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经市场询价的材料设备：</w:t>
            </w:r>
          </w:p>
          <w:p w14:paraId="52FB026B">
            <w:pPr>
              <w:numPr>
                <w:ilvl w:val="0"/>
                <w:numId w:val="0"/>
              </w:numPr>
              <w:spacing w:line="600" w:lineRule="exact"/>
              <w:ind w:leftChars="20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6570D27F">
            <w:pPr>
              <w:spacing w:line="360" w:lineRule="auto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七、本项目补充的工程量清单</w:t>
            </w:r>
          </w:p>
          <w:tbl>
            <w:tblPr>
              <w:tblStyle w:val="4"/>
              <w:tblW w:w="8337" w:type="dxa"/>
              <w:tblInd w:w="197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89"/>
              <w:gridCol w:w="1377"/>
              <w:gridCol w:w="1461"/>
              <w:gridCol w:w="850"/>
              <w:gridCol w:w="1701"/>
              <w:gridCol w:w="1559"/>
            </w:tblGrid>
            <w:tr w14:paraId="2D57CB1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98" w:hRule="atLeast"/>
              </w:trPr>
              <w:tc>
                <w:tcPr>
                  <w:tcW w:w="138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0413E78D">
                  <w:pPr>
                    <w:spacing w:line="400" w:lineRule="exact"/>
                    <w:jc w:val="center"/>
                    <w:rPr>
                      <w:rFonts w:ascii="仿宋" w:hAnsi="仿宋" w:eastAsia="仿宋" w:cs="仿宋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  <w:t>项目编码</w:t>
                  </w:r>
                </w:p>
              </w:tc>
              <w:tc>
                <w:tcPr>
                  <w:tcW w:w="13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012AF9E3">
                  <w:pPr>
                    <w:spacing w:line="400" w:lineRule="exact"/>
                    <w:jc w:val="center"/>
                    <w:rPr>
                      <w:rFonts w:ascii="仿宋" w:hAnsi="仿宋" w:eastAsia="仿宋" w:cs="仿宋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  <w:t>项目名称</w:t>
                  </w:r>
                </w:p>
              </w:tc>
              <w:tc>
                <w:tcPr>
                  <w:tcW w:w="146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53FF5FC">
                  <w:pPr>
                    <w:spacing w:line="400" w:lineRule="exact"/>
                    <w:jc w:val="center"/>
                    <w:rPr>
                      <w:rFonts w:ascii="仿宋" w:hAnsi="仿宋" w:eastAsia="仿宋" w:cs="仿宋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  <w:t>项目特征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0267D42">
                  <w:pPr>
                    <w:spacing w:line="400" w:lineRule="exact"/>
                    <w:jc w:val="center"/>
                    <w:rPr>
                      <w:rFonts w:ascii="仿宋" w:hAnsi="仿宋" w:eastAsia="仿宋" w:cs="仿宋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  <w:t>计量单位</w:t>
                  </w:r>
                </w:p>
              </w:tc>
              <w:tc>
                <w:tcPr>
                  <w:tcW w:w="170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0C4F6DF2">
                  <w:pPr>
                    <w:spacing w:line="400" w:lineRule="exact"/>
                    <w:jc w:val="center"/>
                    <w:rPr>
                      <w:rFonts w:ascii="仿宋" w:hAnsi="仿宋" w:eastAsia="仿宋" w:cs="仿宋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  <w:t>工程量计算规则</w:t>
                  </w:r>
                </w:p>
              </w:tc>
              <w:tc>
                <w:tcPr>
                  <w:tcW w:w="155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68EB8432">
                  <w:pPr>
                    <w:spacing w:line="400" w:lineRule="exact"/>
                    <w:jc w:val="center"/>
                    <w:rPr>
                      <w:rFonts w:ascii="仿宋" w:hAnsi="仿宋" w:eastAsia="仿宋" w:cs="仿宋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  <w:t>工程内容</w:t>
                  </w:r>
                </w:p>
              </w:tc>
            </w:tr>
            <w:tr w14:paraId="0B02C6A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98" w:hRule="atLeast"/>
              </w:trPr>
              <w:tc>
                <w:tcPr>
                  <w:tcW w:w="138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top"/>
                </w:tcPr>
                <w:p w14:paraId="68355600">
                  <w:pPr>
                    <w:spacing w:line="360" w:lineRule="auto"/>
                    <w:rPr>
                      <w:rFonts w:hint="eastAsia" w:ascii="仿宋" w:hAnsi="仿宋" w:eastAsia="仿宋" w:cs="仿宋"/>
                      <w:bCs/>
                      <w:sz w:val="28"/>
                      <w:szCs w:val="28"/>
                      <w:lang w:val="en-US" w:eastAsia="zh-CN"/>
                    </w:rPr>
                  </w:pPr>
                </w:p>
              </w:tc>
              <w:tc>
                <w:tcPr>
                  <w:tcW w:w="13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top"/>
                </w:tcPr>
                <w:p w14:paraId="237BC7B2">
                  <w:pPr>
                    <w:spacing w:line="360" w:lineRule="auto"/>
                    <w:rPr>
                      <w:rFonts w:hint="default" w:ascii="仿宋" w:hAnsi="仿宋" w:eastAsia="仿宋" w:cs="仿宋"/>
                      <w:bCs/>
                      <w:sz w:val="28"/>
                      <w:szCs w:val="28"/>
                      <w:lang w:val="en-US" w:eastAsia="zh-CN"/>
                    </w:rPr>
                  </w:pPr>
                </w:p>
              </w:tc>
              <w:tc>
                <w:tcPr>
                  <w:tcW w:w="146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top"/>
                </w:tcPr>
                <w:p w14:paraId="31F0B892">
                  <w:pPr>
                    <w:spacing w:line="360" w:lineRule="auto"/>
                    <w:rPr>
                      <w:rFonts w:ascii="仿宋" w:hAnsi="仿宋" w:eastAsia="仿宋" w:cs="仿宋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top"/>
                </w:tcPr>
                <w:p w14:paraId="39066F72">
                  <w:pPr>
                    <w:spacing w:line="360" w:lineRule="auto"/>
                    <w:rPr>
                      <w:rFonts w:hint="eastAsia" w:ascii="仿宋" w:hAnsi="仿宋" w:eastAsia="仿宋" w:cs="仿宋"/>
                      <w:bCs/>
                      <w:sz w:val="28"/>
                      <w:szCs w:val="28"/>
                      <w:lang w:val="en-US" w:eastAsia="zh-CN"/>
                    </w:rPr>
                  </w:pPr>
                </w:p>
              </w:tc>
              <w:tc>
                <w:tcPr>
                  <w:tcW w:w="170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top"/>
                </w:tcPr>
                <w:p w14:paraId="2593EE6F">
                  <w:pPr>
                    <w:spacing w:line="360" w:lineRule="auto"/>
                    <w:rPr>
                      <w:rFonts w:ascii="仿宋" w:hAnsi="仿宋" w:eastAsia="仿宋" w:cs="仿宋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55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top"/>
                </w:tcPr>
                <w:p w14:paraId="79E515A3">
                  <w:pPr>
                    <w:spacing w:line="360" w:lineRule="auto"/>
                    <w:rPr>
                      <w:rFonts w:ascii="仿宋" w:hAnsi="仿宋" w:eastAsia="仿宋" w:cs="仿宋"/>
                      <w:bCs/>
                      <w:sz w:val="28"/>
                      <w:szCs w:val="28"/>
                    </w:rPr>
                  </w:pPr>
                </w:p>
              </w:tc>
            </w:tr>
            <w:tr w14:paraId="21D832F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98" w:hRule="atLeast"/>
              </w:trPr>
              <w:tc>
                <w:tcPr>
                  <w:tcW w:w="138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top"/>
                </w:tcPr>
                <w:p w14:paraId="04105ACE">
                  <w:pPr>
                    <w:spacing w:line="360" w:lineRule="auto"/>
                    <w:rPr>
                      <w:rFonts w:ascii="仿宋" w:hAnsi="仿宋" w:eastAsia="仿宋" w:cs="仿宋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3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top"/>
                </w:tcPr>
                <w:p w14:paraId="1A300BA1">
                  <w:pPr>
                    <w:spacing w:line="360" w:lineRule="auto"/>
                    <w:rPr>
                      <w:rFonts w:hint="eastAsia" w:ascii="仿宋" w:hAnsi="仿宋" w:eastAsia="仿宋" w:cs="仿宋"/>
                      <w:bCs/>
                      <w:sz w:val="28"/>
                      <w:szCs w:val="28"/>
                      <w:lang w:val="en-US" w:eastAsia="zh-CN"/>
                    </w:rPr>
                  </w:pPr>
                </w:p>
              </w:tc>
              <w:tc>
                <w:tcPr>
                  <w:tcW w:w="146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top"/>
                </w:tcPr>
                <w:p w14:paraId="3FA0ACBB">
                  <w:pPr>
                    <w:spacing w:line="360" w:lineRule="auto"/>
                    <w:rPr>
                      <w:rFonts w:ascii="仿宋" w:hAnsi="仿宋" w:eastAsia="仿宋" w:cs="仿宋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top"/>
                </w:tcPr>
                <w:p w14:paraId="27757B3B">
                  <w:pPr>
                    <w:spacing w:line="360" w:lineRule="auto"/>
                    <w:rPr>
                      <w:rFonts w:hint="eastAsia" w:ascii="仿宋" w:hAnsi="仿宋" w:eastAsia="仿宋" w:cs="仿宋"/>
                      <w:bCs/>
                      <w:sz w:val="28"/>
                      <w:szCs w:val="28"/>
                      <w:lang w:val="en-US" w:eastAsia="zh-CN"/>
                    </w:rPr>
                  </w:pPr>
                </w:p>
              </w:tc>
              <w:tc>
                <w:tcPr>
                  <w:tcW w:w="170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top"/>
                </w:tcPr>
                <w:p w14:paraId="53CC13D4">
                  <w:pPr>
                    <w:spacing w:line="360" w:lineRule="auto"/>
                    <w:rPr>
                      <w:rFonts w:ascii="仿宋" w:hAnsi="仿宋" w:eastAsia="仿宋" w:cs="仿宋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55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top"/>
                </w:tcPr>
                <w:p w14:paraId="463BBE4C">
                  <w:pPr>
                    <w:spacing w:line="360" w:lineRule="auto"/>
                    <w:rPr>
                      <w:rFonts w:ascii="仿宋" w:hAnsi="仿宋" w:eastAsia="仿宋" w:cs="仿宋"/>
                      <w:bCs/>
                      <w:sz w:val="28"/>
                      <w:szCs w:val="28"/>
                    </w:rPr>
                  </w:pPr>
                </w:p>
              </w:tc>
            </w:tr>
            <w:tr w14:paraId="0B853CF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98" w:hRule="atLeast"/>
              </w:trPr>
              <w:tc>
                <w:tcPr>
                  <w:tcW w:w="138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top"/>
                </w:tcPr>
                <w:p w14:paraId="6A68C402">
                  <w:pPr>
                    <w:spacing w:line="360" w:lineRule="auto"/>
                    <w:rPr>
                      <w:rFonts w:hint="eastAsia" w:ascii="仿宋" w:hAnsi="仿宋" w:eastAsia="仿宋" w:cs="仿宋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3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top"/>
                </w:tcPr>
                <w:p w14:paraId="25E16D0C">
                  <w:pPr>
                    <w:spacing w:line="360" w:lineRule="auto"/>
                    <w:rPr>
                      <w:rFonts w:hint="default" w:ascii="仿宋" w:hAnsi="仿宋" w:eastAsia="仿宋" w:cs="仿宋"/>
                      <w:bCs/>
                      <w:sz w:val="28"/>
                      <w:szCs w:val="28"/>
                      <w:lang w:val="en-US" w:eastAsia="zh-CN"/>
                    </w:rPr>
                  </w:pPr>
                </w:p>
              </w:tc>
              <w:tc>
                <w:tcPr>
                  <w:tcW w:w="146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top"/>
                </w:tcPr>
                <w:p w14:paraId="23FECEA2">
                  <w:pPr>
                    <w:spacing w:line="360" w:lineRule="auto"/>
                    <w:rPr>
                      <w:rFonts w:ascii="仿宋" w:hAnsi="仿宋" w:eastAsia="仿宋" w:cs="仿宋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top"/>
                </w:tcPr>
                <w:p w14:paraId="0B60568B">
                  <w:pPr>
                    <w:spacing w:line="360" w:lineRule="auto"/>
                    <w:rPr>
                      <w:rFonts w:hint="default" w:ascii="仿宋" w:hAnsi="仿宋" w:eastAsia="仿宋" w:cs="仿宋"/>
                      <w:bCs/>
                      <w:sz w:val="28"/>
                      <w:szCs w:val="28"/>
                      <w:lang w:val="en-US" w:eastAsia="zh-CN"/>
                    </w:rPr>
                  </w:pPr>
                </w:p>
              </w:tc>
              <w:tc>
                <w:tcPr>
                  <w:tcW w:w="170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top"/>
                </w:tcPr>
                <w:p w14:paraId="7A2010D6">
                  <w:pPr>
                    <w:spacing w:line="360" w:lineRule="auto"/>
                    <w:rPr>
                      <w:rFonts w:ascii="仿宋" w:hAnsi="仿宋" w:eastAsia="仿宋" w:cs="仿宋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55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top"/>
                </w:tcPr>
                <w:p w14:paraId="66DF0F4C">
                  <w:pPr>
                    <w:spacing w:line="360" w:lineRule="auto"/>
                    <w:rPr>
                      <w:rFonts w:ascii="仿宋" w:hAnsi="仿宋" w:eastAsia="仿宋" w:cs="仿宋"/>
                      <w:bCs/>
                      <w:sz w:val="28"/>
                      <w:szCs w:val="28"/>
                    </w:rPr>
                  </w:pPr>
                </w:p>
              </w:tc>
            </w:tr>
          </w:tbl>
          <w:p w14:paraId="728F7C35">
            <w:pPr>
              <w:rPr>
                <w:rFonts w:hint="default" w:ascii="仿宋_GB2312" w:hAnsi="仿宋" w:eastAsia="仿宋_GB2312" w:cs="Times New Roman"/>
                <w:b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color w:val="auto"/>
                <w:sz w:val="28"/>
                <w:szCs w:val="28"/>
                <w:lang w:val="en-US" w:eastAsia="zh-CN"/>
              </w:rPr>
              <w:t>八</w:t>
            </w:r>
            <w:r>
              <w:rPr>
                <w:rFonts w:hint="eastAsia" w:ascii="仿宋_GB2312" w:hAnsi="仿宋" w:eastAsia="仿宋_GB2312"/>
                <w:b/>
                <w:color w:val="auto"/>
                <w:sz w:val="28"/>
                <w:szCs w:val="28"/>
              </w:rPr>
              <w:t>、</w:t>
            </w:r>
            <w:r>
              <w:rPr>
                <w:rFonts w:hint="eastAsia" w:ascii="仿宋_GB2312" w:hAnsi="仿宋" w:eastAsia="仿宋_GB2312" w:cs="Times New Roman"/>
                <w:b/>
                <w:color w:val="auto"/>
                <w:sz w:val="28"/>
                <w:szCs w:val="28"/>
              </w:rPr>
              <w:t>其他需要</w:t>
            </w:r>
            <w:r>
              <w:rPr>
                <w:rFonts w:hint="eastAsia" w:ascii="仿宋_GB2312" w:hAnsi="仿宋" w:eastAsia="仿宋_GB2312" w:cs="Times New Roman"/>
                <w:b/>
                <w:color w:val="auto"/>
                <w:sz w:val="28"/>
                <w:szCs w:val="28"/>
                <w:lang w:eastAsia="zh-CN"/>
              </w:rPr>
              <w:t>的</w:t>
            </w:r>
            <w:r>
              <w:rPr>
                <w:rFonts w:hint="eastAsia" w:ascii="仿宋_GB2312" w:hAnsi="仿宋" w:eastAsia="仿宋_GB2312" w:cs="Times New Roman"/>
                <w:b/>
                <w:color w:val="auto"/>
                <w:sz w:val="28"/>
                <w:szCs w:val="28"/>
              </w:rPr>
              <w:t>说明</w:t>
            </w:r>
          </w:p>
          <w:p w14:paraId="1535A96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076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  <w:t>（一）共性说明</w:t>
            </w:r>
          </w:p>
          <w:p w14:paraId="337E144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tabs>
                <w:tab w:val="left" w:pos="1076"/>
              </w:tabs>
              <w:kinsoku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  <w:t>余方外运运距按3KM考虑；</w:t>
            </w:r>
          </w:p>
          <w:p w14:paraId="53DFE8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tabs>
                <w:tab w:val="left" w:pos="1076"/>
              </w:tabs>
              <w:kinsoku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  <w:t>瓦屋面所有拆除旧构件尺寸未明确的暂按新做构件尺寸计算；</w:t>
            </w:r>
          </w:p>
          <w:p w14:paraId="0661753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tabs>
                <w:tab w:val="left" w:pos="1076"/>
              </w:tabs>
              <w:kinsoku/>
              <w:wordWrap/>
              <w:overflowPunct/>
              <w:topLinePunct w:val="0"/>
              <w:bidi w:val="0"/>
              <w:spacing w:line="360" w:lineRule="auto"/>
              <w:ind w:left="420" w:leftChars="200"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  <w:t>所有木构原漆面全部铲除、重新刷漆计算；新做木构件木材面做旧按外露面积计算；防虫防腐做法按二硼合剂浸泡+表层刷桐油二遍计算，防腐漆按木构所有面刷漆计算；图纸未设计材料防火做法，预算不计；</w:t>
            </w:r>
          </w:p>
          <w:p w14:paraId="784F6C5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tabs>
                <w:tab w:val="left" w:pos="1076"/>
              </w:tabs>
              <w:kinsoku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lang w:val="en-US" w:eastAsia="zh-CN"/>
              </w:rPr>
              <w:t>楼栋说明</w:t>
            </w:r>
          </w:p>
          <w:p w14:paraId="7D88A11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076"/>
              </w:tabs>
              <w:kinsoku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lang w:val="en-US" w:eastAsia="zh-CN"/>
              </w:rPr>
              <w:t>戴氏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  <w:t>祖厝</w:t>
            </w:r>
          </w:p>
          <w:p w14:paraId="71AA3F1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tabs>
                <w:tab w:val="left" w:pos="1076"/>
              </w:tabs>
              <w:kinsoku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  <w:t>地面：剥离现状水泥地面，厚度按50mm计算；</w:t>
            </w:r>
          </w:p>
          <w:p w14:paraId="4078BF3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tabs>
                <w:tab w:val="left" w:pos="1076"/>
              </w:tabs>
              <w:kinsoku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  <w:t>拆除旧砖墙，厚度按240mm计算；</w:t>
            </w:r>
          </w:p>
          <w:p w14:paraId="252829A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tabs>
                <w:tab w:val="left" w:pos="1076"/>
              </w:tabs>
              <w:kinsoku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  <w:t>1-1剖、6-6剖，山墙面100%拆除原有墙面，重抹壳灰面层；</w:t>
            </w:r>
          </w:p>
          <w:p w14:paraId="70AA28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tabs>
                <w:tab w:val="left" w:pos="1076"/>
              </w:tabs>
              <w:kinsoku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  <w:t>内墙面重做所有灰板壁；</w:t>
            </w:r>
          </w:p>
          <w:p w14:paraId="0A7D468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tabs>
                <w:tab w:val="left" w:pos="1076"/>
              </w:tabs>
              <w:kinsoku/>
              <w:wordWrap/>
              <w:overflowPunct/>
              <w:topLinePunct w:val="0"/>
              <w:bidi w:val="0"/>
              <w:spacing w:line="360" w:lineRule="auto"/>
              <w:ind w:left="420" w:leftChars="200"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  <w:t>木墙裙按100%拆除计算，损坏面积除图纸注明外，按60%损坏外运，40%利旧计算；</w:t>
            </w:r>
          </w:p>
          <w:p w14:paraId="3322228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tabs>
                <w:tab w:val="left" w:pos="1076"/>
              </w:tabs>
              <w:kinsoku/>
              <w:wordWrap/>
              <w:overflowPunct/>
              <w:topLinePunct w:val="0"/>
              <w:bidi w:val="0"/>
              <w:spacing w:line="360" w:lineRule="auto"/>
              <w:ind w:left="420" w:leftChars="200"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  <w:t>缝架位置修缮做法按平面说明第9条说明，所有缝架木构修缮按60%计算；除图纸注明现状结构保存良好，其余缝架结构按木作拆解100%计算，40%可利旧部分按木作维修安装计算，60%损坏按垃圾外运并重做新构件计算；</w:t>
            </w:r>
          </w:p>
          <w:p w14:paraId="29B362C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tabs>
                <w:tab w:val="left" w:pos="1076"/>
              </w:tabs>
              <w:kinsoku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  <w:t>木柱藤箍按柱长5m以下3道，5m以上4道计算；</w:t>
            </w:r>
          </w:p>
          <w:p w14:paraId="7B592E8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tabs>
                <w:tab w:val="left" w:pos="1076"/>
              </w:tabs>
              <w:kinsoku/>
              <w:wordWrap/>
              <w:overflowPunct/>
              <w:topLinePunct w:val="0"/>
              <w:bidi w:val="0"/>
              <w:spacing w:line="360" w:lineRule="auto"/>
              <w:ind w:left="420" w:leftChars="200"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  <w:t>屋面翻盖揭瓦：按拆解屋面瓦、椽条、望板100%，屋面瓦补配90%，椽条、望板更换80%，剩余部分的材料按维修利旧计算；</w:t>
            </w:r>
          </w:p>
          <w:p w14:paraId="12D91CA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076"/>
              </w:tabs>
              <w:kinsoku/>
              <w:wordWrap/>
              <w:overflowPunct/>
              <w:topLinePunct w:val="0"/>
              <w:bidi w:val="0"/>
              <w:spacing w:line="360" w:lineRule="auto"/>
              <w:ind w:left="420" w:leftChars="0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  <w:t>孙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lang w:val="en-US" w:eastAsia="zh-CN"/>
              </w:rPr>
              <w:t>氏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  <w:t>祖厝</w:t>
            </w:r>
          </w:p>
          <w:p w14:paraId="14F37D6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tabs>
                <w:tab w:val="left" w:pos="1076"/>
              </w:tabs>
              <w:kinsoku/>
              <w:wordWrap/>
              <w:overflowPunct/>
              <w:topLinePunct w:val="0"/>
              <w:bidi w:val="0"/>
              <w:spacing w:line="360" w:lineRule="auto"/>
              <w:ind w:left="-60" w:leftChars="0" w:firstLine="48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  <w:t>吊柱均按原有圆柱，保存现状,防腐清洗,矫正计算；</w:t>
            </w:r>
          </w:p>
          <w:p w14:paraId="3980ECA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tabs>
                <w:tab w:val="left" w:pos="1076"/>
              </w:tabs>
              <w:kinsoku/>
              <w:wordWrap/>
              <w:overflowPunct/>
              <w:topLinePunct w:val="0"/>
              <w:bidi w:val="0"/>
              <w:spacing w:line="360" w:lineRule="auto"/>
              <w:ind w:left="-60" w:leftChars="0" w:firstLine="48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  <w:t>灰板壁、木板堵按图纸标注数量计算；</w:t>
            </w:r>
          </w:p>
          <w:p w14:paraId="2D1AEDE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tabs>
                <w:tab w:val="left" w:pos="1076"/>
              </w:tabs>
              <w:kinsoku/>
              <w:wordWrap/>
              <w:overflowPunct/>
              <w:topLinePunct w:val="0"/>
              <w:bidi w:val="0"/>
              <w:spacing w:line="360" w:lineRule="auto"/>
              <w:ind w:left="-60" w:leftChars="0" w:firstLine="48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  <w:t>拆除后砌砖墙按设计回复240mm厚计算；</w:t>
            </w:r>
          </w:p>
          <w:p w14:paraId="6DEC2AF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tabs>
                <w:tab w:val="left" w:pos="1076"/>
              </w:tabs>
              <w:kinsoku/>
              <w:wordWrap/>
              <w:overflowPunct/>
              <w:topLinePunct w:val="0"/>
              <w:bidi w:val="0"/>
              <w:spacing w:line="360" w:lineRule="auto"/>
              <w:ind w:left="-60" w:leftChars="0" w:firstLine="48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  <w:t>木柱、屋檩、插拱、雀替、地面数量根据设计回复按图纸统计表计算；</w:t>
            </w:r>
          </w:p>
          <w:p w14:paraId="3D92FB1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tabs>
                <w:tab w:val="left" w:pos="1076"/>
              </w:tabs>
              <w:kinsoku/>
              <w:wordWrap/>
              <w:overflowPunct/>
              <w:topLinePunct w:val="0"/>
              <w:bidi w:val="0"/>
              <w:spacing w:line="360" w:lineRule="auto"/>
              <w:ind w:left="-60" w:leftChars="0" w:firstLine="480" w:firstLineChars="0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  <w:t>杉木地板材料规格按设计回复杉木地板30厚，愣木φ120计算；</w:t>
            </w:r>
          </w:p>
          <w:p w14:paraId="09DDE45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tabs>
                <w:tab w:val="left" w:pos="1076"/>
              </w:tabs>
              <w:kinsoku/>
              <w:wordWrap/>
              <w:overflowPunct/>
              <w:topLinePunct w:val="0"/>
              <w:bidi w:val="0"/>
              <w:spacing w:line="360" w:lineRule="auto"/>
              <w:ind w:left="-60" w:leftChars="0" w:firstLine="480" w:firstLineChars="0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  <w:t>藤箍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  <w:t>按每根柱子4个计算；</w:t>
            </w:r>
          </w:p>
          <w:p w14:paraId="0EDFB1B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tabs>
                <w:tab w:val="left" w:pos="1076"/>
              </w:tabs>
              <w:kinsoku/>
              <w:wordWrap/>
              <w:overflowPunct/>
              <w:topLinePunct w:val="0"/>
              <w:bidi w:val="0"/>
              <w:spacing w:line="360" w:lineRule="auto"/>
              <w:ind w:left="-60" w:leftChars="0" w:firstLine="480" w:firstLineChars="0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  <w:t>屋面翻盖揭瓦、木地板翻新90%，其余材料维修利旧计算；</w:t>
            </w:r>
          </w:p>
          <w:p w14:paraId="68BCC52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076"/>
              </w:tabs>
              <w:kinsoku/>
              <w:wordWrap/>
              <w:overflowPunct/>
              <w:topLinePunct w:val="0"/>
              <w:bidi w:val="0"/>
              <w:spacing w:line="360" w:lineRule="auto"/>
              <w:ind w:left="420" w:leftChars="0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  <w:t>廖氏祖厝</w:t>
            </w:r>
          </w:p>
          <w:p w14:paraId="28A4CCD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tabs>
                <w:tab w:val="left" w:pos="1076"/>
              </w:tabs>
              <w:kinsoku/>
              <w:wordWrap/>
              <w:overflowPunct/>
              <w:topLinePunct w:val="0"/>
              <w:bidi w:val="0"/>
              <w:spacing w:line="360" w:lineRule="auto"/>
              <w:ind w:left="420" w:leftChars="0" w:firstLine="0" w:firstLineChars="0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  <w:t>勘测、修复方案统计表中，提及木柱局部开裂需要填缝、嵌补根据设计回复，“中度糟朽”字样修补以总长度40%计，“轻度糟朽”字样修补以总长度20%计；</w:t>
            </w:r>
          </w:p>
          <w:p w14:paraId="5CC97D0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tabs>
                <w:tab w:val="left" w:pos="1076"/>
              </w:tabs>
              <w:kinsoku/>
              <w:wordWrap/>
              <w:overflowPunct/>
              <w:topLinePunct w:val="0"/>
              <w:bidi w:val="0"/>
              <w:spacing w:line="360" w:lineRule="auto"/>
              <w:ind w:left="420" w:leftChars="0" w:firstLine="0" w:firstLineChars="0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  <w:t>大木架、梁枋、屋檩勘测修复方案残损情况中提及“后改为砖房，损毁无存”，根据设计回复拆除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  <w:t>砖墙</w:t>
            </w: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  <w:t>暂按35m3计入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  <w:t>；</w:t>
            </w:r>
          </w:p>
          <w:p w14:paraId="6A9C0F4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076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lang w:val="en-US" w:eastAsia="zh-CN"/>
              </w:rPr>
              <w:t>曾氏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  <w:t>祖厝</w:t>
            </w:r>
          </w:p>
          <w:p w14:paraId="183045B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tabs>
                <w:tab w:val="left" w:pos="1076"/>
              </w:tabs>
              <w:kinsoku/>
              <w:wordWrap/>
              <w:overflowPunct/>
              <w:topLinePunct w:val="0"/>
              <w:bidi w:val="0"/>
              <w:spacing w:line="360" w:lineRule="auto"/>
              <w:ind w:left="42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  <w:t>拆除砖房，拆除屋面材质按瓦屋面计算；</w:t>
            </w:r>
          </w:p>
          <w:p w14:paraId="1007246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tabs>
                <w:tab w:val="left" w:pos="1076"/>
              </w:tabs>
              <w:kinsoku/>
              <w:wordWrap/>
              <w:overflowPunct/>
              <w:topLinePunct w:val="0"/>
              <w:bidi w:val="0"/>
              <w:spacing w:line="360" w:lineRule="auto"/>
              <w:ind w:left="42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  <w:t>木质墙裙残损率95%，按重做考虑；</w:t>
            </w:r>
          </w:p>
          <w:p w14:paraId="68C68CE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tabs>
                <w:tab w:val="left" w:pos="1076"/>
              </w:tabs>
              <w:kinsoku/>
              <w:wordWrap/>
              <w:overflowPunct/>
              <w:topLinePunct w:val="0"/>
              <w:bidi w:val="0"/>
              <w:spacing w:line="360" w:lineRule="auto"/>
              <w:ind w:left="42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  <w:t>瓦屋面、空斗墙等涉及材料利旧部分，主材消耗量按利旧比例扣减考虑；</w:t>
            </w:r>
          </w:p>
          <w:p w14:paraId="3DA6FEC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tabs>
                <w:tab w:val="left" w:pos="1076"/>
              </w:tabs>
              <w:kinsoku/>
              <w:wordWrap/>
              <w:overflowPunct/>
              <w:topLinePunct w:val="0"/>
              <w:bidi w:val="0"/>
              <w:spacing w:line="360" w:lineRule="auto"/>
              <w:ind w:left="42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  <w:t>山墙、山墙基础做法建筑图与结构图不一致处按结构图计算。</w:t>
            </w:r>
          </w:p>
          <w:p w14:paraId="44383E99">
            <w:pPr>
              <w:numPr>
                <w:ilvl w:val="0"/>
                <w:numId w:val="10"/>
              </w:numPr>
              <w:rPr>
                <w:rFonts w:hint="default" w:ascii="仿宋_GB2312" w:hAnsi="仿宋" w:eastAsia="仿宋_GB2312" w:cs="Times New Roman"/>
                <w:b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b/>
                <w:color w:val="auto"/>
                <w:sz w:val="28"/>
                <w:szCs w:val="28"/>
                <w:lang w:val="en-US" w:eastAsia="zh-CN"/>
              </w:rPr>
              <w:t>审核说明</w:t>
            </w:r>
          </w:p>
          <w:p w14:paraId="443A5DE1">
            <w:pPr>
              <w:numPr>
                <w:ilvl w:val="0"/>
                <w:numId w:val="0"/>
              </w:numPr>
              <w:spacing w:line="360" w:lineRule="auto"/>
              <w:ind w:left="0" w:leftChars="0" w:firstLine="421" w:firstLineChars="131"/>
              <w:rPr>
                <w:rFonts w:hint="eastAsia" w:ascii="仿宋" w:hAnsi="仿宋" w:eastAsia="仿宋" w:cs="仿宋"/>
                <w:b/>
                <w:bCs/>
                <w:color w:val="auto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/>
                <w:bCs w:val="0"/>
                <w:color w:val="auto"/>
                <w:sz w:val="32"/>
                <w:szCs w:val="32"/>
                <w:highlight w:val="none"/>
                <w:u w:val="none"/>
                <w:lang w:val="en-US" w:eastAsia="zh-CN"/>
              </w:rPr>
              <w:t>曾氏古厝修缮工程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32"/>
                <w:szCs w:val="32"/>
                <w:highlight w:val="none"/>
                <w:lang w:val="en-US" w:eastAsia="zh-CN"/>
              </w:rPr>
              <w:t>（核减约16.6万元,核增约9.4万元</w:t>
            </w:r>
          </w:p>
          <w:p w14:paraId="0B401059">
            <w:pPr>
              <w:numPr>
                <w:ilvl w:val="0"/>
                <w:numId w:val="0"/>
              </w:numPr>
              <w:spacing w:line="360" w:lineRule="auto"/>
              <w:ind w:left="0" w:leftChars="0" w:firstLine="421" w:firstLineChars="131"/>
              <w:rPr>
                <w:rFonts w:hint="default" w:ascii="仿宋" w:hAnsi="仿宋" w:eastAsia="仿宋" w:cs="仿宋"/>
                <w:b/>
                <w:bCs w:val="0"/>
                <w:color w:val="auto"/>
                <w:sz w:val="32"/>
                <w:szCs w:val="3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32"/>
                <w:szCs w:val="32"/>
                <w:highlight w:val="none"/>
                <w:lang w:val="en-US" w:eastAsia="zh-CN"/>
              </w:rPr>
              <w:t>万元）</w:t>
            </w:r>
          </w:p>
          <w:p w14:paraId="08E1221A">
            <w:pPr>
              <w:numPr>
                <w:ilvl w:val="0"/>
                <w:numId w:val="11"/>
              </w:numPr>
              <w:spacing w:line="360" w:lineRule="auto"/>
              <w:ind w:left="840" w:leftChars="0" w:firstLineChars="0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杉原木6m内的无信息价，按4m内信息价调整；</w:t>
            </w:r>
          </w:p>
          <w:p w14:paraId="47B374FE">
            <w:pPr>
              <w:numPr>
                <w:ilvl w:val="0"/>
                <w:numId w:val="11"/>
              </w:numPr>
              <w:spacing w:line="360" w:lineRule="auto"/>
              <w:ind w:left="840" w:leftChars="0" w:firstLineChars="0"/>
              <w:rPr>
                <w:rFonts w:hint="default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木柱、木梁</w:t>
            </w: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工程量按《原木材积表》调整；</w:t>
            </w:r>
          </w:p>
          <w:p w14:paraId="2EC23DF3">
            <w:pPr>
              <w:numPr>
                <w:ilvl w:val="0"/>
                <w:numId w:val="11"/>
              </w:numPr>
              <w:spacing w:line="360" w:lineRule="auto"/>
              <w:ind w:left="840" w:leftChars="0" w:firstLineChars="0"/>
              <w:rPr>
                <w:rFonts w:hint="default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青砖240*115*53按2.1元/块计取，其他规格青砖按信息价除以标准砖信息价与市场价系数，切割花岗岩按2100元/m³计取，条石按1900元/m³计取；</w:t>
            </w:r>
          </w:p>
          <w:p w14:paraId="38E6A6BE">
            <w:pPr>
              <w:numPr>
                <w:ilvl w:val="0"/>
                <w:numId w:val="11"/>
              </w:numPr>
              <w:spacing w:line="360" w:lineRule="auto"/>
              <w:ind w:left="840" w:leftChars="0" w:firstLineChars="0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拆除工程，清单子目第25点，拆除木墙裙工程量调整，按图纸调整工程量，核减金额0.4万元；</w:t>
            </w:r>
          </w:p>
          <w:p w14:paraId="5C8EACF8">
            <w:pPr>
              <w:numPr>
                <w:ilvl w:val="0"/>
                <w:numId w:val="11"/>
              </w:numPr>
              <w:spacing w:line="360" w:lineRule="auto"/>
              <w:ind w:left="840" w:leftChars="0" w:firstLineChars="0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新制作工程，清单子目第3点，材料单价调整，核减金额4.05万元；</w:t>
            </w:r>
          </w:p>
          <w:p w14:paraId="05FFD1FE">
            <w:pPr>
              <w:numPr>
                <w:ilvl w:val="0"/>
                <w:numId w:val="11"/>
              </w:numPr>
              <w:spacing w:line="360" w:lineRule="auto"/>
              <w:ind w:left="840" w:leftChars="0" w:firstLineChars="0"/>
              <w:rPr>
                <w:rFonts w:hint="default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新制作工程，清单子目第9、10、11点，矩形椽、</w:t>
            </w:r>
            <w:r>
              <w:rPr>
                <w:rFonts w:hint="default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筒瓦屋面</w:t>
            </w: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、清水望板工程量按屋面测绘修复明细表调整，核减金额4.6万元；</w:t>
            </w:r>
          </w:p>
          <w:p w14:paraId="37C6E668">
            <w:pPr>
              <w:numPr>
                <w:ilvl w:val="0"/>
                <w:numId w:val="11"/>
              </w:numPr>
              <w:spacing w:line="360" w:lineRule="auto"/>
              <w:ind w:left="840" w:leftChars="0" w:firstLineChars="0"/>
              <w:rPr>
                <w:rFonts w:hint="default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新制作工程，清单子目第11点，</w:t>
            </w:r>
            <w:r>
              <w:rPr>
                <w:rFonts w:hint="default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清水望板</w:t>
            </w: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计价调整，工程量按屋面测绘修复明细表调整，核减金额1.37万元；</w:t>
            </w:r>
          </w:p>
          <w:p w14:paraId="246D6CFF">
            <w:pPr>
              <w:numPr>
                <w:ilvl w:val="0"/>
                <w:numId w:val="11"/>
              </w:numPr>
              <w:spacing w:line="360" w:lineRule="auto"/>
              <w:ind w:left="840" w:leftChars="0" w:firstLineChars="0"/>
              <w:rPr>
                <w:rFonts w:hint="default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新制作工程，清单子目第33~50点，门窗工程量遗漏，遗漏抱框、线脚框等，核增金额6万元；</w:t>
            </w:r>
          </w:p>
          <w:p w14:paraId="38BE66C9">
            <w:pPr>
              <w:numPr>
                <w:ilvl w:val="0"/>
                <w:numId w:val="11"/>
              </w:numPr>
              <w:spacing w:line="360" w:lineRule="auto"/>
              <w:ind w:left="840" w:leftChars="0" w:firstLineChars="0"/>
              <w:rPr>
                <w:rFonts w:hint="default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新制作工程，清单子目第56~62点，</w:t>
            </w:r>
            <w:r>
              <w:rPr>
                <w:rFonts w:hint="default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木质墙裙</w:t>
            </w: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、灰板壁计价错误，核增金额1.8万元；</w:t>
            </w:r>
          </w:p>
          <w:p w14:paraId="5EA56C0D">
            <w:pPr>
              <w:numPr>
                <w:ilvl w:val="0"/>
                <w:numId w:val="11"/>
              </w:numPr>
              <w:spacing w:line="360" w:lineRule="auto"/>
              <w:ind w:left="840" w:leftChars="0" w:firstLineChars="0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新制作工程，清单子目第65~67点，</w:t>
            </w:r>
            <w:r>
              <w:rPr>
                <w:rFonts w:hint="default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斗底砖地</w:t>
            </w: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面及垫层工程量按地面测绘修复明细表调整，核减金额0.78万元；</w:t>
            </w:r>
          </w:p>
          <w:p w14:paraId="62CC5CAE">
            <w:pPr>
              <w:numPr>
                <w:ilvl w:val="0"/>
                <w:numId w:val="11"/>
              </w:numPr>
              <w:spacing w:line="360" w:lineRule="auto"/>
              <w:ind w:left="840" w:leftChars="0" w:firstLineChars="0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新制作工程，清单子目第85点，主座青砖地面工程量重复计取，核减造价0.85万元；</w:t>
            </w:r>
          </w:p>
          <w:p w14:paraId="3FB01637">
            <w:pPr>
              <w:numPr>
                <w:ilvl w:val="0"/>
                <w:numId w:val="11"/>
              </w:numPr>
              <w:spacing w:line="360" w:lineRule="auto"/>
              <w:ind w:left="840" w:leftChars="0" w:firstLineChars="0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新制作工程，清单子目第65、66、67、80点，天井铺砖，清理地面杂物、恢复天井铺砖、条石，工程量调整，核减金额1.56万元；</w:t>
            </w:r>
          </w:p>
          <w:p w14:paraId="241CEFA2">
            <w:pPr>
              <w:numPr>
                <w:ilvl w:val="0"/>
                <w:numId w:val="11"/>
              </w:numPr>
              <w:spacing w:line="360" w:lineRule="auto"/>
              <w:ind w:left="840" w:leftChars="0" w:firstLineChars="0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措施工程，清单子目第5点，遗漏基础梁工程量，核增金额0.4万元；</w:t>
            </w:r>
          </w:p>
          <w:p w14:paraId="5C985D2C">
            <w:pPr>
              <w:numPr>
                <w:ilvl w:val="0"/>
                <w:numId w:val="11"/>
              </w:numPr>
              <w:spacing w:line="360" w:lineRule="auto"/>
              <w:ind w:left="840" w:leftChars="0" w:firstLineChars="0"/>
              <w:rPr>
                <w:rFonts w:hint="default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措施工程，清单子目第10点，</w:t>
            </w:r>
            <w:r>
              <w:rPr>
                <w:rFonts w:hint="default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垂直运输</w:t>
            </w: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，拨正 (单层)、拨正 (双层)工程量有误，核减金额1.88万元；</w:t>
            </w:r>
          </w:p>
          <w:p w14:paraId="76F5C71F">
            <w:pPr>
              <w:numPr>
                <w:ilvl w:val="0"/>
                <w:numId w:val="0"/>
              </w:numPr>
              <w:spacing w:line="360" w:lineRule="auto"/>
              <w:ind w:left="0" w:leftChars="0" w:firstLine="368" w:firstLineChars="131"/>
              <w:rPr>
                <w:rFonts w:hint="eastAsia" w:ascii="仿宋" w:hAnsi="仿宋" w:eastAsia="仿宋" w:cs="仿宋"/>
                <w:b/>
                <w:bCs/>
                <w:color w:val="auto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/>
                <w:bCs w:val="0"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廖氏古厝修缮工程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32"/>
                <w:szCs w:val="32"/>
                <w:highlight w:val="none"/>
                <w:lang w:val="en-US" w:eastAsia="zh-CN"/>
              </w:rPr>
              <w:t>核减约8.82万元,核增约2.52万元</w:t>
            </w:r>
          </w:p>
          <w:p w14:paraId="6ACBDCCF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32"/>
                <w:szCs w:val="32"/>
                <w:highlight w:val="none"/>
                <w:lang w:val="en-US" w:eastAsia="zh-CN"/>
              </w:rPr>
              <w:t>万元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）</w:t>
            </w:r>
          </w:p>
          <w:p w14:paraId="7546CDCC">
            <w:pPr>
              <w:numPr>
                <w:ilvl w:val="0"/>
                <w:numId w:val="11"/>
              </w:numPr>
              <w:spacing w:line="360" w:lineRule="auto"/>
              <w:ind w:left="840" w:leftChars="0" w:firstLineChars="0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杉原木6m内的无信息价，按4m内信息价调整；</w:t>
            </w:r>
          </w:p>
          <w:p w14:paraId="0BB95C27">
            <w:pPr>
              <w:numPr>
                <w:ilvl w:val="0"/>
                <w:numId w:val="11"/>
              </w:numPr>
              <w:spacing w:line="360" w:lineRule="auto"/>
              <w:ind w:left="840" w:leftChars="0" w:firstLineChars="0"/>
              <w:rPr>
                <w:rFonts w:hint="default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木柱、木梁</w:t>
            </w: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工程量按《原木材积表》调整；</w:t>
            </w:r>
          </w:p>
          <w:p w14:paraId="4B4A1F10">
            <w:pPr>
              <w:numPr>
                <w:ilvl w:val="0"/>
                <w:numId w:val="11"/>
              </w:numPr>
              <w:spacing w:line="360" w:lineRule="auto"/>
              <w:ind w:left="840" w:leftChars="0" w:firstLineChars="0"/>
              <w:rPr>
                <w:rFonts w:hint="default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青砖240*115*53按2.1元/块计取，其他规格青砖按信息价除以标准砖信息价与市场价系数，切割花岗岩按2100元/m³计取，条石按1900元/m³计取；</w:t>
            </w:r>
          </w:p>
          <w:p w14:paraId="30E96A3D">
            <w:pPr>
              <w:numPr>
                <w:ilvl w:val="0"/>
                <w:numId w:val="11"/>
              </w:numPr>
              <w:spacing w:line="360" w:lineRule="auto"/>
              <w:ind w:left="840" w:leftChars="0" w:firstLineChars="0"/>
              <w:rPr>
                <w:rFonts w:hint="default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维修工程，清单子目第11、12、24点，工程量调整，核减金额约1.32万元。</w:t>
            </w:r>
          </w:p>
          <w:p w14:paraId="712D3EDC">
            <w:pPr>
              <w:numPr>
                <w:ilvl w:val="0"/>
                <w:numId w:val="11"/>
              </w:numPr>
              <w:spacing w:line="360" w:lineRule="auto"/>
              <w:ind w:left="840" w:leftChars="0" w:firstLineChars="0"/>
              <w:rPr>
                <w:rFonts w:hint="default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维修工程，清单子目第12点，调整定额，核增金额1.68万元；</w:t>
            </w:r>
          </w:p>
          <w:p w14:paraId="7191483C">
            <w:pPr>
              <w:numPr>
                <w:ilvl w:val="0"/>
                <w:numId w:val="11"/>
              </w:numPr>
              <w:spacing w:line="360" w:lineRule="auto"/>
              <w:ind w:left="840" w:leftChars="0" w:firstLineChars="0"/>
              <w:rPr>
                <w:rFonts w:hint="default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维修工程，清单子目第24点，糙砖空斗墙，工程量、定额调整，核减金额2.6万元</w:t>
            </w:r>
          </w:p>
          <w:p w14:paraId="4965CA38">
            <w:pPr>
              <w:numPr>
                <w:ilvl w:val="0"/>
                <w:numId w:val="11"/>
              </w:numPr>
              <w:spacing w:line="360" w:lineRule="auto"/>
              <w:ind w:left="840" w:leftChars="0" w:firstLineChars="0"/>
              <w:rPr>
                <w:rFonts w:hint="default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新制作工程，清单子目第12、15、38点，工程量调整，核增金额约0.84万元。</w:t>
            </w:r>
          </w:p>
          <w:p w14:paraId="16AC13F5">
            <w:pPr>
              <w:numPr>
                <w:ilvl w:val="0"/>
                <w:numId w:val="11"/>
              </w:numPr>
              <w:spacing w:line="360" w:lineRule="auto"/>
              <w:ind w:left="840" w:leftChars="0" w:firstLineChars="0"/>
              <w:rPr>
                <w:rFonts w:hint="default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措施工程，清单子目第3项垂直运输，工程量调整，核减金额约0.30万元。</w:t>
            </w:r>
          </w:p>
          <w:p w14:paraId="32808FD2">
            <w:pPr>
              <w:numPr>
                <w:ilvl w:val="0"/>
                <w:numId w:val="0"/>
              </w:numPr>
              <w:spacing w:line="360" w:lineRule="auto"/>
              <w:ind w:left="0" w:leftChars="0" w:firstLine="368" w:firstLineChars="131"/>
              <w:rPr>
                <w:rFonts w:hint="eastAsia" w:ascii="仿宋" w:hAnsi="仿宋" w:eastAsia="仿宋" w:cs="仿宋"/>
                <w:b/>
                <w:bCs/>
                <w:color w:val="auto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/>
                <w:bCs w:val="0"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孙氏古厝修缮工程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32"/>
                <w:szCs w:val="32"/>
                <w:highlight w:val="none"/>
                <w:lang w:val="en-US" w:eastAsia="zh-CN"/>
              </w:rPr>
              <w:t>核减约14.46万元,核增约2.36万元</w:t>
            </w:r>
          </w:p>
          <w:p w14:paraId="7B6DB461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32"/>
                <w:szCs w:val="32"/>
                <w:highlight w:val="none"/>
                <w:lang w:val="en-US" w:eastAsia="zh-CN"/>
              </w:rPr>
              <w:t>万元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）</w:t>
            </w:r>
          </w:p>
          <w:p w14:paraId="446D53C3">
            <w:pPr>
              <w:numPr>
                <w:ilvl w:val="0"/>
                <w:numId w:val="11"/>
              </w:numPr>
              <w:spacing w:line="360" w:lineRule="auto"/>
              <w:ind w:left="840" w:leftChars="0" w:firstLineChars="0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杉原木6m内的无信息价，按4m内信息价调整；</w:t>
            </w:r>
          </w:p>
          <w:p w14:paraId="3AE2CC52">
            <w:pPr>
              <w:numPr>
                <w:ilvl w:val="0"/>
                <w:numId w:val="11"/>
              </w:numPr>
              <w:spacing w:line="360" w:lineRule="auto"/>
              <w:ind w:left="840" w:leftChars="0" w:firstLineChars="0"/>
              <w:rPr>
                <w:rFonts w:hint="default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木柱、木梁</w:t>
            </w: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工程量按《原木材积表》调整；</w:t>
            </w:r>
          </w:p>
          <w:p w14:paraId="4D07CDEA">
            <w:pPr>
              <w:numPr>
                <w:ilvl w:val="0"/>
                <w:numId w:val="11"/>
              </w:numPr>
              <w:spacing w:line="360" w:lineRule="auto"/>
              <w:ind w:left="840" w:leftChars="0" w:firstLineChars="0"/>
              <w:rPr>
                <w:rFonts w:hint="default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青砖240*115*53按2.1元/块计取，其他规格青砖按信息价除以标准砖信息价与市场价系数，切割花岗岩按2100元/m³计取，条石按1900元/m³计取；</w:t>
            </w:r>
          </w:p>
          <w:p w14:paraId="4C6EF248">
            <w:pPr>
              <w:numPr>
                <w:ilvl w:val="0"/>
                <w:numId w:val="11"/>
              </w:numPr>
              <w:spacing w:line="360" w:lineRule="auto"/>
              <w:ind w:left="840" w:leftChars="0" w:firstLineChars="0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新制工程单价措施清单，遗漏框架结构模板，核增金额2.36万元；</w:t>
            </w:r>
          </w:p>
          <w:p w14:paraId="0EB29127">
            <w:pPr>
              <w:numPr>
                <w:ilvl w:val="0"/>
                <w:numId w:val="11"/>
              </w:numPr>
              <w:spacing w:line="360" w:lineRule="auto"/>
              <w:ind w:left="840" w:leftChars="0" w:firstLineChars="0"/>
              <w:rPr>
                <w:rFonts w:hint="default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新制工程，清单子目第2点，垫层(碎石灌砂)，计价错误，核减金额0.57万元；</w:t>
            </w:r>
          </w:p>
          <w:p w14:paraId="2FB71C70">
            <w:pPr>
              <w:numPr>
                <w:ilvl w:val="0"/>
                <w:numId w:val="11"/>
              </w:numPr>
              <w:spacing w:line="360" w:lineRule="auto"/>
              <w:ind w:left="840" w:leftChars="0" w:firstLineChars="0"/>
              <w:rPr>
                <w:rFonts w:hint="default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新制工程，清单子目第4点，</w:t>
            </w:r>
            <w:r>
              <w:rPr>
                <w:rFonts w:hint="default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阶条石</w:t>
            </w: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材料价格调整，核减金额2.9万元；</w:t>
            </w:r>
          </w:p>
          <w:p w14:paraId="41697E3E">
            <w:pPr>
              <w:numPr>
                <w:ilvl w:val="0"/>
                <w:numId w:val="11"/>
              </w:numPr>
              <w:spacing w:line="360" w:lineRule="auto"/>
              <w:ind w:left="840" w:leftChars="0" w:firstLineChars="0"/>
              <w:rPr>
                <w:rFonts w:hint="default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新制工程，清单子目第8点，</w:t>
            </w:r>
            <w:r>
              <w:rPr>
                <w:rFonts w:hint="default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木地板</w:t>
            </w: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材料价格调整，核减金额1.48万元；</w:t>
            </w:r>
          </w:p>
          <w:p w14:paraId="48566327">
            <w:pPr>
              <w:numPr>
                <w:ilvl w:val="0"/>
                <w:numId w:val="11"/>
              </w:numPr>
              <w:spacing w:line="360" w:lineRule="auto"/>
              <w:ind w:left="840" w:leftChars="0" w:firstLineChars="0"/>
              <w:rPr>
                <w:rFonts w:hint="default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新制工程，清单子目第53、54、55点，</w:t>
            </w:r>
            <w:r>
              <w:rPr>
                <w:rFonts w:hint="default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糙砖空斗</w:t>
            </w: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墙材料价格调整，核减金额3.8万元；</w:t>
            </w:r>
          </w:p>
          <w:p w14:paraId="0EA947E6">
            <w:pPr>
              <w:numPr>
                <w:ilvl w:val="0"/>
                <w:numId w:val="11"/>
              </w:numPr>
              <w:spacing w:line="360" w:lineRule="auto"/>
              <w:ind w:left="840" w:leftChars="0" w:firstLineChars="0"/>
              <w:rPr>
                <w:rFonts w:hint="default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新制工程，清单子目第120点，</w:t>
            </w:r>
            <w:r>
              <w:rPr>
                <w:rFonts w:hint="default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屋面卷材防水</w:t>
            </w: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防水材料材料调整，核减金额2.7万元；</w:t>
            </w:r>
          </w:p>
          <w:p w14:paraId="0BA36ECF">
            <w:pPr>
              <w:numPr>
                <w:ilvl w:val="0"/>
                <w:numId w:val="11"/>
              </w:numPr>
              <w:spacing w:line="360" w:lineRule="auto"/>
              <w:ind w:left="840" w:leftChars="0" w:firstLineChars="0"/>
              <w:rPr>
                <w:rFonts w:hint="default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新制工程，清单子目第124点，</w:t>
            </w:r>
            <w:r>
              <w:rPr>
                <w:rFonts w:hint="default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矩形椽</w:t>
            </w: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定额调整，核减金额1.45万元；</w:t>
            </w:r>
          </w:p>
          <w:p w14:paraId="17B6FB17">
            <w:pPr>
              <w:numPr>
                <w:ilvl w:val="0"/>
                <w:numId w:val="0"/>
              </w:numPr>
              <w:spacing w:line="360" w:lineRule="auto"/>
              <w:ind w:left="0" w:leftChars="0" w:firstLine="368" w:firstLineChars="131"/>
              <w:rPr>
                <w:rFonts w:hint="eastAsia" w:ascii="仿宋" w:hAnsi="仿宋" w:eastAsia="仿宋" w:cs="仿宋"/>
                <w:b/>
                <w:bCs/>
                <w:color w:val="auto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/>
                <w:bCs w:val="0"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戴氏古厝修缮工程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32"/>
                <w:szCs w:val="32"/>
                <w:highlight w:val="none"/>
                <w:lang w:val="en-US" w:eastAsia="zh-CN"/>
              </w:rPr>
              <w:t>（核减约10.88万元,核增约2.35万元</w:t>
            </w:r>
          </w:p>
          <w:p w14:paraId="315F1A29">
            <w:pPr>
              <w:numPr>
                <w:ilvl w:val="0"/>
                <w:numId w:val="0"/>
              </w:numPr>
              <w:spacing w:line="360" w:lineRule="auto"/>
              <w:ind w:left="0" w:leftChars="0" w:firstLine="421" w:firstLineChars="131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32"/>
                <w:szCs w:val="32"/>
                <w:highlight w:val="none"/>
                <w:lang w:val="en-US" w:eastAsia="zh-CN"/>
              </w:rPr>
              <w:t>万元）</w:t>
            </w:r>
          </w:p>
          <w:p w14:paraId="47E867C1">
            <w:pPr>
              <w:numPr>
                <w:ilvl w:val="0"/>
                <w:numId w:val="11"/>
              </w:numPr>
              <w:spacing w:line="360" w:lineRule="auto"/>
              <w:ind w:left="840" w:leftChars="0" w:firstLineChars="0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杉原木6m内的无信息价，按4m内信息价调整；</w:t>
            </w:r>
          </w:p>
          <w:p w14:paraId="6CB3349D">
            <w:pPr>
              <w:numPr>
                <w:ilvl w:val="0"/>
                <w:numId w:val="11"/>
              </w:numPr>
              <w:spacing w:line="360" w:lineRule="auto"/>
              <w:ind w:left="840" w:leftChars="0" w:firstLineChars="0"/>
              <w:rPr>
                <w:rFonts w:hint="default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木柱、木梁</w:t>
            </w: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工程量按《原木材积表》调整；</w:t>
            </w:r>
          </w:p>
          <w:p w14:paraId="5B4B4654">
            <w:pPr>
              <w:numPr>
                <w:ilvl w:val="0"/>
                <w:numId w:val="11"/>
              </w:numPr>
              <w:spacing w:line="360" w:lineRule="auto"/>
              <w:ind w:left="840" w:leftChars="0" w:firstLineChars="0"/>
              <w:rPr>
                <w:rFonts w:hint="default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青砖240*115*53按2.1元/块计取，其他规格青砖按信息价除以标准砖信息价与市场价系数，切割花岗岩按2100元/m³计取，条石按1900元/m³计取；</w:t>
            </w:r>
          </w:p>
          <w:p w14:paraId="6386E00E">
            <w:pPr>
              <w:numPr>
                <w:ilvl w:val="0"/>
                <w:numId w:val="11"/>
              </w:numPr>
              <w:spacing w:line="360" w:lineRule="auto"/>
              <w:ind w:left="840" w:leftChars="0" w:firstLineChars="0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拆除工程，清单子目第1点，砖（石）砌体拆除按图纸调整工程量，核减金额0.66万元；</w:t>
            </w:r>
          </w:p>
          <w:p w14:paraId="5736C452">
            <w:pPr>
              <w:numPr>
                <w:ilvl w:val="0"/>
                <w:numId w:val="11"/>
              </w:numPr>
              <w:spacing w:line="360" w:lineRule="auto"/>
              <w:ind w:left="840" w:leftChars="0" w:firstLineChars="0"/>
              <w:rPr>
                <w:rFonts w:hint="default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维修工程，清单子目第2点，杉木地板工程量按图纸工程量调整，核增金额1万元；</w:t>
            </w:r>
          </w:p>
          <w:p w14:paraId="5DA3F16D">
            <w:pPr>
              <w:numPr>
                <w:ilvl w:val="0"/>
                <w:numId w:val="11"/>
              </w:numPr>
              <w:spacing w:line="360" w:lineRule="auto"/>
              <w:ind w:left="840" w:leftChars="0" w:firstLineChars="0"/>
              <w:rPr>
                <w:rFonts w:hint="default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维修工程，清单子目第11点，</w:t>
            </w:r>
            <w:r>
              <w:rPr>
                <w:rFonts w:hint="default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屋面附着层拆除</w:t>
            </w: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计价有误，核减金额0.57万元；</w:t>
            </w:r>
          </w:p>
          <w:p w14:paraId="7A4FC739">
            <w:pPr>
              <w:numPr>
                <w:ilvl w:val="0"/>
                <w:numId w:val="11"/>
              </w:numPr>
              <w:spacing w:line="360" w:lineRule="auto"/>
              <w:ind w:left="840" w:leftChars="0" w:firstLineChars="0"/>
              <w:rPr>
                <w:rFonts w:hint="default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新制作工程，清单子目第4点，</w:t>
            </w:r>
            <w:r>
              <w:rPr>
                <w:rFonts w:hint="default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杉木板地面30厚</w:t>
            </w: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工程量调整，核减金额1万元；</w:t>
            </w:r>
          </w:p>
          <w:p w14:paraId="1B1EE4ED">
            <w:pPr>
              <w:numPr>
                <w:ilvl w:val="0"/>
                <w:numId w:val="11"/>
              </w:numPr>
              <w:spacing w:line="360" w:lineRule="auto"/>
              <w:ind w:left="840" w:leftChars="0" w:firstLineChars="0"/>
              <w:rPr>
                <w:rFonts w:hint="default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新制作工程，清单子目第8点，栏杆工程量调整，核增金额0.7万元；</w:t>
            </w:r>
          </w:p>
          <w:p w14:paraId="42B40D32">
            <w:pPr>
              <w:numPr>
                <w:ilvl w:val="0"/>
                <w:numId w:val="11"/>
              </w:numPr>
              <w:spacing w:line="360" w:lineRule="auto"/>
              <w:ind w:left="840" w:leftChars="0" w:firstLineChars="0"/>
              <w:rPr>
                <w:rFonts w:hint="default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新制作，清单子目第14点，</w:t>
            </w:r>
            <w:r>
              <w:rPr>
                <w:rFonts w:hint="default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实榻门</w:t>
            </w: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计价调整，核减金额1万元；</w:t>
            </w:r>
          </w:p>
          <w:p w14:paraId="76C04DE7">
            <w:pPr>
              <w:numPr>
                <w:ilvl w:val="0"/>
                <w:numId w:val="11"/>
              </w:numPr>
              <w:spacing w:line="360" w:lineRule="auto"/>
              <w:ind w:left="840" w:leftChars="0" w:firstLineChars="0"/>
              <w:rPr>
                <w:rFonts w:hint="default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新制作工程，清单子目第47点，</w:t>
            </w:r>
            <w:r>
              <w:rPr>
                <w:rFonts w:hint="default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筒瓦屋面</w:t>
            </w: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，工程量按屋面测绘修复明细表调整，核减金额4.1万元；</w:t>
            </w:r>
          </w:p>
          <w:p w14:paraId="0443BB72">
            <w:pPr>
              <w:numPr>
                <w:ilvl w:val="0"/>
                <w:numId w:val="11"/>
              </w:numPr>
              <w:spacing w:line="360" w:lineRule="auto"/>
              <w:ind w:left="840" w:leftChars="0" w:firstLineChars="0"/>
              <w:rPr>
                <w:rFonts w:hint="default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新制做工程，清单子目第48点，屋面卷材防水，单价调整，核减金额2.1万元；</w:t>
            </w:r>
          </w:p>
          <w:p w14:paraId="2C9DB5EC">
            <w:pPr>
              <w:numPr>
                <w:ilvl w:val="0"/>
                <w:numId w:val="11"/>
              </w:numPr>
              <w:spacing w:line="360" w:lineRule="auto"/>
              <w:ind w:left="840" w:leftChars="0" w:firstLineChars="0"/>
              <w:rPr>
                <w:rFonts w:hint="default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新制做工程，清单第49、50点，工程量调整，核减金额2.5万元；</w:t>
            </w:r>
          </w:p>
          <w:p w14:paraId="718D767E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仿宋" w:hAnsi="仿宋" w:eastAsia="仿宋" w:cs="仿宋"/>
                <w:b/>
                <w:bCs w:val="0"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/>
                <w:bCs w:val="0"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胜利南街6栋铺装工程</w:t>
            </w:r>
            <w:r>
              <w:rPr>
                <w:rFonts w:hint="eastAsia" w:ascii="仿宋" w:hAnsi="仿宋" w:eastAsia="仿宋" w:cs="仿宋"/>
                <w:b/>
                <w:bCs w:val="0"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（核减5.42万元）</w:t>
            </w:r>
          </w:p>
          <w:p w14:paraId="0C7F39F8">
            <w:pPr>
              <w:numPr>
                <w:ilvl w:val="0"/>
                <w:numId w:val="11"/>
              </w:numPr>
              <w:spacing w:line="360" w:lineRule="auto"/>
              <w:ind w:left="840" w:leftChars="0" w:firstLineChars="0"/>
              <w:rPr>
                <w:rFonts w:hint="default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清单子目第8点细墁方砖，材料价格调整，核减金额3.2万元；</w:t>
            </w:r>
          </w:p>
          <w:p w14:paraId="2EF21AFC">
            <w:pPr>
              <w:numPr>
                <w:ilvl w:val="0"/>
                <w:numId w:val="11"/>
              </w:numPr>
              <w:spacing w:line="360" w:lineRule="auto"/>
              <w:ind w:left="840" w:leftChars="0" w:firstLineChars="0"/>
              <w:rPr>
                <w:rFonts w:hint="default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清单子目第10点细墁方砖，材料价格调整，核减金额0.52万元；</w:t>
            </w:r>
          </w:p>
          <w:p w14:paraId="6763921A">
            <w:pPr>
              <w:numPr>
                <w:ilvl w:val="0"/>
                <w:numId w:val="11"/>
              </w:numPr>
              <w:spacing w:line="360" w:lineRule="auto"/>
              <w:ind w:left="840" w:leftChars="0" w:firstLineChars="0"/>
              <w:rPr>
                <w:rFonts w:hint="default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清单子目第11点细墁方砖，材料价格调整，核减金额1.3万元；</w:t>
            </w:r>
          </w:p>
          <w:p w14:paraId="1F07CD4C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仿宋" w:hAnsi="仿宋" w:eastAsia="仿宋" w:cs="仿宋"/>
                <w:b/>
                <w:bCs w:val="0"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安装部分（核减2.6万元）</w:t>
            </w:r>
          </w:p>
          <w:p w14:paraId="5D8677E6">
            <w:pPr>
              <w:numPr>
                <w:ilvl w:val="0"/>
                <w:numId w:val="11"/>
              </w:numPr>
              <w:spacing w:line="360" w:lineRule="auto"/>
              <w:ind w:left="840" w:leftChars="0" w:firstLineChars="0"/>
              <w:rPr>
                <w:rFonts w:hint="default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曾氏古厝修缮室外给水工程</w:t>
            </w: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中的水表井定额及工程量调整，该分部工程造价核减约0.6万元；</w:t>
            </w:r>
          </w:p>
          <w:p w14:paraId="478B3703">
            <w:pPr>
              <w:numPr>
                <w:ilvl w:val="0"/>
                <w:numId w:val="11"/>
              </w:numPr>
              <w:spacing w:line="360" w:lineRule="auto"/>
              <w:ind w:left="840" w:leftChars="0" w:firstLineChars="0"/>
              <w:rPr>
                <w:rFonts w:hint="default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廖</w:t>
            </w:r>
            <w:r>
              <w:rPr>
                <w:rFonts w:hint="default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氏古厝修缮室外给水工程</w:t>
            </w: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中的水表井定额及工程量调整，该分部工程造价核减约0.6万元；</w:t>
            </w:r>
          </w:p>
          <w:p w14:paraId="58A51D5F">
            <w:pPr>
              <w:numPr>
                <w:ilvl w:val="0"/>
                <w:numId w:val="11"/>
              </w:numPr>
              <w:spacing w:line="360" w:lineRule="auto"/>
              <w:ind w:left="840" w:leftChars="0" w:firstLineChars="0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孙</w:t>
            </w:r>
            <w:r>
              <w:rPr>
                <w:rFonts w:hint="default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氏古厝修缮室外给水工程</w:t>
            </w: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中的水表井定额及工程量调整，该分部工程造价核减约0.6万元；</w:t>
            </w:r>
          </w:p>
          <w:p w14:paraId="17D1431F">
            <w:pPr>
              <w:numPr>
                <w:ilvl w:val="0"/>
                <w:numId w:val="11"/>
              </w:numPr>
              <w:spacing w:line="360" w:lineRule="auto"/>
              <w:ind w:left="840" w:leftChars="0" w:firstLineChars="0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戴</w:t>
            </w:r>
            <w:r>
              <w:rPr>
                <w:rFonts w:hint="default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氏古厝修缮室外给水工程</w:t>
            </w: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中的水表井定额及工程量调整，该分部工程造价核减约0.6万元；</w:t>
            </w:r>
          </w:p>
          <w:p w14:paraId="0206AA05">
            <w:pPr>
              <w:numPr>
                <w:ilvl w:val="0"/>
                <w:numId w:val="0"/>
              </w:numPr>
              <w:spacing w:line="600" w:lineRule="exact"/>
              <w:ind w:leftChars="0"/>
              <w:rPr>
                <w:rFonts w:ascii="仿宋" w:hAnsi="仿宋" w:eastAsia="仿宋" w:cs="仿宋"/>
                <w:sz w:val="28"/>
                <w:szCs w:val="28"/>
                <w:u w:val="single"/>
              </w:rPr>
            </w:pPr>
          </w:p>
        </w:tc>
      </w:tr>
    </w:tbl>
    <w:p w14:paraId="083FE2EB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B948A6D"/>
    <w:multiLevelType w:val="multilevel"/>
    <w:tmpl w:val="DB948A6D"/>
    <w:lvl w:ilvl="0" w:tentative="0">
      <w:start w:val="1"/>
      <w:numFmt w:val="decimal"/>
      <w:suff w:val="nothing"/>
      <w:lvlText w:val="%1.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E30BFF17"/>
    <w:multiLevelType w:val="singleLevel"/>
    <w:tmpl w:val="E30BFF1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0F175783"/>
    <w:multiLevelType w:val="singleLevel"/>
    <w:tmpl w:val="0F175783"/>
    <w:lvl w:ilvl="0" w:tentative="0">
      <w:start w:val="1"/>
      <w:numFmt w:val="decimal"/>
      <w:suff w:val="nothing"/>
      <w:lvlText w:val="%1、"/>
      <w:lvlJc w:val="left"/>
      <w:pPr>
        <w:ind w:left="-60"/>
      </w:pPr>
      <w:rPr>
        <w:rFonts w:hint="default"/>
        <w:color w:val="auto"/>
      </w:rPr>
    </w:lvl>
  </w:abstractNum>
  <w:abstractNum w:abstractNumId="3">
    <w:nsid w:val="34DEC606"/>
    <w:multiLevelType w:val="singleLevel"/>
    <w:tmpl w:val="34DEC606"/>
    <w:lvl w:ilvl="0" w:tentative="0">
      <w:start w:val="1"/>
      <w:numFmt w:val="decimal"/>
      <w:suff w:val="nothing"/>
      <w:lvlText w:val="%1、"/>
      <w:lvlJc w:val="left"/>
      <w:pPr>
        <w:ind w:left="-60"/>
      </w:pPr>
      <w:rPr>
        <w:rFonts w:hint="default"/>
        <w:color w:val="auto"/>
      </w:rPr>
    </w:lvl>
  </w:abstractNum>
  <w:abstractNum w:abstractNumId="4">
    <w:nsid w:val="3874049B"/>
    <w:multiLevelType w:val="multilevel"/>
    <w:tmpl w:val="3874049B"/>
    <w:lvl w:ilvl="0" w:tentative="0">
      <w:start w:val="1"/>
      <w:numFmt w:val="decimal"/>
      <w:lvlText w:val="%1)"/>
      <w:lvlJc w:val="left"/>
      <w:pPr>
        <w:tabs>
          <w:tab w:val="left" w:pos="968"/>
        </w:tabs>
        <w:ind w:left="968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1388"/>
        </w:tabs>
        <w:ind w:left="1388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808"/>
        </w:tabs>
        <w:ind w:left="1808" w:hanging="420"/>
      </w:pPr>
    </w:lvl>
    <w:lvl w:ilvl="3" w:tentative="0">
      <w:start w:val="1"/>
      <w:numFmt w:val="decimal"/>
      <w:lvlText w:val="%4."/>
      <w:lvlJc w:val="left"/>
      <w:pPr>
        <w:tabs>
          <w:tab w:val="left" w:pos="2228"/>
        </w:tabs>
        <w:ind w:left="2228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648"/>
        </w:tabs>
        <w:ind w:left="2648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68"/>
        </w:tabs>
        <w:ind w:left="3068" w:hanging="420"/>
      </w:pPr>
    </w:lvl>
    <w:lvl w:ilvl="6" w:tentative="0">
      <w:start w:val="1"/>
      <w:numFmt w:val="decimal"/>
      <w:lvlText w:val="%7."/>
      <w:lvlJc w:val="left"/>
      <w:pPr>
        <w:tabs>
          <w:tab w:val="left" w:pos="3488"/>
        </w:tabs>
        <w:ind w:left="3488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908"/>
        </w:tabs>
        <w:ind w:left="3908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328"/>
        </w:tabs>
        <w:ind w:left="4328" w:hanging="420"/>
      </w:pPr>
    </w:lvl>
  </w:abstractNum>
  <w:abstractNum w:abstractNumId="5">
    <w:nsid w:val="480812A7"/>
    <w:multiLevelType w:val="multilevel"/>
    <w:tmpl w:val="480812A7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b/>
      </w:rPr>
    </w:lvl>
    <w:lvl w:ilvl="1" w:tentative="0">
      <w:start w:val="1"/>
      <w:numFmt w:val="decimal"/>
      <w:lvlText w:val="%2、"/>
      <w:lvlJc w:val="left"/>
      <w:pPr>
        <w:tabs>
          <w:tab w:val="left" w:pos="1140"/>
        </w:tabs>
        <w:ind w:left="1140" w:hanging="7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59756D56"/>
    <w:multiLevelType w:val="singleLevel"/>
    <w:tmpl w:val="59756D56"/>
    <w:lvl w:ilvl="0" w:tentative="0">
      <w:start w:val="2"/>
      <w:numFmt w:val="decimal"/>
      <w:suff w:val="nothing"/>
      <w:lvlText w:val="%1."/>
      <w:lvlJc w:val="left"/>
      <w:pPr>
        <w:ind w:left="0" w:firstLine="0"/>
      </w:pPr>
    </w:lvl>
  </w:abstractNum>
  <w:abstractNum w:abstractNumId="7">
    <w:nsid w:val="6369DF05"/>
    <w:multiLevelType w:val="singleLevel"/>
    <w:tmpl w:val="6369DF05"/>
    <w:lvl w:ilvl="0" w:tentative="0">
      <w:start w:val="1"/>
      <w:numFmt w:val="decimal"/>
      <w:suff w:val="nothing"/>
      <w:lvlText w:val="%1、"/>
      <w:lvlJc w:val="left"/>
    </w:lvl>
  </w:abstractNum>
  <w:abstractNum w:abstractNumId="8">
    <w:nsid w:val="64A52A64"/>
    <w:multiLevelType w:val="singleLevel"/>
    <w:tmpl w:val="64A52A64"/>
    <w:lvl w:ilvl="0" w:tentative="0">
      <w:start w:val="1"/>
      <w:numFmt w:val="decimal"/>
      <w:suff w:val="nothing"/>
      <w:lvlText w:val="%1、"/>
      <w:lvlJc w:val="left"/>
      <w:pPr>
        <w:ind w:left="-60"/>
      </w:pPr>
      <w:rPr>
        <w:rFonts w:hint="default"/>
        <w:color w:val="auto"/>
      </w:rPr>
    </w:lvl>
  </w:abstractNum>
  <w:abstractNum w:abstractNumId="9">
    <w:nsid w:val="6584202B"/>
    <w:multiLevelType w:val="singleLevel"/>
    <w:tmpl w:val="6584202B"/>
    <w:lvl w:ilvl="0" w:tentative="0">
      <w:start w:val="1"/>
      <w:numFmt w:val="decimal"/>
      <w:suff w:val="nothing"/>
      <w:lvlText w:val="%1、"/>
      <w:lvlJc w:val="left"/>
      <w:pPr>
        <w:ind w:left="-60"/>
      </w:pPr>
      <w:rPr>
        <w:rFonts w:hint="default"/>
        <w:color w:val="auto"/>
      </w:rPr>
    </w:lvl>
  </w:abstractNum>
  <w:abstractNum w:abstractNumId="10">
    <w:nsid w:val="6D67B6D3"/>
    <w:multiLevelType w:val="singleLevel"/>
    <w:tmpl w:val="6D67B6D3"/>
    <w:lvl w:ilvl="0" w:tentative="0">
      <w:start w:val="9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5"/>
    <w:lvlOverride w:ilvl="0">
      <w:startOverride w:val="1"/>
    </w:lvlOverride>
  </w:num>
  <w:num w:numId="2">
    <w:abstractNumId w:val="4"/>
  </w:num>
  <w:num w:numId="3">
    <w:abstractNumId w:val="6"/>
    <w:lvlOverride w:ilvl="0">
      <w:startOverride w:val="2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9"/>
  </w:num>
  <w:num w:numId="8">
    <w:abstractNumId w:val="2"/>
  </w:num>
  <w:num w:numId="9">
    <w:abstractNumId w:val="7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yMTZjZDc4ZTQ2Y2I3NGUwZGM0OWNiZGFiMWQ0YzkifQ=="/>
  </w:docVars>
  <w:rsids>
    <w:rsidRoot w:val="00172A27"/>
    <w:rsid w:val="00044E87"/>
    <w:rsid w:val="001456EA"/>
    <w:rsid w:val="00160FD6"/>
    <w:rsid w:val="001B527C"/>
    <w:rsid w:val="001E4143"/>
    <w:rsid w:val="0024713A"/>
    <w:rsid w:val="00253D5C"/>
    <w:rsid w:val="00285604"/>
    <w:rsid w:val="002E088A"/>
    <w:rsid w:val="00346C2A"/>
    <w:rsid w:val="00352149"/>
    <w:rsid w:val="00356FB3"/>
    <w:rsid w:val="003B3329"/>
    <w:rsid w:val="003D44B4"/>
    <w:rsid w:val="003E356F"/>
    <w:rsid w:val="003E7234"/>
    <w:rsid w:val="003F7652"/>
    <w:rsid w:val="004163D7"/>
    <w:rsid w:val="0043245A"/>
    <w:rsid w:val="00436A18"/>
    <w:rsid w:val="004517F2"/>
    <w:rsid w:val="004F6967"/>
    <w:rsid w:val="00507417"/>
    <w:rsid w:val="005450F5"/>
    <w:rsid w:val="005457E0"/>
    <w:rsid w:val="005532F7"/>
    <w:rsid w:val="005B6FEA"/>
    <w:rsid w:val="006212A4"/>
    <w:rsid w:val="0066369B"/>
    <w:rsid w:val="00682506"/>
    <w:rsid w:val="00690D15"/>
    <w:rsid w:val="006B7B8B"/>
    <w:rsid w:val="006D4DCE"/>
    <w:rsid w:val="007C5BA8"/>
    <w:rsid w:val="007E28A5"/>
    <w:rsid w:val="007F6641"/>
    <w:rsid w:val="00814511"/>
    <w:rsid w:val="0085207B"/>
    <w:rsid w:val="008B1E66"/>
    <w:rsid w:val="008B33FE"/>
    <w:rsid w:val="008D43CE"/>
    <w:rsid w:val="009927E2"/>
    <w:rsid w:val="00A25AD0"/>
    <w:rsid w:val="00A56626"/>
    <w:rsid w:val="00AC0234"/>
    <w:rsid w:val="00B534BD"/>
    <w:rsid w:val="00B607BB"/>
    <w:rsid w:val="00B705C7"/>
    <w:rsid w:val="00BA5904"/>
    <w:rsid w:val="00BC0086"/>
    <w:rsid w:val="00C02144"/>
    <w:rsid w:val="00CE3807"/>
    <w:rsid w:val="00D02E1A"/>
    <w:rsid w:val="00D53BA3"/>
    <w:rsid w:val="00D96C73"/>
    <w:rsid w:val="00DB0110"/>
    <w:rsid w:val="00DB07FC"/>
    <w:rsid w:val="00DD7473"/>
    <w:rsid w:val="00E4139F"/>
    <w:rsid w:val="00E45629"/>
    <w:rsid w:val="00E831EC"/>
    <w:rsid w:val="00F546A0"/>
    <w:rsid w:val="00FE4982"/>
    <w:rsid w:val="00FE5CA7"/>
    <w:rsid w:val="0234411A"/>
    <w:rsid w:val="0297673B"/>
    <w:rsid w:val="039E10AC"/>
    <w:rsid w:val="05C61F2B"/>
    <w:rsid w:val="0676641E"/>
    <w:rsid w:val="070659F4"/>
    <w:rsid w:val="07C0100A"/>
    <w:rsid w:val="08155365"/>
    <w:rsid w:val="0A6C5E48"/>
    <w:rsid w:val="0A7E4413"/>
    <w:rsid w:val="0A8731AC"/>
    <w:rsid w:val="0B5843A7"/>
    <w:rsid w:val="0C300FAC"/>
    <w:rsid w:val="0C85463D"/>
    <w:rsid w:val="0CA352C8"/>
    <w:rsid w:val="0CBC2269"/>
    <w:rsid w:val="0CD7758F"/>
    <w:rsid w:val="0CEB1914"/>
    <w:rsid w:val="0CF32211"/>
    <w:rsid w:val="0DCA0012"/>
    <w:rsid w:val="0DF26CD2"/>
    <w:rsid w:val="0DF55415"/>
    <w:rsid w:val="0E557E55"/>
    <w:rsid w:val="0E6B1CED"/>
    <w:rsid w:val="0E6F20D1"/>
    <w:rsid w:val="0E9D6C3E"/>
    <w:rsid w:val="0FC53BEC"/>
    <w:rsid w:val="10371235"/>
    <w:rsid w:val="128C33AA"/>
    <w:rsid w:val="13394546"/>
    <w:rsid w:val="136B552D"/>
    <w:rsid w:val="139323BD"/>
    <w:rsid w:val="14424A78"/>
    <w:rsid w:val="14860B4B"/>
    <w:rsid w:val="14BD0BFB"/>
    <w:rsid w:val="14FF3CBD"/>
    <w:rsid w:val="152F485E"/>
    <w:rsid w:val="15686D2B"/>
    <w:rsid w:val="16342F14"/>
    <w:rsid w:val="16AF4292"/>
    <w:rsid w:val="16CD575F"/>
    <w:rsid w:val="178B6D11"/>
    <w:rsid w:val="17A539D3"/>
    <w:rsid w:val="190C0A92"/>
    <w:rsid w:val="192C5782"/>
    <w:rsid w:val="19E25E4D"/>
    <w:rsid w:val="1B6825C2"/>
    <w:rsid w:val="1C2426D7"/>
    <w:rsid w:val="1C481CF2"/>
    <w:rsid w:val="1C5648D0"/>
    <w:rsid w:val="1CD65747"/>
    <w:rsid w:val="1E887037"/>
    <w:rsid w:val="1F143244"/>
    <w:rsid w:val="1FC311FC"/>
    <w:rsid w:val="20522249"/>
    <w:rsid w:val="207512BE"/>
    <w:rsid w:val="21B303C0"/>
    <w:rsid w:val="21D86DF7"/>
    <w:rsid w:val="220C1018"/>
    <w:rsid w:val="22602004"/>
    <w:rsid w:val="22AA14D2"/>
    <w:rsid w:val="22D50468"/>
    <w:rsid w:val="23A82BA3"/>
    <w:rsid w:val="23FB2171"/>
    <w:rsid w:val="24317657"/>
    <w:rsid w:val="24584061"/>
    <w:rsid w:val="2477643A"/>
    <w:rsid w:val="25665B84"/>
    <w:rsid w:val="260D177C"/>
    <w:rsid w:val="267D6B89"/>
    <w:rsid w:val="27C65D6F"/>
    <w:rsid w:val="27F92EBF"/>
    <w:rsid w:val="28460D43"/>
    <w:rsid w:val="298038AD"/>
    <w:rsid w:val="2A050A46"/>
    <w:rsid w:val="2A2772FB"/>
    <w:rsid w:val="2A677CA8"/>
    <w:rsid w:val="2B804D0D"/>
    <w:rsid w:val="2C4937BB"/>
    <w:rsid w:val="2C7212B2"/>
    <w:rsid w:val="2C7A5552"/>
    <w:rsid w:val="2CCB6CAF"/>
    <w:rsid w:val="2CF568F2"/>
    <w:rsid w:val="2D40289C"/>
    <w:rsid w:val="2D535489"/>
    <w:rsid w:val="2DCD3759"/>
    <w:rsid w:val="2EA257F4"/>
    <w:rsid w:val="2F6244F2"/>
    <w:rsid w:val="2FDF2AF0"/>
    <w:rsid w:val="30185A5E"/>
    <w:rsid w:val="302D729E"/>
    <w:rsid w:val="310E3950"/>
    <w:rsid w:val="32AA51FD"/>
    <w:rsid w:val="338F624F"/>
    <w:rsid w:val="34E30CB8"/>
    <w:rsid w:val="35902E6D"/>
    <w:rsid w:val="36932551"/>
    <w:rsid w:val="36C528D2"/>
    <w:rsid w:val="37B4022C"/>
    <w:rsid w:val="37FC45E7"/>
    <w:rsid w:val="39193BB5"/>
    <w:rsid w:val="39810890"/>
    <w:rsid w:val="39D22C54"/>
    <w:rsid w:val="3A417581"/>
    <w:rsid w:val="3A52627F"/>
    <w:rsid w:val="3AA2604C"/>
    <w:rsid w:val="3AF500F0"/>
    <w:rsid w:val="3C5C5193"/>
    <w:rsid w:val="3D642BC7"/>
    <w:rsid w:val="3D7F267F"/>
    <w:rsid w:val="3E5F212A"/>
    <w:rsid w:val="3F2F3033"/>
    <w:rsid w:val="3F6251B6"/>
    <w:rsid w:val="3F6902F3"/>
    <w:rsid w:val="409F0C18"/>
    <w:rsid w:val="41662610"/>
    <w:rsid w:val="42023269"/>
    <w:rsid w:val="421B37D2"/>
    <w:rsid w:val="44523338"/>
    <w:rsid w:val="44F7014F"/>
    <w:rsid w:val="467179F2"/>
    <w:rsid w:val="475F022D"/>
    <w:rsid w:val="47F23A1C"/>
    <w:rsid w:val="491F6247"/>
    <w:rsid w:val="499609D3"/>
    <w:rsid w:val="49C90224"/>
    <w:rsid w:val="49D767A1"/>
    <w:rsid w:val="4AB50C6D"/>
    <w:rsid w:val="4AD044A4"/>
    <w:rsid w:val="4B9868DD"/>
    <w:rsid w:val="4BBA3C8C"/>
    <w:rsid w:val="4D292D9D"/>
    <w:rsid w:val="4E8E6237"/>
    <w:rsid w:val="4EC72940"/>
    <w:rsid w:val="4EE47996"/>
    <w:rsid w:val="4F28308C"/>
    <w:rsid w:val="4FB629B4"/>
    <w:rsid w:val="501E1ED7"/>
    <w:rsid w:val="50D14046"/>
    <w:rsid w:val="517D5E7F"/>
    <w:rsid w:val="51A90CFE"/>
    <w:rsid w:val="51F430ED"/>
    <w:rsid w:val="521A7ABE"/>
    <w:rsid w:val="539E1C52"/>
    <w:rsid w:val="53C81B95"/>
    <w:rsid w:val="53D41DF5"/>
    <w:rsid w:val="5479292E"/>
    <w:rsid w:val="548B4275"/>
    <w:rsid w:val="55A0038E"/>
    <w:rsid w:val="56C854A7"/>
    <w:rsid w:val="56E02FC3"/>
    <w:rsid w:val="586E1B65"/>
    <w:rsid w:val="598C48FA"/>
    <w:rsid w:val="59B91A1F"/>
    <w:rsid w:val="5A2055FA"/>
    <w:rsid w:val="5AC34C44"/>
    <w:rsid w:val="5AD00DCE"/>
    <w:rsid w:val="5C091035"/>
    <w:rsid w:val="5C390BF5"/>
    <w:rsid w:val="5C955986"/>
    <w:rsid w:val="5CBA08D8"/>
    <w:rsid w:val="5D211DB5"/>
    <w:rsid w:val="5DE075E3"/>
    <w:rsid w:val="5E0C65C1"/>
    <w:rsid w:val="5E5F0DE7"/>
    <w:rsid w:val="5E652175"/>
    <w:rsid w:val="5EAC1B52"/>
    <w:rsid w:val="5F8B79B9"/>
    <w:rsid w:val="603A596D"/>
    <w:rsid w:val="60840813"/>
    <w:rsid w:val="60D84E80"/>
    <w:rsid w:val="613F0865"/>
    <w:rsid w:val="61EF4230"/>
    <w:rsid w:val="61FC1FAD"/>
    <w:rsid w:val="629706D0"/>
    <w:rsid w:val="629F7EC0"/>
    <w:rsid w:val="62A94650"/>
    <w:rsid w:val="62BC301C"/>
    <w:rsid w:val="62D4075B"/>
    <w:rsid w:val="62F37D50"/>
    <w:rsid w:val="64A33FB8"/>
    <w:rsid w:val="658E5B0E"/>
    <w:rsid w:val="65E120E1"/>
    <w:rsid w:val="66194878"/>
    <w:rsid w:val="661F2FBA"/>
    <w:rsid w:val="66F400EA"/>
    <w:rsid w:val="674A4674"/>
    <w:rsid w:val="67627433"/>
    <w:rsid w:val="69040FF3"/>
    <w:rsid w:val="69777577"/>
    <w:rsid w:val="699F4B1F"/>
    <w:rsid w:val="69BE3C72"/>
    <w:rsid w:val="6A145138"/>
    <w:rsid w:val="6A347FFD"/>
    <w:rsid w:val="6B286A04"/>
    <w:rsid w:val="6B300418"/>
    <w:rsid w:val="6B5E08CC"/>
    <w:rsid w:val="6B6E08BB"/>
    <w:rsid w:val="6B8942D3"/>
    <w:rsid w:val="6B9B742D"/>
    <w:rsid w:val="6BDC20C0"/>
    <w:rsid w:val="6C67530A"/>
    <w:rsid w:val="6C904861"/>
    <w:rsid w:val="6CE52792"/>
    <w:rsid w:val="6D9F1BC2"/>
    <w:rsid w:val="6E4068A2"/>
    <w:rsid w:val="6E756967"/>
    <w:rsid w:val="6E902F6E"/>
    <w:rsid w:val="6EB90271"/>
    <w:rsid w:val="6EBA7973"/>
    <w:rsid w:val="6EDB4602"/>
    <w:rsid w:val="7198404E"/>
    <w:rsid w:val="71A57698"/>
    <w:rsid w:val="71D9385C"/>
    <w:rsid w:val="745462B9"/>
    <w:rsid w:val="75742249"/>
    <w:rsid w:val="75E33C54"/>
    <w:rsid w:val="763133B2"/>
    <w:rsid w:val="76F712B7"/>
    <w:rsid w:val="77323CAD"/>
    <w:rsid w:val="773F3B97"/>
    <w:rsid w:val="774E2333"/>
    <w:rsid w:val="778D4135"/>
    <w:rsid w:val="78DB50B6"/>
    <w:rsid w:val="793D5078"/>
    <w:rsid w:val="79E43A3D"/>
    <w:rsid w:val="7A2524D9"/>
    <w:rsid w:val="7A48677B"/>
    <w:rsid w:val="7A5D684D"/>
    <w:rsid w:val="7BAB6FC2"/>
    <w:rsid w:val="7BC260B9"/>
    <w:rsid w:val="7BE40725"/>
    <w:rsid w:val="7BFB36DC"/>
    <w:rsid w:val="7C4A15E5"/>
    <w:rsid w:val="7C786C9F"/>
    <w:rsid w:val="7CA0289E"/>
    <w:rsid w:val="7CB07D80"/>
    <w:rsid w:val="7D0F17D2"/>
    <w:rsid w:val="7DE90C90"/>
    <w:rsid w:val="7ECA3C03"/>
    <w:rsid w:val="7F1B445E"/>
    <w:rsid w:val="7F5378D4"/>
    <w:rsid w:val="7F9F079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qFormat="1" w:uiPriority="99" w:semiHidden="0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line number"/>
    <w:basedOn w:val="5"/>
    <w:unhideWhenUsed/>
    <w:qFormat/>
    <w:uiPriority w:val="99"/>
    <w:rPr>
      <w:rFonts w:hint="eastAsia"/>
      <w:sz w:val="21"/>
      <w:szCs w:val="24"/>
    </w:rPr>
  </w:style>
  <w:style w:type="character" w:styleId="7">
    <w:name w:val="Hyperlink"/>
    <w:unhideWhenUsed/>
    <w:qFormat/>
    <w:uiPriority w:val="99"/>
    <w:rPr>
      <w:rFonts w:hint="eastAsia" w:ascii="Times New Roman" w:hAnsi="Times New Roman" w:eastAsia="Times New Roman"/>
      <w:color w:val="0000FF"/>
      <w:sz w:val="21"/>
      <w:szCs w:val="24"/>
      <w:u w:val="single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黑体"/>
      <w:szCs w:val="22"/>
    </w:rPr>
  </w:style>
  <w:style w:type="character" w:customStyle="1" w:styleId="9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10</Pages>
  <Words>3878</Words>
  <Characters>4364</Characters>
  <Lines>13</Lines>
  <Paragraphs>3</Paragraphs>
  <TotalTime>0</TotalTime>
  <ScaleCrop>false</ScaleCrop>
  <LinksUpToDate>false</LinksUpToDate>
  <CharactersWithSpaces>4398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2020-07-17T08:08:00Z</dcterms:created>
  <dc:creator>User</dc:creator>
  <cp:lastModifiedBy>L婷</cp:lastModifiedBy>
  <cp:lastPrinted>2020-06-23T02:32:00Z</cp:lastPrinted>
  <dcterms:modified xsi:type="dcterms:W3CDTF">2024-12-12T09:24:50Z</dcterms:modified>
  <dc:title>建筑工程招标控制价编制说明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41000BD424E149A783A295DAEAE52F3E_13</vt:lpwstr>
  </property>
</Properties>
</file>