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643" w:firstLineChars="200"/>
        <w:jc w:val="center"/>
        <w:rPr>
          <w:rFonts w:hint="eastAsia" w:ascii="宋体" w:hAnsi="宋体" w:cs="宋体"/>
          <w:sz w:val="28"/>
          <w:szCs w:val="28"/>
        </w:rPr>
      </w:pPr>
      <w:r>
        <w:rPr>
          <w:rFonts w:hint="eastAsia" w:ascii="宋体" w:hAnsi="宋体" w:cs="宋体"/>
          <w:b/>
          <w:bCs/>
          <w:sz w:val="32"/>
          <w:szCs w:val="32"/>
        </w:rPr>
        <w:t>闽江干流防洪提升工程(三明段</w:t>
      </w:r>
      <w:r>
        <w:rPr>
          <w:rFonts w:hint="eastAsia" w:ascii="宋体" w:hAnsi="宋体" w:cs="宋体"/>
          <w:b/>
          <w:bCs/>
          <w:sz w:val="32"/>
          <w:szCs w:val="32"/>
          <w:lang w:eastAsia="zh-CN"/>
        </w:rPr>
        <w:t>）</w:t>
      </w:r>
      <w:r>
        <w:rPr>
          <w:rFonts w:hint="eastAsia" w:ascii="宋体" w:hAnsi="宋体" w:cs="宋体"/>
          <w:b/>
          <w:bCs/>
          <w:sz w:val="32"/>
          <w:szCs w:val="32"/>
        </w:rPr>
        <w:t>永安市</w:t>
      </w:r>
      <w:r>
        <w:rPr>
          <w:rFonts w:hint="eastAsia" w:ascii="宋体" w:hAnsi="宋体" w:cs="宋体"/>
          <w:b/>
          <w:bCs/>
          <w:sz w:val="32"/>
          <w:szCs w:val="32"/>
          <w:lang w:val="en-US" w:eastAsia="zh-CN"/>
        </w:rPr>
        <w:t>霞鹤段、贡川上游段、贡川下游段、西洋A段</w:t>
      </w:r>
      <w:r>
        <w:rPr>
          <w:rFonts w:hint="eastAsia" w:ascii="宋体" w:hAnsi="宋体" w:cs="宋体"/>
          <w:b/>
          <w:bCs/>
          <w:sz w:val="32"/>
          <w:szCs w:val="32"/>
        </w:rPr>
        <w:t>控制价编制说明</w:t>
      </w:r>
    </w:p>
    <w:p>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一、工程概况</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eastAsia="zh-CN"/>
        </w:rPr>
        <w:t>、</w:t>
      </w:r>
      <w:r>
        <w:rPr>
          <w:rFonts w:hint="eastAsia" w:ascii="宋体" w:hAnsi="宋体" w:cs="宋体"/>
          <w:sz w:val="28"/>
          <w:szCs w:val="28"/>
        </w:rPr>
        <w:t>工程名称：闽江干流防洪提升工程(三明段</w:t>
      </w:r>
      <w:r>
        <w:rPr>
          <w:rFonts w:hint="eastAsia" w:ascii="宋体" w:hAnsi="宋体" w:cs="宋体"/>
          <w:sz w:val="28"/>
          <w:szCs w:val="28"/>
          <w:lang w:eastAsia="zh-CN"/>
        </w:rPr>
        <w:t>）</w:t>
      </w:r>
      <w:r>
        <w:rPr>
          <w:rFonts w:hint="eastAsia" w:ascii="宋体" w:hAnsi="宋体" w:cs="宋体"/>
          <w:sz w:val="28"/>
          <w:szCs w:val="28"/>
        </w:rPr>
        <w:t>永安市</w:t>
      </w:r>
      <w:r>
        <w:rPr>
          <w:rFonts w:hint="eastAsia" w:ascii="宋体" w:hAnsi="宋体" w:cs="宋体"/>
          <w:sz w:val="28"/>
          <w:szCs w:val="28"/>
          <w:lang w:val="en-US" w:eastAsia="zh-CN"/>
        </w:rPr>
        <w:t>霞鹤段、贡川上游段、贡川下游段、西洋A段</w:t>
      </w:r>
      <w:r>
        <w:rPr>
          <w:rFonts w:hint="eastAsia" w:ascii="宋体" w:hAnsi="宋体" w:cs="宋体"/>
          <w:sz w:val="28"/>
          <w:szCs w:val="28"/>
        </w:rPr>
        <w:t>；</w:t>
      </w:r>
    </w:p>
    <w:p>
      <w:pPr>
        <w:spacing w:line="240" w:lineRule="atLeast"/>
        <w:ind w:firstLine="560" w:firstLineChars="200"/>
        <w:rPr>
          <w:rFonts w:hint="eastAsia"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lang w:eastAsia="zh-CN"/>
        </w:rPr>
        <w:t>、</w:t>
      </w:r>
      <w:r>
        <w:rPr>
          <w:rFonts w:hint="eastAsia" w:ascii="宋体" w:hAnsi="宋体" w:cs="宋体"/>
          <w:sz w:val="28"/>
          <w:szCs w:val="28"/>
        </w:rPr>
        <w:t>项目地点：福建省</w:t>
      </w:r>
      <w:r>
        <w:rPr>
          <w:rFonts w:hint="eastAsia" w:ascii="宋体" w:hAnsi="宋体" w:cs="宋体"/>
          <w:sz w:val="28"/>
          <w:szCs w:val="28"/>
          <w:lang w:eastAsia="zh-CN"/>
        </w:rPr>
        <w:t>三明市永安市</w:t>
      </w:r>
      <w:r>
        <w:rPr>
          <w:rFonts w:hint="eastAsia" w:ascii="宋体" w:hAnsi="宋体" w:cs="宋体"/>
          <w:sz w:val="28"/>
          <w:szCs w:val="28"/>
        </w:rPr>
        <w:t>；</w:t>
      </w:r>
    </w:p>
    <w:p>
      <w:pPr>
        <w:spacing w:line="240" w:lineRule="atLeast"/>
        <w:ind w:firstLine="560" w:firstLineChars="200"/>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lang w:eastAsia="zh-CN"/>
        </w:rPr>
        <w:t>、</w:t>
      </w:r>
      <w:r>
        <w:rPr>
          <w:rFonts w:hint="eastAsia" w:ascii="宋体" w:hAnsi="宋体" w:cs="宋体"/>
          <w:sz w:val="28"/>
          <w:szCs w:val="28"/>
        </w:rPr>
        <w:t>工作内容：</w:t>
      </w:r>
      <w:r>
        <w:rPr>
          <w:rFonts w:hint="eastAsia" w:ascii="宋体" w:hAnsi="宋体" w:cs="宋体"/>
          <w:sz w:val="28"/>
          <w:szCs w:val="28"/>
          <w:lang w:eastAsia="zh-CN"/>
        </w:rPr>
        <w:t>新建防洪堤</w:t>
      </w:r>
      <w:r>
        <w:rPr>
          <w:rFonts w:hint="eastAsia" w:ascii="宋体" w:hAnsi="宋体" w:cs="宋体"/>
          <w:sz w:val="28"/>
          <w:szCs w:val="28"/>
        </w:rPr>
        <w:t>等。</w:t>
      </w:r>
    </w:p>
    <w:p>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二、编制依据</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1、福建省水利厅闽水建设[2021]2号文《福建省水利厅关于颁布&lt;福建省水利水电工程设计概（估）算编制规定&gt;等造价文件的通知》。</w:t>
      </w:r>
    </w:p>
    <w:p>
      <w:pPr>
        <w:spacing w:line="240" w:lineRule="atLeast"/>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2、</w:t>
      </w:r>
      <w:r>
        <w:rPr>
          <w:rFonts w:hint="eastAsia" w:ascii="宋体" w:hAnsi="宋体" w:cs="宋体"/>
          <w:sz w:val="28"/>
          <w:szCs w:val="28"/>
        </w:rPr>
        <w:t>闽江干流防洪提升工程(三明段</w:t>
      </w:r>
      <w:r>
        <w:rPr>
          <w:rFonts w:hint="eastAsia" w:ascii="宋体" w:hAnsi="宋体" w:cs="宋体"/>
          <w:sz w:val="28"/>
          <w:szCs w:val="28"/>
          <w:lang w:eastAsia="zh-CN"/>
        </w:rPr>
        <w:t>）</w:t>
      </w:r>
      <w:r>
        <w:rPr>
          <w:rFonts w:hint="eastAsia" w:ascii="宋体" w:hAnsi="宋体" w:cs="宋体"/>
          <w:sz w:val="28"/>
          <w:szCs w:val="28"/>
        </w:rPr>
        <w:t>永安市</w:t>
      </w:r>
      <w:r>
        <w:rPr>
          <w:rFonts w:hint="eastAsia" w:ascii="宋体" w:hAnsi="宋体" w:cs="宋体"/>
          <w:sz w:val="28"/>
          <w:szCs w:val="28"/>
          <w:lang w:val="en-US" w:eastAsia="zh-CN"/>
        </w:rPr>
        <w:t>霞鹤段、贡川上游段、贡川下游段、西洋A段图纸；</w:t>
      </w:r>
    </w:p>
    <w:p>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三、定额依据</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1、依据福建省水利厅闽水建设[2021]2号文颁布的《福建省水利水电工程设计概（估）算编制规定（工程部分）》、《福建省水利水电建筑工程预算定额》、《福建省水利水电设备安装工程预算定额》、《福建省水利水电工程施工机械台班费定额》。</w:t>
      </w:r>
    </w:p>
    <w:p>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四、基础单价</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1、人工预算单价：按“编制规定”计取，其中技工120元/工日，普工85元/工日；</w:t>
      </w:r>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textAlignment w:val="auto"/>
        <w:rPr>
          <w:rFonts w:hint="eastAsia" w:ascii="宋体" w:hAnsi="宋体" w:cs="宋体"/>
          <w:sz w:val="28"/>
          <w:szCs w:val="28"/>
          <w:lang w:eastAsia="zh-CN"/>
        </w:rPr>
      </w:pPr>
      <w:r>
        <w:rPr>
          <w:rFonts w:hint="eastAsia" w:ascii="宋体" w:hAnsi="宋体" w:cs="宋体"/>
          <w:sz w:val="28"/>
          <w:szCs w:val="28"/>
        </w:rPr>
        <w:t>2、材料预算单价：</w:t>
      </w:r>
      <w:r>
        <w:rPr>
          <w:rFonts w:hint="eastAsia" w:ascii="宋体" w:hAnsi="宋体" w:cs="宋体"/>
          <w:sz w:val="28"/>
          <w:szCs w:val="28"/>
          <w:lang w:eastAsia="zh-CN"/>
        </w:rPr>
        <w:t>采用</w:t>
      </w:r>
      <w:r>
        <w:rPr>
          <w:rFonts w:hint="eastAsia" w:ascii="宋体" w:hAnsi="宋体" w:cs="宋体"/>
          <w:sz w:val="28"/>
          <w:szCs w:val="28"/>
        </w:rPr>
        <w:t>《</w:t>
      </w:r>
      <w:r>
        <w:rPr>
          <w:rFonts w:hint="eastAsia" w:ascii="宋体" w:hAnsi="宋体" w:cs="宋体"/>
          <w:sz w:val="28"/>
          <w:szCs w:val="28"/>
          <w:lang w:eastAsia="zh-CN"/>
        </w:rPr>
        <w:t>三明永安县</w:t>
      </w:r>
      <w:r>
        <w:rPr>
          <w:rFonts w:hint="eastAsia" w:ascii="宋体" w:hAnsi="宋体" w:cs="宋体"/>
          <w:sz w:val="28"/>
          <w:szCs w:val="28"/>
          <w:lang w:val="en-US" w:eastAsia="zh-CN"/>
        </w:rPr>
        <w:t>2024年3月</w:t>
      </w:r>
      <w:r>
        <w:rPr>
          <w:rFonts w:hint="eastAsia" w:ascii="宋体" w:hAnsi="宋体" w:cs="宋体"/>
          <w:sz w:val="28"/>
          <w:szCs w:val="28"/>
        </w:rPr>
        <w:t>》信息价</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textAlignment w:val="auto"/>
        <w:rPr>
          <w:rFonts w:hint="eastAsia" w:ascii="宋体" w:hAnsi="宋体" w:cs="宋体"/>
          <w:sz w:val="28"/>
          <w:szCs w:val="28"/>
          <w:lang w:eastAsia="zh-CN"/>
        </w:rPr>
      </w:pPr>
      <w:r>
        <w:rPr>
          <w:rFonts w:hint="eastAsia" w:ascii="宋体" w:hAnsi="宋体" w:cs="宋体"/>
          <w:sz w:val="28"/>
          <w:szCs w:val="28"/>
          <w:lang w:val="en-US" w:eastAsia="zh-CN"/>
        </w:rPr>
        <w:t>3、</w:t>
      </w:r>
      <w:r>
        <w:rPr>
          <w:rFonts w:hint="eastAsia" w:ascii="宋体" w:hAnsi="宋体" w:cs="宋体"/>
          <w:sz w:val="28"/>
          <w:szCs w:val="28"/>
          <w:lang w:eastAsia="zh-CN"/>
        </w:rPr>
        <w:t>主要材料预算价格超过编制规定的主要材料基价时，按基价计入基本直接费并计取费用，材料预算价与基价的差值计入材料补差，材料补差列入工程单价，仅计取税金。</w:t>
      </w:r>
    </w:p>
    <w:p>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五、费率取用标准</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1、按照福建省水利厅闽水建设[2021]2号文《福建省水利厅关于颁布&lt;福建省水利水电工程设计概（估）算编制规定&gt;等造价文件的通知》的有关规定计算；</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2、其他直接费：按直接工程费的3.15%计算；</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3、间接费费率：土方明挖工程按直接费的10.5%，石方工程按直接费的12.5%，土石填筑工程按直接费的9%，模板工程按直接费的8%，混凝土浇筑工程按直接费的12.5%，</w:t>
      </w:r>
      <w:r>
        <w:rPr>
          <w:rFonts w:hint="eastAsia" w:ascii="宋体" w:hAnsi="宋体" w:cs="宋体"/>
          <w:sz w:val="28"/>
          <w:szCs w:val="28"/>
          <w:lang w:eastAsia="zh-CN"/>
        </w:rPr>
        <w:t>钢筋制安工程按直接费的</w:t>
      </w:r>
      <w:r>
        <w:rPr>
          <w:rFonts w:hint="eastAsia" w:ascii="宋体" w:hAnsi="宋体" w:cs="宋体"/>
          <w:sz w:val="28"/>
          <w:szCs w:val="28"/>
          <w:lang w:val="en-US" w:eastAsia="zh-CN"/>
        </w:rPr>
        <w:t>6%，</w:t>
      </w:r>
      <w:r>
        <w:rPr>
          <w:rFonts w:hint="eastAsia" w:ascii="宋体" w:hAnsi="宋体" w:cs="宋体"/>
          <w:sz w:val="28"/>
          <w:szCs w:val="28"/>
        </w:rPr>
        <w:t>钻孔灌浆及锚固工程按直接费的10</w:t>
      </w:r>
      <w:r>
        <w:rPr>
          <w:rFonts w:hint="eastAsia" w:ascii="宋体" w:hAnsi="宋体" w:cs="宋体"/>
          <w:sz w:val="28"/>
          <w:szCs w:val="28"/>
          <w:lang w:val="en-US" w:eastAsia="zh-CN"/>
        </w:rPr>
        <w:t>.5</w:t>
      </w:r>
      <w:r>
        <w:rPr>
          <w:rFonts w:hint="eastAsia" w:ascii="宋体" w:hAnsi="宋体" w:cs="宋体"/>
          <w:sz w:val="28"/>
          <w:szCs w:val="28"/>
        </w:rPr>
        <w:t>%，</w:t>
      </w:r>
      <w:r>
        <w:rPr>
          <w:rFonts w:hint="eastAsia" w:ascii="宋体" w:hAnsi="宋体" w:cs="宋体"/>
          <w:sz w:val="28"/>
          <w:szCs w:val="28"/>
          <w:lang w:eastAsia="zh-CN"/>
        </w:rPr>
        <w:t>其他工程按直接费的</w:t>
      </w:r>
      <w:r>
        <w:rPr>
          <w:rFonts w:hint="eastAsia" w:ascii="宋体" w:hAnsi="宋体" w:cs="宋体"/>
          <w:sz w:val="28"/>
          <w:szCs w:val="28"/>
          <w:lang w:val="en-US" w:eastAsia="zh-CN"/>
        </w:rPr>
        <w:t>6%，</w:t>
      </w:r>
      <w:r>
        <w:rPr>
          <w:rFonts w:hint="eastAsia" w:ascii="宋体" w:hAnsi="宋体" w:cs="宋体"/>
          <w:sz w:val="28"/>
          <w:szCs w:val="28"/>
        </w:rPr>
        <w:t>安装</w:t>
      </w:r>
      <w:r>
        <w:rPr>
          <w:rFonts w:hint="eastAsia" w:ascii="宋体" w:hAnsi="宋体" w:cs="宋体"/>
          <w:sz w:val="28"/>
          <w:szCs w:val="28"/>
          <w:lang w:eastAsia="zh-CN"/>
        </w:rPr>
        <w:t>工程</w:t>
      </w:r>
      <w:r>
        <w:rPr>
          <w:rFonts w:hint="eastAsia" w:ascii="宋体" w:hAnsi="宋体" w:cs="宋体"/>
          <w:sz w:val="28"/>
          <w:szCs w:val="28"/>
        </w:rPr>
        <w:t>按人工费的55%</w:t>
      </w:r>
      <w:r>
        <w:rPr>
          <w:rFonts w:hint="eastAsia" w:ascii="宋体" w:hAnsi="宋体" w:cs="宋体"/>
          <w:sz w:val="28"/>
          <w:szCs w:val="28"/>
          <w:lang w:eastAsia="zh-CN"/>
        </w:rPr>
        <w:t>，管道安装工程按人工费的</w:t>
      </w:r>
      <w:r>
        <w:rPr>
          <w:rFonts w:hint="eastAsia" w:ascii="宋体" w:hAnsi="宋体" w:cs="宋体"/>
          <w:sz w:val="28"/>
          <w:szCs w:val="28"/>
          <w:lang w:val="en-US" w:eastAsia="zh-CN"/>
        </w:rPr>
        <w:t>70%</w:t>
      </w:r>
      <w:r>
        <w:rPr>
          <w:rFonts w:hint="eastAsia" w:ascii="宋体" w:hAnsi="宋体" w:cs="宋体"/>
          <w:sz w:val="28"/>
          <w:szCs w:val="28"/>
        </w:rPr>
        <w:t>；</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4、利润率：按直接费和间接费之和的7％计算；</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5、税费：为直接费、间接费、利润、主材价差、未计价装置性材料费之和的9%计算；</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6、施工房屋建筑工程：按一至四部分和第五部分施工导流工程的建安工作量之和的</w:t>
      </w:r>
      <w:r>
        <w:rPr>
          <w:rFonts w:hint="eastAsia" w:ascii="宋体" w:hAnsi="宋体" w:cs="宋体"/>
          <w:sz w:val="28"/>
          <w:szCs w:val="28"/>
          <w:lang w:val="en-US" w:eastAsia="zh-CN"/>
        </w:rPr>
        <w:t>1</w:t>
      </w:r>
      <w:r>
        <w:rPr>
          <w:rFonts w:hint="eastAsia" w:ascii="宋体" w:hAnsi="宋体" w:cs="宋体"/>
          <w:sz w:val="28"/>
          <w:szCs w:val="28"/>
        </w:rPr>
        <w:t>%计算；</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7、其他临时工程：按一至五部分建安工作量(不包括其他施工临时工程)之和的2%计算；</w:t>
      </w:r>
    </w:p>
    <w:p>
      <w:pPr>
        <w:spacing w:line="240" w:lineRule="atLeast"/>
        <w:ind w:firstLine="560" w:firstLineChars="200"/>
        <w:rPr>
          <w:rFonts w:hint="eastAsia" w:ascii="宋体" w:hAnsi="宋体" w:cs="宋体"/>
          <w:sz w:val="28"/>
          <w:szCs w:val="28"/>
        </w:rPr>
      </w:pPr>
      <w:r>
        <w:rPr>
          <w:rFonts w:hint="eastAsia" w:ascii="宋体" w:hAnsi="宋体" w:cs="宋体"/>
          <w:sz w:val="28"/>
          <w:szCs w:val="28"/>
        </w:rPr>
        <w:t>8、安全生产措施费按第一部分至第四部分与第五部分的导流工程和施工交通工程之和的2</w:t>
      </w:r>
      <w:r>
        <w:rPr>
          <w:rFonts w:hint="eastAsia" w:ascii="宋体" w:hAnsi="宋体" w:cs="宋体"/>
          <w:sz w:val="28"/>
          <w:szCs w:val="28"/>
          <w:lang w:val="en-US" w:eastAsia="zh-CN"/>
        </w:rPr>
        <w:t>.5</w:t>
      </w:r>
      <w:r>
        <w:rPr>
          <w:rFonts w:hint="eastAsia" w:ascii="宋体" w:hAnsi="宋体" w:cs="宋体"/>
          <w:sz w:val="28"/>
          <w:szCs w:val="28"/>
        </w:rPr>
        <w:t>%计算；</w:t>
      </w:r>
    </w:p>
    <w:p>
      <w:pPr>
        <w:spacing w:line="240" w:lineRule="atLeast"/>
        <w:ind w:firstLine="560" w:firstLineChars="200"/>
        <w:rPr>
          <w:rFonts w:hint="eastAsia" w:ascii="宋体" w:hAnsi="宋体" w:cs="宋体"/>
          <w:sz w:val="28"/>
          <w:szCs w:val="28"/>
        </w:rPr>
      </w:pPr>
      <w:r>
        <w:rPr>
          <w:rFonts w:hint="eastAsia" w:ascii="宋体" w:hAnsi="宋体" w:cs="宋体"/>
          <w:sz w:val="28"/>
          <w:szCs w:val="28"/>
          <w:lang w:val="en-US" w:eastAsia="zh-CN"/>
        </w:rPr>
        <w:t>9、暂列金按第一部分至第五部分之和的3%计算。</w:t>
      </w:r>
    </w:p>
    <w:p>
      <w:pPr>
        <w:pStyle w:val="2"/>
        <w:rPr>
          <w:rFonts w:hint="eastAsia"/>
        </w:rPr>
      </w:pPr>
    </w:p>
    <w:p>
      <w:pPr>
        <w:spacing w:line="240" w:lineRule="atLeast"/>
        <w:ind w:firstLine="562" w:firstLineChars="200"/>
        <w:rPr>
          <w:rFonts w:hint="eastAsia" w:ascii="宋体" w:hAnsi="宋体" w:cs="宋体"/>
          <w:b/>
          <w:bCs/>
          <w:sz w:val="28"/>
          <w:szCs w:val="28"/>
        </w:rPr>
      </w:pPr>
      <w:r>
        <w:rPr>
          <w:rFonts w:hint="eastAsia" w:ascii="宋体" w:hAnsi="宋体" w:cs="宋体"/>
          <w:b/>
          <w:bCs/>
          <w:sz w:val="28"/>
          <w:szCs w:val="28"/>
        </w:rPr>
        <w:t>六、其他说明</w:t>
      </w:r>
    </w:p>
    <w:p>
      <w:pPr>
        <w:spacing w:line="240" w:lineRule="atLeast"/>
        <w:ind w:firstLine="560" w:firstLineChars="200"/>
        <w:rPr>
          <w:rFonts w:hint="default" w:ascii="宋体" w:hAnsi="宋体" w:cs="宋体"/>
          <w:sz w:val="28"/>
          <w:szCs w:val="28"/>
          <w:lang w:val="en-US" w:eastAsia="zh-CN"/>
        </w:rPr>
      </w:pPr>
      <w:bookmarkStart w:id="0" w:name="_GoBack"/>
      <w:bookmarkEnd w:id="0"/>
    </w:p>
    <w:sectPr>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ZTE2YzZjMzg1MzNhNDRmYzkyOThmNjdmOGVkOWMifQ=="/>
  </w:docVars>
  <w:rsids>
    <w:rsidRoot w:val="724E75D3"/>
    <w:rsid w:val="00250D43"/>
    <w:rsid w:val="0043112E"/>
    <w:rsid w:val="0063057A"/>
    <w:rsid w:val="006D18AB"/>
    <w:rsid w:val="00701DA4"/>
    <w:rsid w:val="00884B65"/>
    <w:rsid w:val="00E11E24"/>
    <w:rsid w:val="00FF2120"/>
    <w:rsid w:val="01E8499F"/>
    <w:rsid w:val="03013A9B"/>
    <w:rsid w:val="0318582F"/>
    <w:rsid w:val="06053772"/>
    <w:rsid w:val="06BB38FE"/>
    <w:rsid w:val="08964762"/>
    <w:rsid w:val="08B12B4F"/>
    <w:rsid w:val="0A752F16"/>
    <w:rsid w:val="0B7D0F07"/>
    <w:rsid w:val="0C400D8C"/>
    <w:rsid w:val="0CEA7B42"/>
    <w:rsid w:val="0CFD0215"/>
    <w:rsid w:val="0DC03929"/>
    <w:rsid w:val="0DCC4C6F"/>
    <w:rsid w:val="0E2B2F38"/>
    <w:rsid w:val="0E9A5335"/>
    <w:rsid w:val="10453DAC"/>
    <w:rsid w:val="16F829DE"/>
    <w:rsid w:val="17A47085"/>
    <w:rsid w:val="17B105ED"/>
    <w:rsid w:val="19A40602"/>
    <w:rsid w:val="19BA0E54"/>
    <w:rsid w:val="1A3008B9"/>
    <w:rsid w:val="1A4231C6"/>
    <w:rsid w:val="1B642891"/>
    <w:rsid w:val="1B6B576A"/>
    <w:rsid w:val="20AC2BCE"/>
    <w:rsid w:val="212B7169"/>
    <w:rsid w:val="215A451A"/>
    <w:rsid w:val="217978E6"/>
    <w:rsid w:val="21816468"/>
    <w:rsid w:val="21B75E11"/>
    <w:rsid w:val="26BC3CEC"/>
    <w:rsid w:val="276867EE"/>
    <w:rsid w:val="280378BB"/>
    <w:rsid w:val="29746395"/>
    <w:rsid w:val="29A13CD8"/>
    <w:rsid w:val="29B518FD"/>
    <w:rsid w:val="2C30060C"/>
    <w:rsid w:val="2F3B574D"/>
    <w:rsid w:val="317B686C"/>
    <w:rsid w:val="323111B0"/>
    <w:rsid w:val="32B32578"/>
    <w:rsid w:val="33C90869"/>
    <w:rsid w:val="348F6C18"/>
    <w:rsid w:val="35290CA1"/>
    <w:rsid w:val="358F1B65"/>
    <w:rsid w:val="35F56240"/>
    <w:rsid w:val="366E7440"/>
    <w:rsid w:val="37426E0F"/>
    <w:rsid w:val="38BE375D"/>
    <w:rsid w:val="38C617BB"/>
    <w:rsid w:val="3AF477C1"/>
    <w:rsid w:val="3C4C77E5"/>
    <w:rsid w:val="3EE500D3"/>
    <w:rsid w:val="3F856354"/>
    <w:rsid w:val="40BD1453"/>
    <w:rsid w:val="42B07FE6"/>
    <w:rsid w:val="44070E9D"/>
    <w:rsid w:val="44427299"/>
    <w:rsid w:val="45A92BA0"/>
    <w:rsid w:val="4707067C"/>
    <w:rsid w:val="4839282C"/>
    <w:rsid w:val="496E1A81"/>
    <w:rsid w:val="498773D2"/>
    <w:rsid w:val="49D60BBC"/>
    <w:rsid w:val="4D9A3D13"/>
    <w:rsid w:val="4FE2417D"/>
    <w:rsid w:val="53254981"/>
    <w:rsid w:val="54F80387"/>
    <w:rsid w:val="55BC1382"/>
    <w:rsid w:val="560F5FBE"/>
    <w:rsid w:val="56195BBB"/>
    <w:rsid w:val="5674474A"/>
    <w:rsid w:val="5AEB0ECA"/>
    <w:rsid w:val="5BA71E50"/>
    <w:rsid w:val="5BBD7E86"/>
    <w:rsid w:val="5D0D0A83"/>
    <w:rsid w:val="5DCD4B64"/>
    <w:rsid w:val="5E4B07FC"/>
    <w:rsid w:val="5E6D3EF1"/>
    <w:rsid w:val="5F1359D9"/>
    <w:rsid w:val="5F856F40"/>
    <w:rsid w:val="60F11A9E"/>
    <w:rsid w:val="61DF6788"/>
    <w:rsid w:val="63256888"/>
    <w:rsid w:val="6479094A"/>
    <w:rsid w:val="654723ED"/>
    <w:rsid w:val="664D59C9"/>
    <w:rsid w:val="67E97832"/>
    <w:rsid w:val="69293616"/>
    <w:rsid w:val="697D65C5"/>
    <w:rsid w:val="697F4C5E"/>
    <w:rsid w:val="6A996BAC"/>
    <w:rsid w:val="6B8F787A"/>
    <w:rsid w:val="6BD67979"/>
    <w:rsid w:val="6DD469CF"/>
    <w:rsid w:val="6E510020"/>
    <w:rsid w:val="6FEE1A47"/>
    <w:rsid w:val="71277E10"/>
    <w:rsid w:val="71E844BE"/>
    <w:rsid w:val="724E75D3"/>
    <w:rsid w:val="72FA2A34"/>
    <w:rsid w:val="72FC21C7"/>
    <w:rsid w:val="73863114"/>
    <w:rsid w:val="74906B7C"/>
    <w:rsid w:val="763A40E1"/>
    <w:rsid w:val="76D417EE"/>
    <w:rsid w:val="771B7132"/>
    <w:rsid w:val="777B552E"/>
    <w:rsid w:val="7870237F"/>
    <w:rsid w:val="78F43933"/>
    <w:rsid w:val="7AE23D2A"/>
    <w:rsid w:val="7B255F53"/>
    <w:rsid w:val="7C2819AB"/>
    <w:rsid w:val="7E2011CD"/>
    <w:rsid w:val="7E301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autoRedefine/>
    <w:qFormat/>
    <w:uiPriority w:val="0"/>
    <w:rPr>
      <w:sz w:val="18"/>
      <w:szCs w:val="18"/>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kern w:val="0"/>
      <w:sz w:val="24"/>
    </w:rPr>
  </w:style>
  <w:style w:type="character" w:customStyle="1" w:styleId="8">
    <w:name w:val="页眉 字符"/>
    <w:basedOn w:val="7"/>
    <w:link w:val="4"/>
    <w:autoRedefine/>
    <w:qFormat/>
    <w:uiPriority w:val="0"/>
    <w:rPr>
      <w:rFonts w:ascii="Calibri" w:hAnsi="Calibri"/>
      <w:kern w:val="2"/>
      <w:sz w:val="18"/>
      <w:szCs w:val="18"/>
    </w:rPr>
  </w:style>
  <w:style w:type="character" w:customStyle="1" w:styleId="9">
    <w:name w:val="页脚 字符"/>
    <w:basedOn w:val="7"/>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1595</Words>
  <Characters>1695</Characters>
  <Lines>9</Lines>
  <Paragraphs>2</Paragraphs>
  <TotalTime>11</TotalTime>
  <ScaleCrop>false</ScaleCrop>
  <LinksUpToDate>false</LinksUpToDate>
  <CharactersWithSpaces>1699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2019-08-16T04:37:00Z</dcterms:created>
  <dc:creator>admin</dc:creator>
  <cp:lastModifiedBy>陈光煜</cp:lastModifiedBy>
  <dcterms:modified xsi:type="dcterms:W3CDTF">2024-05-28T02:44:40Z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A884DE6AEA31456FA8146DAD209E10B7</vt:lpwstr>
  </property>
</Properties>
</file>