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46" w:rsidRPr="00E60D53" w:rsidRDefault="00217D46" w:rsidP="00217D46">
      <w:pPr>
        <w:ind w:firstLine="405"/>
        <w:jc w:val="center"/>
        <w:rPr>
          <w:rFonts w:ascii="Times New Roman" w:eastAsia="Times New Roman" w:hAnsi="宋体" w:cs="宋体"/>
          <w:color w:val="0000FF"/>
          <w:sz w:val="44"/>
          <w:szCs w:val="44"/>
        </w:rPr>
      </w:pPr>
      <w:r w:rsidRPr="00E60D53">
        <w:rPr>
          <w:rFonts w:ascii="宋体" w:hAnsi="宋体" w:cs="宋体" w:hint="eastAsia"/>
          <w:color w:val="0000FF"/>
          <w:sz w:val="44"/>
          <w:szCs w:val="44"/>
        </w:rPr>
        <w:t>招标文件的其他资料</w:t>
      </w:r>
    </w:p>
    <w:p w:rsidR="00217D46" w:rsidRPr="00AB4969" w:rsidRDefault="00217D46" w:rsidP="00217D46">
      <w:pPr>
        <w:ind w:firstLine="405"/>
        <w:jc w:val="left"/>
        <w:rPr>
          <w:rFonts w:ascii="宋体" w:hAnsi="宋体" w:cs="宋体"/>
          <w:sz w:val="30"/>
          <w:szCs w:val="30"/>
        </w:rPr>
      </w:pPr>
      <w:proofErr w:type="spellStart"/>
      <w:r w:rsidRPr="00AB4969">
        <w:rPr>
          <w:rFonts w:ascii="宋体" w:eastAsia="Times New Roman" w:hAnsi="宋体" w:cs="宋体" w:hint="eastAsia"/>
          <w:color w:val="0000FF"/>
          <w:sz w:val="30"/>
          <w:szCs w:val="30"/>
        </w:rPr>
        <w:t>附件一</w:t>
      </w:r>
      <w:proofErr w:type="spellEnd"/>
      <w:r w:rsidRPr="00AB4969">
        <w:rPr>
          <w:rFonts w:ascii="宋体" w:hAnsi="宋体" w:cs="宋体" w:hint="eastAsia"/>
          <w:color w:val="0000FF"/>
          <w:sz w:val="30"/>
          <w:szCs w:val="30"/>
        </w:rPr>
        <w:t xml:space="preserve">             </w:t>
      </w:r>
      <w:proofErr w:type="spellStart"/>
      <w:r w:rsidRPr="00AB4969">
        <w:rPr>
          <w:rFonts w:ascii="宋体" w:eastAsia="Times New Roman" w:hAnsi="宋体" w:cs="宋体" w:hint="eastAsia"/>
          <w:b/>
          <w:bCs/>
          <w:color w:val="0000FF"/>
          <w:sz w:val="32"/>
          <w:szCs w:val="32"/>
        </w:rPr>
        <w:t>定标因素</w:t>
      </w:r>
      <w:proofErr w:type="spellEnd"/>
    </w:p>
    <w:tbl>
      <w:tblPr>
        <w:tblW w:w="9477"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7672"/>
        <w:gridCol w:w="755"/>
      </w:tblGrid>
      <w:tr w:rsidR="00217D46" w:rsidRPr="00AB4969" w:rsidTr="00EA18C1">
        <w:trPr>
          <w:trHeight w:val="461"/>
          <w:jc w:val="center"/>
        </w:trPr>
        <w:tc>
          <w:tcPr>
            <w:tcW w:w="1050" w:type="dxa"/>
            <w:vAlign w:val="center"/>
          </w:tcPr>
          <w:p w:rsidR="00217D46" w:rsidRPr="00AB4969" w:rsidRDefault="00217D46" w:rsidP="00EA18C1">
            <w:pPr>
              <w:widowControl/>
              <w:kinsoku w:val="0"/>
              <w:autoSpaceDE w:val="0"/>
              <w:autoSpaceDN w:val="0"/>
              <w:snapToGrid w:val="0"/>
              <w:spacing w:line="360" w:lineRule="auto"/>
              <w:jc w:val="center"/>
              <w:rPr>
                <w:rFonts w:ascii="Times New Roman" w:eastAsia="Times New Roman" w:hAnsi="Times New Roman"/>
                <w:color w:val="0000FF"/>
                <w:sz w:val="22"/>
              </w:rPr>
            </w:pPr>
            <w:r w:rsidRPr="00AB4969">
              <w:rPr>
                <w:rFonts w:ascii="宋体" w:hAnsi="宋体" w:cs="宋体" w:hint="eastAsia"/>
                <w:color w:val="0000FF"/>
                <w:sz w:val="22"/>
              </w:rPr>
              <w:t>定标规则</w:t>
            </w:r>
          </w:p>
        </w:tc>
        <w:tc>
          <w:tcPr>
            <w:tcW w:w="7672" w:type="dxa"/>
            <w:vAlign w:val="center"/>
          </w:tcPr>
          <w:p w:rsidR="00217D46" w:rsidRPr="00AB4969" w:rsidRDefault="00217D46" w:rsidP="00EA18C1">
            <w:pPr>
              <w:widowControl/>
              <w:kinsoku w:val="0"/>
              <w:autoSpaceDE w:val="0"/>
              <w:autoSpaceDN w:val="0"/>
              <w:snapToGrid w:val="0"/>
              <w:jc w:val="center"/>
              <w:rPr>
                <w:rFonts w:ascii="Times New Roman" w:eastAsia="Times New Roman" w:hAnsi="Times New Roman"/>
                <w:color w:val="0000FF"/>
                <w:sz w:val="22"/>
              </w:rPr>
            </w:pPr>
            <w:r w:rsidRPr="00AB4969">
              <w:rPr>
                <w:rFonts w:ascii="宋体" w:hAnsi="宋体" w:cs="宋体" w:hint="eastAsia"/>
                <w:color w:val="0000FF"/>
                <w:spacing w:val="3"/>
                <w:sz w:val="22"/>
              </w:rPr>
              <w:t>详细标准</w:t>
            </w:r>
          </w:p>
        </w:tc>
        <w:tc>
          <w:tcPr>
            <w:tcW w:w="755" w:type="dxa"/>
            <w:vAlign w:val="center"/>
          </w:tcPr>
          <w:p w:rsidR="00217D46" w:rsidRPr="00AB4969" w:rsidRDefault="00217D46" w:rsidP="00EA18C1">
            <w:pPr>
              <w:widowControl/>
              <w:kinsoku w:val="0"/>
              <w:autoSpaceDE w:val="0"/>
              <w:autoSpaceDN w:val="0"/>
              <w:snapToGrid w:val="0"/>
              <w:spacing w:line="360" w:lineRule="auto"/>
              <w:jc w:val="center"/>
              <w:rPr>
                <w:rFonts w:ascii="Times New Roman" w:eastAsia="Times New Roman" w:hAnsi="Times New Roman"/>
                <w:color w:val="0000FF"/>
                <w:sz w:val="22"/>
              </w:rPr>
            </w:pPr>
            <w:r w:rsidRPr="00AB4969">
              <w:rPr>
                <w:rFonts w:ascii="宋体" w:hAnsi="宋体" w:cs="宋体" w:hint="eastAsia"/>
                <w:color w:val="0000FF"/>
                <w:spacing w:val="5"/>
                <w:sz w:val="22"/>
              </w:rPr>
              <w:t>分值</w:t>
            </w:r>
          </w:p>
        </w:tc>
      </w:tr>
      <w:tr w:rsidR="00217D46" w:rsidRPr="00AB4969" w:rsidTr="00EA18C1">
        <w:trPr>
          <w:trHeight w:val="2015"/>
          <w:jc w:val="center"/>
        </w:trPr>
        <w:tc>
          <w:tcPr>
            <w:tcW w:w="1050" w:type="dxa"/>
            <w:tcBorders>
              <w:bottom w:val="nil"/>
            </w:tcBorders>
            <w:vAlign w:val="center"/>
          </w:tcPr>
          <w:p w:rsidR="00217D46" w:rsidRPr="00797365" w:rsidRDefault="00217D46" w:rsidP="00EA18C1">
            <w:pPr>
              <w:widowControl/>
              <w:jc w:val="center"/>
              <w:textAlignment w:val="center"/>
              <w:rPr>
                <w:rFonts w:ascii="Times New Roman" w:eastAsia="Times New Roman" w:hAnsi="Times New Roman"/>
                <w:color w:val="0000FF"/>
                <w:sz w:val="22"/>
              </w:rPr>
            </w:pPr>
            <w:r w:rsidRPr="00797365">
              <w:rPr>
                <w:rFonts w:ascii="宋体" w:hAnsi="宋体" w:cs="宋体" w:hint="eastAsia"/>
                <w:color w:val="0000FF"/>
                <w:sz w:val="22"/>
              </w:rPr>
              <w:t>价格因素</w:t>
            </w:r>
          </w:p>
        </w:tc>
        <w:tc>
          <w:tcPr>
            <w:tcW w:w="7672" w:type="dxa"/>
            <w:vAlign w:val="center"/>
          </w:tcPr>
          <w:p w:rsidR="00217D46" w:rsidRPr="00797365" w:rsidRDefault="00217D46" w:rsidP="00EA18C1">
            <w:pPr>
              <w:widowControl/>
              <w:jc w:val="left"/>
              <w:textAlignment w:val="center"/>
              <w:rPr>
                <w:rFonts w:ascii="Times New Roman" w:eastAsia="Times New Roman" w:hAnsi="Times New Roman"/>
                <w:color w:val="0000FF"/>
                <w:sz w:val="22"/>
              </w:rPr>
            </w:pPr>
            <w:r w:rsidRPr="00797365">
              <w:rPr>
                <w:rFonts w:ascii="宋体" w:hAnsi="宋体" w:cs="宋体" w:hint="eastAsia"/>
                <w:color w:val="0000FF"/>
                <w:sz w:val="22"/>
              </w:rPr>
              <w:t>根据定标候选人投标报价由低到高排序情况进行横向评议（若任一名出现多家并列的，视为同一名，下同）：</w:t>
            </w:r>
          </w:p>
          <w:p w:rsidR="00217D46" w:rsidRPr="00797365" w:rsidRDefault="00217D46" w:rsidP="00EA18C1">
            <w:pPr>
              <w:widowControl/>
              <w:snapToGrid w:val="0"/>
              <w:jc w:val="left"/>
              <w:textAlignment w:val="center"/>
              <w:rPr>
                <w:rFonts w:ascii="Times New Roman" w:eastAsia="Times New Roman" w:hAnsi="Times New Roman"/>
                <w:color w:val="0000FF"/>
                <w:sz w:val="22"/>
              </w:rPr>
            </w:pPr>
            <w:r w:rsidRPr="00797365">
              <w:rPr>
                <w:rFonts w:ascii="Times New Roman" w:eastAsia="Times New Roman" w:hAnsi="Times New Roman" w:hint="eastAsia"/>
                <w:color w:val="0000FF"/>
                <w:sz w:val="22"/>
              </w:rPr>
              <w:t>1.</w:t>
            </w:r>
            <w:r w:rsidRPr="00797365">
              <w:rPr>
                <w:rFonts w:ascii="宋体" w:hAnsi="宋体" w:cs="宋体" w:hint="eastAsia"/>
                <w:color w:val="0000FF"/>
                <w:sz w:val="22"/>
              </w:rPr>
              <w:t>第一名至第二名得</w:t>
            </w:r>
            <w:r w:rsidRPr="00797365">
              <w:rPr>
                <w:rFonts w:ascii="Times New Roman" w:eastAsia="Times New Roman" w:hAnsi="Times New Roman" w:hint="eastAsia"/>
                <w:color w:val="0000FF"/>
                <w:sz w:val="22"/>
              </w:rPr>
              <w:t>10</w:t>
            </w:r>
            <w:r w:rsidRPr="00797365">
              <w:rPr>
                <w:rFonts w:ascii="宋体" w:hAnsi="宋体" w:cs="宋体" w:hint="eastAsia"/>
                <w:color w:val="0000FF"/>
                <w:sz w:val="22"/>
              </w:rPr>
              <w:t>分；</w:t>
            </w:r>
            <w:r w:rsidRPr="00797365">
              <w:rPr>
                <w:rFonts w:ascii="Times New Roman" w:eastAsia="Times New Roman" w:hAnsi="Times New Roman" w:hint="eastAsia"/>
                <w:color w:val="0000FF"/>
                <w:sz w:val="22"/>
              </w:rPr>
              <w:br/>
              <w:t>2.</w:t>
            </w:r>
            <w:r w:rsidRPr="00797365">
              <w:rPr>
                <w:rFonts w:ascii="宋体" w:hAnsi="宋体" w:cs="宋体" w:hint="eastAsia"/>
                <w:color w:val="0000FF"/>
                <w:sz w:val="22"/>
              </w:rPr>
              <w:t>第三名至第四名得</w:t>
            </w:r>
            <w:r w:rsidRPr="00797365">
              <w:rPr>
                <w:rFonts w:ascii="Times New Roman" w:eastAsia="Times New Roman" w:hAnsi="Times New Roman" w:hint="eastAsia"/>
                <w:color w:val="0000FF"/>
                <w:sz w:val="22"/>
              </w:rPr>
              <w:t>9</w:t>
            </w:r>
            <w:r w:rsidRPr="00797365">
              <w:rPr>
                <w:rFonts w:ascii="宋体" w:hAnsi="宋体" w:cs="宋体" w:hint="eastAsia"/>
                <w:color w:val="0000FF"/>
                <w:sz w:val="22"/>
              </w:rPr>
              <w:t>分；</w:t>
            </w:r>
            <w:r w:rsidRPr="00797365">
              <w:rPr>
                <w:rFonts w:ascii="Times New Roman" w:eastAsia="Times New Roman" w:hAnsi="Times New Roman" w:hint="eastAsia"/>
                <w:color w:val="0000FF"/>
                <w:sz w:val="22"/>
              </w:rPr>
              <w:br/>
              <w:t>3.</w:t>
            </w:r>
            <w:r w:rsidRPr="00797365">
              <w:rPr>
                <w:rFonts w:ascii="宋体" w:hAnsi="宋体" w:cs="宋体" w:hint="eastAsia"/>
                <w:color w:val="0000FF"/>
                <w:sz w:val="22"/>
              </w:rPr>
              <w:t>第五名</w:t>
            </w:r>
            <w:r w:rsidRPr="00797365">
              <w:rPr>
                <w:rFonts w:ascii="Times New Roman" w:hAnsi="Times New Roman" w:hint="eastAsia"/>
                <w:color w:val="0000FF"/>
                <w:sz w:val="22"/>
              </w:rPr>
              <w:t>至第十名</w:t>
            </w:r>
            <w:r w:rsidRPr="00797365">
              <w:rPr>
                <w:rFonts w:ascii="宋体" w:hAnsi="宋体" w:cs="宋体" w:hint="eastAsia"/>
                <w:color w:val="0000FF"/>
                <w:sz w:val="22"/>
              </w:rPr>
              <w:t>得</w:t>
            </w:r>
            <w:r w:rsidRPr="00797365">
              <w:rPr>
                <w:rFonts w:ascii="Times New Roman" w:eastAsia="Times New Roman" w:hAnsi="Times New Roman" w:hint="eastAsia"/>
                <w:color w:val="0000FF"/>
                <w:sz w:val="22"/>
              </w:rPr>
              <w:t>8</w:t>
            </w:r>
            <w:r w:rsidRPr="00797365">
              <w:rPr>
                <w:rFonts w:ascii="宋体" w:hAnsi="宋体" w:cs="宋体" w:hint="eastAsia"/>
                <w:color w:val="0000FF"/>
                <w:sz w:val="22"/>
              </w:rPr>
              <w:t>分。</w:t>
            </w:r>
          </w:p>
          <w:p w:rsidR="00217D46" w:rsidRPr="00797365" w:rsidRDefault="00217D46" w:rsidP="00EA18C1">
            <w:pPr>
              <w:rPr>
                <w:rFonts w:ascii="Times New Roman" w:eastAsia="Times New Roman" w:hAnsi="Times New Roman"/>
                <w:color w:val="0000FF"/>
                <w:sz w:val="22"/>
              </w:rPr>
            </w:pPr>
            <w:r w:rsidRPr="00797365">
              <w:rPr>
                <w:rFonts w:ascii="宋体" w:hAnsi="宋体" w:cs="宋体" w:hint="eastAsia"/>
                <w:color w:val="0000FF"/>
                <w:sz w:val="22"/>
              </w:rPr>
              <w:t>本项满分</w:t>
            </w:r>
            <w:r w:rsidRPr="00797365">
              <w:rPr>
                <w:rFonts w:ascii="Times New Roman" w:eastAsia="Times New Roman" w:hAnsi="Times New Roman" w:hint="eastAsia"/>
                <w:color w:val="0000FF"/>
                <w:sz w:val="22"/>
              </w:rPr>
              <w:t>10</w:t>
            </w:r>
            <w:r w:rsidRPr="00797365">
              <w:rPr>
                <w:rFonts w:ascii="宋体" w:hAnsi="宋体" w:cs="宋体" w:hint="eastAsia"/>
                <w:color w:val="0000FF"/>
                <w:sz w:val="22"/>
              </w:rPr>
              <w:t>分。</w:t>
            </w:r>
          </w:p>
        </w:tc>
        <w:tc>
          <w:tcPr>
            <w:tcW w:w="755" w:type="dxa"/>
            <w:vAlign w:val="center"/>
          </w:tcPr>
          <w:p w:rsidR="00217D46" w:rsidRPr="00AB4969" w:rsidRDefault="00217D46" w:rsidP="00EA18C1">
            <w:pPr>
              <w:widowControl/>
              <w:kinsoku w:val="0"/>
              <w:autoSpaceDE w:val="0"/>
              <w:autoSpaceDN w:val="0"/>
              <w:snapToGrid w:val="0"/>
              <w:spacing w:line="360" w:lineRule="auto"/>
              <w:jc w:val="center"/>
              <w:rPr>
                <w:rFonts w:ascii="Times New Roman" w:eastAsia="Times New Roman" w:hAnsi="Times New Roman"/>
                <w:color w:val="0000FF"/>
                <w:sz w:val="22"/>
              </w:rPr>
            </w:pPr>
            <w:r w:rsidRPr="00AB4969">
              <w:rPr>
                <w:rFonts w:ascii="Times New Roman" w:eastAsia="Times New Roman" w:hAnsi="Times New Roman" w:hint="eastAsia"/>
                <w:color w:val="0000FF"/>
                <w:sz w:val="22"/>
              </w:rPr>
              <w:t>10</w:t>
            </w:r>
            <w:r w:rsidRPr="00AB4969">
              <w:rPr>
                <w:rFonts w:ascii="宋体" w:hAnsi="宋体" w:cs="宋体" w:hint="eastAsia"/>
                <w:color w:val="0000FF"/>
                <w:sz w:val="22"/>
              </w:rPr>
              <w:t>分</w:t>
            </w:r>
          </w:p>
        </w:tc>
      </w:tr>
      <w:tr w:rsidR="00217D46" w:rsidRPr="00E20F9B" w:rsidTr="00EA18C1">
        <w:trPr>
          <w:trHeight w:val="3553"/>
          <w:jc w:val="center"/>
        </w:trPr>
        <w:tc>
          <w:tcPr>
            <w:tcW w:w="1050" w:type="dxa"/>
            <w:tcBorders>
              <w:bottom w:val="single" w:sz="4" w:space="0" w:color="auto"/>
            </w:tcBorders>
            <w:vAlign w:val="center"/>
          </w:tcPr>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方案因素</w:t>
            </w:r>
          </w:p>
        </w:tc>
        <w:tc>
          <w:tcPr>
            <w:tcW w:w="7672" w:type="dxa"/>
            <w:tcBorders>
              <w:bottom w:val="single" w:sz="4" w:space="0" w:color="auto"/>
            </w:tcBorders>
            <w:vAlign w:val="center"/>
          </w:tcPr>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1、设计方案：在满足限额设计以及安全、绿色、节能、环保要求的前提下设计方案重点对功能、技术、经济和美观等进行评审。满足基本设计要求的得基本分10分，设计方案对功能、技术、经济和美观等进行优化的加0～5分。本项满分15分。</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2、施工方案：</w:t>
            </w:r>
            <w:r w:rsidRPr="00797365">
              <w:rPr>
                <w:rFonts w:ascii="宋体" w:hAnsi="宋体" w:cs="宋体" w:hint="eastAsia"/>
                <w:color w:val="0000FF"/>
                <w:sz w:val="22"/>
              </w:rPr>
              <w:fldChar w:fldCharType="begin"/>
            </w:r>
            <w:r w:rsidRPr="00797365">
              <w:rPr>
                <w:rFonts w:ascii="宋体" w:hAnsi="宋体" w:cs="宋体" w:hint="eastAsia"/>
                <w:color w:val="0000FF"/>
                <w:sz w:val="22"/>
              </w:rPr>
              <w:instrText xml:space="preserve"> = 1 \* GB3 \* MERGEFORMAT </w:instrText>
            </w:r>
            <w:r w:rsidRPr="00797365">
              <w:rPr>
                <w:rFonts w:ascii="宋体" w:hAnsi="宋体" w:cs="宋体" w:hint="eastAsia"/>
                <w:color w:val="0000FF"/>
                <w:sz w:val="22"/>
              </w:rPr>
              <w:fldChar w:fldCharType="separate"/>
            </w:r>
            <w:r w:rsidRPr="00797365">
              <w:rPr>
                <w:rFonts w:ascii="宋体" w:hAnsi="宋体" w:cs="宋体" w:hint="eastAsia"/>
                <w:color w:val="0000FF"/>
                <w:sz w:val="22"/>
              </w:rPr>
              <w:t>①</w:t>
            </w:r>
            <w:r w:rsidRPr="00797365">
              <w:rPr>
                <w:rFonts w:ascii="宋体" w:hAnsi="宋体" w:cs="宋体" w:hint="eastAsia"/>
                <w:color w:val="0000FF"/>
                <w:sz w:val="22"/>
              </w:rPr>
              <w:fldChar w:fldCharType="end"/>
            </w:r>
            <w:r w:rsidRPr="00797365">
              <w:rPr>
                <w:rFonts w:ascii="宋体" w:hAnsi="宋体" w:cs="宋体" w:hint="eastAsia"/>
                <w:color w:val="0000FF"/>
                <w:sz w:val="22"/>
              </w:rPr>
              <w:t>有提供本项目施工程序、方法。②有提供本项目施工质量、安全、文明、</w:t>
            </w:r>
            <w:proofErr w:type="gramStart"/>
            <w:r w:rsidRPr="00797365">
              <w:rPr>
                <w:rFonts w:ascii="宋体" w:hAnsi="宋体" w:cs="宋体" w:hint="eastAsia"/>
                <w:color w:val="0000FF"/>
                <w:sz w:val="22"/>
              </w:rPr>
              <w:t>环保保障</w:t>
            </w:r>
            <w:proofErr w:type="gramEnd"/>
            <w:r w:rsidRPr="00797365">
              <w:rPr>
                <w:rFonts w:ascii="宋体" w:hAnsi="宋体" w:cs="宋体" w:hint="eastAsia"/>
                <w:color w:val="0000FF"/>
                <w:sz w:val="22"/>
              </w:rPr>
              <w:t>措施。③有提供本项目施工进度计划及保障措施。④有提供本项目施工工作重点、难点和对策。有提供本项目合理化建议。满足基本设计要求的得基本分10分，由定标委员会进行横向比较，在0-5分酌情加分，本项满分15分。</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说明：定标委员会</w:t>
            </w:r>
            <w:proofErr w:type="gramStart"/>
            <w:r w:rsidRPr="00797365">
              <w:rPr>
                <w:rFonts w:ascii="宋体" w:hAnsi="宋体" w:cs="宋体" w:hint="eastAsia"/>
                <w:color w:val="0000FF"/>
                <w:sz w:val="22"/>
              </w:rPr>
              <w:t>对某子项目</w:t>
            </w:r>
            <w:proofErr w:type="gramEnd"/>
            <w:r w:rsidRPr="00797365">
              <w:rPr>
                <w:rFonts w:ascii="宋体" w:hAnsi="宋体" w:cs="宋体" w:hint="eastAsia"/>
                <w:color w:val="0000FF"/>
                <w:sz w:val="22"/>
              </w:rPr>
              <w:t>要点评分低于该子项目满分70%或高于90%的，应详细阐述具体理由（字数不少于50字）。</w:t>
            </w:r>
          </w:p>
        </w:tc>
        <w:tc>
          <w:tcPr>
            <w:tcW w:w="755" w:type="dxa"/>
            <w:tcBorders>
              <w:bottom w:val="single" w:sz="4" w:space="0" w:color="auto"/>
            </w:tcBorders>
            <w:vAlign w:val="center"/>
          </w:tcPr>
          <w:p w:rsidR="00217D46" w:rsidRPr="006F18E5" w:rsidRDefault="00217D46" w:rsidP="00EA18C1">
            <w:pPr>
              <w:widowControl/>
              <w:snapToGrid w:val="0"/>
              <w:jc w:val="center"/>
              <w:textAlignment w:val="center"/>
              <w:rPr>
                <w:rFonts w:ascii="宋体" w:hAnsi="宋体" w:cs="宋体"/>
                <w:color w:val="0000FF"/>
                <w:sz w:val="22"/>
                <w:highlight w:val="green"/>
              </w:rPr>
            </w:pPr>
            <w:r w:rsidRPr="00797365">
              <w:rPr>
                <w:rFonts w:ascii="宋体" w:hAnsi="宋体" w:cs="宋体" w:hint="eastAsia"/>
                <w:color w:val="0000FF"/>
                <w:sz w:val="22"/>
              </w:rPr>
              <w:t>30分</w:t>
            </w:r>
          </w:p>
        </w:tc>
      </w:tr>
      <w:tr w:rsidR="00217D46" w:rsidRPr="00E20F9B" w:rsidTr="00EA18C1">
        <w:trPr>
          <w:trHeight w:val="4304"/>
          <w:jc w:val="center"/>
        </w:trPr>
        <w:tc>
          <w:tcPr>
            <w:tcW w:w="1050" w:type="dxa"/>
            <w:tcBorders>
              <w:top w:val="single" w:sz="4" w:space="0" w:color="auto"/>
              <w:bottom w:val="single" w:sz="4" w:space="0" w:color="auto"/>
              <w:right w:val="single" w:sz="4" w:space="0" w:color="auto"/>
            </w:tcBorders>
            <w:vAlign w:val="center"/>
          </w:tcPr>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资信因素</w:t>
            </w:r>
          </w:p>
        </w:tc>
        <w:tc>
          <w:tcPr>
            <w:tcW w:w="7672" w:type="dxa"/>
            <w:tcBorders>
              <w:top w:val="single" w:sz="4" w:space="0" w:color="auto"/>
              <w:left w:val="single" w:sz="4" w:space="0" w:color="auto"/>
              <w:bottom w:val="single" w:sz="4" w:space="0" w:color="auto"/>
              <w:right w:val="single" w:sz="4" w:space="0" w:color="auto"/>
            </w:tcBorders>
            <w:vAlign w:val="center"/>
          </w:tcPr>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1.省级及以上优秀工程勘察设计奖（适用于要求投标人省级及以上优秀工程勘察设计奖）：独立投标人以第一设计方或联合体设计方设计的工程，自本招标项目在法定媒介发布招标公告之日（或投标邀请书发出之日，下同）的前五年内（含在法定媒介发布招标公告之日）获得的省级及以上优秀工程勘察设计奖，</w:t>
            </w:r>
            <w:bookmarkStart w:id="0" w:name="OLE_LINK140"/>
            <w:r w:rsidRPr="00797365">
              <w:rPr>
                <w:rFonts w:ascii="宋体" w:hAnsi="宋体" w:cs="宋体" w:hint="eastAsia"/>
                <w:color w:val="0000FF"/>
                <w:sz w:val="22"/>
              </w:rPr>
              <w:t>提供一项得10分</w:t>
            </w:r>
            <w:bookmarkEnd w:id="0"/>
            <w:r w:rsidRPr="00797365">
              <w:rPr>
                <w:rFonts w:ascii="宋体" w:hAnsi="宋体" w:cs="宋体" w:hint="eastAsia"/>
                <w:color w:val="0000FF"/>
                <w:sz w:val="22"/>
              </w:rPr>
              <w:t>，总分10分。</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注：</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（1）投标人应提交相关业绩的合同</w:t>
            </w:r>
            <w:bookmarkStart w:id="1" w:name="_GoBack"/>
            <w:bookmarkEnd w:id="1"/>
            <w:r w:rsidRPr="00797365">
              <w:rPr>
                <w:rFonts w:ascii="宋体" w:hAnsi="宋体" w:cs="宋体" w:hint="eastAsia"/>
                <w:color w:val="0000FF"/>
                <w:sz w:val="22"/>
              </w:rPr>
              <w:t>、获奖文件等证明材料的扫描件，否则，其业绩不计。</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（2）合同、获奖文件上应能体现投标人名称，否则，其业绩不计。</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（3）省级及以上优秀工程勘察设计奖是指：</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省级勘察设计行业协会颁发的优秀工程勘察设计奖。</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（4）省级及以上优秀工程勘察设计奖的认定时间以获奖文件的印发时间为准。</w:t>
            </w:r>
          </w:p>
        </w:tc>
        <w:tc>
          <w:tcPr>
            <w:tcW w:w="755" w:type="dxa"/>
            <w:tcBorders>
              <w:top w:val="single" w:sz="4" w:space="0" w:color="auto"/>
              <w:left w:val="single" w:sz="4" w:space="0" w:color="auto"/>
              <w:bottom w:val="single" w:sz="4" w:space="0" w:color="auto"/>
            </w:tcBorders>
            <w:vAlign w:val="center"/>
          </w:tcPr>
          <w:p w:rsidR="00217D46" w:rsidRPr="00797365" w:rsidRDefault="00217D46" w:rsidP="00EA18C1">
            <w:pPr>
              <w:widowControl/>
              <w:snapToGrid w:val="0"/>
              <w:jc w:val="center"/>
              <w:textAlignment w:val="center"/>
              <w:rPr>
                <w:rFonts w:ascii="宋体" w:hAnsi="宋体" w:cs="宋体"/>
                <w:color w:val="0000FF"/>
                <w:sz w:val="22"/>
              </w:rPr>
            </w:pPr>
            <w:r w:rsidRPr="00797365">
              <w:rPr>
                <w:rFonts w:ascii="宋体" w:hAnsi="宋体" w:cs="宋体" w:hint="eastAsia"/>
                <w:color w:val="0000FF"/>
                <w:sz w:val="22"/>
              </w:rPr>
              <w:t>10分</w:t>
            </w:r>
          </w:p>
        </w:tc>
      </w:tr>
      <w:tr w:rsidR="00217D46" w:rsidRPr="00E20F9B" w:rsidTr="00EA18C1">
        <w:trPr>
          <w:trHeight w:val="2967"/>
          <w:jc w:val="center"/>
        </w:trPr>
        <w:tc>
          <w:tcPr>
            <w:tcW w:w="1050" w:type="dxa"/>
            <w:tcBorders>
              <w:top w:val="single" w:sz="4" w:space="0" w:color="auto"/>
              <w:bottom w:val="single" w:sz="4" w:space="0" w:color="auto"/>
            </w:tcBorders>
            <w:vAlign w:val="center"/>
          </w:tcPr>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lastRenderedPageBreak/>
              <w:t>团队因素</w:t>
            </w:r>
          </w:p>
        </w:tc>
        <w:tc>
          <w:tcPr>
            <w:tcW w:w="7672" w:type="dxa"/>
            <w:tcBorders>
              <w:top w:val="single" w:sz="4" w:space="0" w:color="auto"/>
              <w:bottom w:val="single" w:sz="4" w:space="0" w:color="auto"/>
            </w:tcBorders>
            <w:vAlign w:val="center"/>
          </w:tcPr>
          <w:p w:rsidR="00217D46" w:rsidRPr="00F95208" w:rsidRDefault="00217D46" w:rsidP="00EA18C1">
            <w:pPr>
              <w:widowControl/>
              <w:snapToGrid w:val="0"/>
              <w:jc w:val="left"/>
              <w:textAlignment w:val="center"/>
              <w:rPr>
                <w:rFonts w:ascii="宋体" w:hAnsi="宋体" w:cs="宋体"/>
                <w:color w:val="0000FF"/>
                <w:sz w:val="22"/>
              </w:rPr>
            </w:pPr>
            <w:r w:rsidRPr="00F95208">
              <w:rPr>
                <w:rFonts w:ascii="宋体" w:hAnsi="宋体" w:cs="宋体" w:hint="eastAsia"/>
                <w:color w:val="0000FF"/>
                <w:sz w:val="22"/>
              </w:rPr>
              <w:t>①设计团队：投标人（或主体工程设计单位）中拟派设计团队中建筑专业负责人、结构专业负责人、电气专业负责人、给排水专业负责人、</w:t>
            </w:r>
            <w:r w:rsidRPr="00F95208">
              <w:rPr>
                <w:rFonts w:hint="eastAsia"/>
                <w:color w:val="0000FF"/>
                <w:sz w:val="22"/>
                <w:szCs w:val="24"/>
              </w:rPr>
              <w:t>道路设计专业负责人、风景园林设计专业</w:t>
            </w:r>
            <w:r w:rsidRPr="00F95208">
              <w:rPr>
                <w:rFonts w:ascii="宋体" w:hAnsi="宋体" w:cs="宋体" w:hint="eastAsia"/>
                <w:color w:val="0000FF"/>
                <w:sz w:val="22"/>
              </w:rPr>
              <w:t>均具备工程师职称得5分；拟派设计团队中建筑专业负责人、结构专业负责人、电气专业负责人、给排水专业负责人、</w:t>
            </w:r>
            <w:r w:rsidRPr="00F95208">
              <w:rPr>
                <w:rFonts w:hint="eastAsia"/>
                <w:color w:val="0000FF"/>
                <w:sz w:val="22"/>
                <w:szCs w:val="24"/>
              </w:rPr>
              <w:t>道路设计专业负责人、风景园林设计专业</w:t>
            </w:r>
            <w:r w:rsidRPr="00F95208">
              <w:rPr>
                <w:rFonts w:ascii="宋体" w:hAnsi="宋体" w:cs="宋体" w:hint="eastAsia"/>
                <w:color w:val="0000FF"/>
                <w:sz w:val="22"/>
              </w:rPr>
              <w:t>均具备高级工程师及以上职称的，得10分；本项满分10分。</w:t>
            </w:r>
          </w:p>
          <w:p w:rsidR="00217D46" w:rsidRPr="00F95208" w:rsidRDefault="00217D46" w:rsidP="00EA18C1">
            <w:pPr>
              <w:widowControl/>
              <w:snapToGrid w:val="0"/>
              <w:jc w:val="left"/>
              <w:textAlignment w:val="center"/>
              <w:rPr>
                <w:rFonts w:ascii="宋体" w:hAnsi="宋体" w:cs="宋体"/>
                <w:color w:val="0000FF"/>
                <w:sz w:val="22"/>
              </w:rPr>
            </w:pPr>
            <w:r w:rsidRPr="00F95208">
              <w:rPr>
                <w:rFonts w:ascii="宋体" w:hAnsi="宋体" w:cs="宋体" w:hint="eastAsia"/>
                <w:color w:val="0000FF"/>
                <w:sz w:val="22"/>
              </w:rPr>
              <w:t>说明：设计团队各专业负责人均为1人，人员不得重复。</w:t>
            </w:r>
          </w:p>
        </w:tc>
        <w:tc>
          <w:tcPr>
            <w:tcW w:w="755" w:type="dxa"/>
            <w:tcBorders>
              <w:top w:val="single" w:sz="4" w:space="0" w:color="auto"/>
            </w:tcBorders>
            <w:vAlign w:val="center"/>
          </w:tcPr>
          <w:p w:rsidR="00217D46" w:rsidRPr="00797365" w:rsidRDefault="00217D46" w:rsidP="00EA18C1">
            <w:pPr>
              <w:widowControl/>
              <w:snapToGrid w:val="0"/>
              <w:jc w:val="center"/>
              <w:textAlignment w:val="center"/>
              <w:rPr>
                <w:rFonts w:ascii="宋体" w:hAnsi="宋体" w:cs="宋体"/>
                <w:color w:val="0000FF"/>
                <w:sz w:val="22"/>
              </w:rPr>
            </w:pPr>
            <w:r w:rsidRPr="00797365">
              <w:rPr>
                <w:rFonts w:hint="eastAsia"/>
                <w:color w:val="0000FF"/>
                <w:sz w:val="22"/>
                <w:szCs w:val="24"/>
              </w:rPr>
              <w:t>10</w:t>
            </w:r>
            <w:r w:rsidRPr="00797365">
              <w:rPr>
                <w:rFonts w:hint="eastAsia"/>
                <w:color w:val="0000FF"/>
                <w:sz w:val="22"/>
                <w:szCs w:val="24"/>
              </w:rPr>
              <w:t>分</w:t>
            </w:r>
          </w:p>
        </w:tc>
      </w:tr>
      <w:tr w:rsidR="00217D46" w:rsidRPr="00E20F9B" w:rsidTr="00EA18C1">
        <w:trPr>
          <w:trHeight w:val="2181"/>
          <w:jc w:val="center"/>
        </w:trPr>
        <w:tc>
          <w:tcPr>
            <w:tcW w:w="1050" w:type="dxa"/>
            <w:tcBorders>
              <w:bottom w:val="single" w:sz="4" w:space="0" w:color="auto"/>
            </w:tcBorders>
            <w:vAlign w:val="center"/>
          </w:tcPr>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服务因素</w:t>
            </w:r>
          </w:p>
        </w:tc>
        <w:tc>
          <w:tcPr>
            <w:tcW w:w="7672" w:type="dxa"/>
            <w:tcBorders>
              <w:bottom w:val="single" w:sz="4" w:space="0" w:color="auto"/>
            </w:tcBorders>
            <w:vAlign w:val="center"/>
          </w:tcPr>
          <w:p w:rsidR="00217D46" w:rsidRPr="00F95208" w:rsidRDefault="00217D46" w:rsidP="00EA18C1">
            <w:pPr>
              <w:widowControl/>
              <w:snapToGrid w:val="0"/>
              <w:ind w:firstLineChars="200" w:firstLine="440"/>
              <w:jc w:val="left"/>
              <w:textAlignment w:val="center"/>
              <w:rPr>
                <w:rFonts w:ascii="宋体" w:hAnsi="宋体" w:cs="宋体"/>
                <w:color w:val="0000FF"/>
                <w:sz w:val="22"/>
              </w:rPr>
            </w:pPr>
            <w:r w:rsidRPr="00F95208">
              <w:rPr>
                <w:rFonts w:ascii="宋体" w:hAnsi="宋体" w:cs="宋体" w:hint="eastAsia"/>
                <w:color w:val="0000FF"/>
                <w:sz w:val="22"/>
              </w:rPr>
              <w:t>承担主体工程设计单位具有（1）满足</w:t>
            </w:r>
            <w:proofErr w:type="gramStart"/>
            <w:r w:rsidRPr="00F95208">
              <w:rPr>
                <w:rFonts w:ascii="宋体" w:hAnsi="宋体" w:cs="宋体" w:hint="eastAsia"/>
                <w:color w:val="0000FF"/>
                <w:sz w:val="22"/>
              </w:rPr>
              <w:t>闽建办科</w:t>
            </w:r>
            <w:proofErr w:type="gramEnd"/>
            <w:r w:rsidRPr="00F95208">
              <w:rPr>
                <w:rFonts w:ascii="宋体" w:hAnsi="宋体" w:cs="宋体" w:hint="eastAsia"/>
                <w:color w:val="0000FF"/>
                <w:sz w:val="22"/>
              </w:rPr>
              <w:t>〔2018〕16 号文或</w:t>
            </w:r>
            <w:proofErr w:type="gramStart"/>
            <w:r w:rsidRPr="00F95208">
              <w:rPr>
                <w:rFonts w:ascii="宋体" w:hAnsi="宋体" w:cs="宋体" w:hint="eastAsia"/>
                <w:color w:val="0000FF"/>
                <w:sz w:val="22"/>
              </w:rPr>
              <w:t>闽建办科</w:t>
            </w:r>
            <w:proofErr w:type="gramEnd"/>
            <w:r w:rsidRPr="00F95208">
              <w:rPr>
                <w:rFonts w:ascii="宋体" w:hAnsi="宋体" w:cs="宋体" w:hint="eastAsia"/>
                <w:color w:val="0000FF"/>
                <w:sz w:val="22"/>
              </w:rPr>
              <w:t>〔2018〕23 号文的规定在我省设立相应的土工试验室，并提供福建省各级建设行政主管部门网站公布的合格名单打印件，未提供不得分；①建设行政主管部门核发有效的工程勘察综合甲级资质或②建设行政主管部门核发有效的岩土工程（勘察）乙级及以上资质的，得5分。</w:t>
            </w:r>
          </w:p>
          <w:p w:rsidR="00217D46" w:rsidRPr="00F95208" w:rsidRDefault="00217D46" w:rsidP="00EA18C1">
            <w:pPr>
              <w:widowControl/>
              <w:snapToGrid w:val="0"/>
              <w:ind w:firstLineChars="200" w:firstLine="440"/>
              <w:jc w:val="left"/>
              <w:textAlignment w:val="center"/>
              <w:rPr>
                <w:rFonts w:ascii="宋体" w:hAnsi="宋体" w:cs="宋体" w:hint="eastAsia"/>
                <w:color w:val="0000FF"/>
                <w:kern w:val="0"/>
                <w:sz w:val="22"/>
              </w:rPr>
            </w:pPr>
            <w:bookmarkStart w:id="2" w:name="OLE_LINK121"/>
            <w:r w:rsidRPr="002F5DB2">
              <w:rPr>
                <w:rFonts w:ascii="宋体" w:hAnsi="宋体" w:cs="宋体" w:hint="eastAsia"/>
                <w:color w:val="0000FF"/>
                <w:kern w:val="0"/>
                <w:sz w:val="22"/>
              </w:rPr>
              <w:t>独立投标人（或联合体设计方）</w:t>
            </w:r>
            <w:r w:rsidRPr="00F95208">
              <w:rPr>
                <w:rFonts w:ascii="宋体" w:hAnsi="宋体" w:cs="宋体" w:hint="eastAsia"/>
                <w:color w:val="0000FF"/>
                <w:kern w:val="0"/>
                <w:sz w:val="22"/>
              </w:rPr>
              <w:t>同时具备：（1）设计资质要求：具备建设行政主管部门核发的有效的工程设计综合甲级资质或【同时具备以下①和②资质，①建筑行业甲级及以上设计资质或建筑行业（建筑工程）专业甲级及以上设计资质；②建设行政主管部门核发有效的市政行业（道路工程）专业乙级及以上设计资质或市政行业乙级及以上设计资质；】。</w:t>
            </w:r>
          </w:p>
          <w:p w:rsidR="00217D46" w:rsidRPr="00F95208" w:rsidRDefault="00217D46" w:rsidP="00EA18C1">
            <w:pPr>
              <w:widowControl/>
              <w:snapToGrid w:val="0"/>
              <w:ind w:firstLineChars="200" w:firstLine="440"/>
              <w:jc w:val="left"/>
              <w:textAlignment w:val="center"/>
              <w:rPr>
                <w:rFonts w:ascii="宋体" w:hAnsi="宋体" w:cs="宋体"/>
                <w:strike/>
                <w:color w:val="0000FF"/>
                <w:sz w:val="22"/>
              </w:rPr>
            </w:pPr>
            <w:r w:rsidRPr="00F95208">
              <w:rPr>
                <w:rFonts w:ascii="宋体" w:hAnsi="宋体" w:cs="宋体" w:hint="eastAsia"/>
                <w:color w:val="0000FF"/>
                <w:kern w:val="0"/>
                <w:sz w:val="22"/>
              </w:rPr>
              <w:t>（2）施工资质要求：建设行政主管部门核发的合格有效的不低于二级建筑工程施工总承包资质及不低于二级市政公用工程施工总承包资质及《施工企业安全生产许可证》；换证后的二级建筑工程施工总承包临时资质及二级市政公用工程施工总承包临时资质可用于本项目投标。</w:t>
            </w:r>
            <w:r w:rsidRPr="00F95208">
              <w:rPr>
                <w:rFonts w:ascii="宋体" w:hAnsi="宋体" w:cs="宋体" w:hint="eastAsia"/>
                <w:color w:val="0000FF"/>
                <w:sz w:val="22"/>
              </w:rPr>
              <w:t>满足本项</w:t>
            </w:r>
            <w:r w:rsidRPr="00F95208">
              <w:rPr>
                <w:rFonts w:ascii="宋体" w:hAnsi="宋体" w:cs="宋体" w:hint="eastAsia"/>
                <w:color w:val="0000FF"/>
                <w:kern w:val="0"/>
                <w:sz w:val="22"/>
              </w:rPr>
              <w:t>得10分；</w:t>
            </w:r>
            <w:bookmarkEnd w:id="2"/>
          </w:p>
        </w:tc>
        <w:tc>
          <w:tcPr>
            <w:tcW w:w="755" w:type="dxa"/>
            <w:vAlign w:val="center"/>
          </w:tcPr>
          <w:p w:rsidR="00217D46" w:rsidRPr="00797365" w:rsidRDefault="00217D46" w:rsidP="00EA18C1">
            <w:pPr>
              <w:widowControl/>
              <w:snapToGrid w:val="0"/>
              <w:jc w:val="center"/>
              <w:textAlignment w:val="center"/>
              <w:rPr>
                <w:rFonts w:ascii="宋体" w:hAnsi="宋体" w:cs="宋体"/>
                <w:color w:val="0000FF"/>
                <w:sz w:val="22"/>
              </w:rPr>
            </w:pPr>
            <w:r w:rsidRPr="00797365">
              <w:rPr>
                <w:rFonts w:ascii="宋体" w:hAnsi="宋体" w:cs="宋体" w:hint="eastAsia"/>
                <w:color w:val="0000FF"/>
                <w:sz w:val="22"/>
              </w:rPr>
              <w:t>15分</w:t>
            </w:r>
          </w:p>
        </w:tc>
      </w:tr>
      <w:tr w:rsidR="00217D46" w:rsidRPr="00FE31C8" w:rsidTr="00EA18C1">
        <w:trPr>
          <w:trHeight w:val="3978"/>
          <w:jc w:val="center"/>
        </w:trPr>
        <w:tc>
          <w:tcPr>
            <w:tcW w:w="1050" w:type="dxa"/>
            <w:vAlign w:val="center"/>
          </w:tcPr>
          <w:p w:rsidR="00217D46" w:rsidRPr="006F18E5" w:rsidRDefault="00217D46" w:rsidP="00EA18C1">
            <w:pPr>
              <w:widowControl/>
              <w:snapToGrid w:val="0"/>
              <w:jc w:val="left"/>
              <w:textAlignment w:val="center"/>
              <w:rPr>
                <w:rFonts w:ascii="宋体" w:hAnsi="宋体" w:cs="宋体"/>
                <w:color w:val="0000FF"/>
                <w:sz w:val="22"/>
              </w:rPr>
            </w:pPr>
            <w:r w:rsidRPr="006F18E5">
              <w:rPr>
                <w:rFonts w:ascii="宋体" w:hAnsi="宋体" w:cs="宋体" w:hint="eastAsia"/>
                <w:color w:val="0000FF"/>
                <w:sz w:val="22"/>
              </w:rPr>
              <w:t>答辩因素</w:t>
            </w:r>
          </w:p>
        </w:tc>
        <w:tc>
          <w:tcPr>
            <w:tcW w:w="7672" w:type="dxa"/>
            <w:vAlign w:val="center"/>
          </w:tcPr>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拟派项目负责人不能参加答辩，委托项目组成员代替参加答辩得5分;本项目的项目负责人本人亲自参加答辩得10分。</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加分内容为:</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①依据项目负责人对工程总承包项目政策理解、项目总体管控思路，对工程进度计划总体安排及质量、安全保证的举措答辩情况，参加答辩的项目负责人,每人应答3题。定标委员会对合格的定标候选人拟派项目负责人的答辩情况进行评审，考察0-15分进行打分。</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注:项目负责人不得旁听其他人答辩。若拟派项目负责人不能参加答辩，可委托项目组成员代替，未派出人员参加答辩的不得分。</w:t>
            </w:r>
          </w:p>
          <w:p w:rsidR="00217D46" w:rsidRPr="00797365" w:rsidRDefault="00217D46" w:rsidP="00EA18C1">
            <w:pPr>
              <w:widowControl/>
              <w:snapToGrid w:val="0"/>
              <w:jc w:val="left"/>
              <w:textAlignment w:val="center"/>
              <w:rPr>
                <w:rFonts w:ascii="宋体" w:hAnsi="宋体" w:cs="宋体"/>
                <w:color w:val="0000FF"/>
                <w:sz w:val="22"/>
              </w:rPr>
            </w:pPr>
            <w:r w:rsidRPr="00797365">
              <w:rPr>
                <w:rFonts w:ascii="宋体" w:hAnsi="宋体" w:cs="宋体" w:hint="eastAsia"/>
                <w:color w:val="0000FF"/>
                <w:sz w:val="22"/>
              </w:rPr>
              <w:t>说明：定标委员会</w:t>
            </w:r>
            <w:proofErr w:type="gramStart"/>
            <w:r w:rsidRPr="00797365">
              <w:rPr>
                <w:rFonts w:ascii="宋体" w:hAnsi="宋体" w:cs="宋体" w:hint="eastAsia"/>
                <w:color w:val="0000FF"/>
                <w:sz w:val="22"/>
              </w:rPr>
              <w:t>对某子项目</w:t>
            </w:r>
            <w:proofErr w:type="gramEnd"/>
            <w:r w:rsidRPr="00797365">
              <w:rPr>
                <w:rFonts w:ascii="宋体" w:hAnsi="宋体" w:cs="宋体" w:hint="eastAsia"/>
                <w:color w:val="0000FF"/>
                <w:sz w:val="22"/>
              </w:rPr>
              <w:t>答辩人员的得分70%或高于90%的，应详细阐述具体理由（字数不少于50字）。</w:t>
            </w:r>
          </w:p>
        </w:tc>
        <w:tc>
          <w:tcPr>
            <w:tcW w:w="755" w:type="dxa"/>
            <w:vAlign w:val="center"/>
          </w:tcPr>
          <w:p w:rsidR="00217D46" w:rsidRPr="00797365" w:rsidRDefault="00217D46" w:rsidP="00EA18C1">
            <w:pPr>
              <w:widowControl/>
              <w:snapToGrid w:val="0"/>
              <w:jc w:val="center"/>
              <w:textAlignment w:val="center"/>
              <w:rPr>
                <w:rFonts w:ascii="宋体" w:hAnsi="宋体" w:cs="宋体"/>
                <w:color w:val="0000FF"/>
                <w:sz w:val="22"/>
              </w:rPr>
            </w:pPr>
            <w:r w:rsidRPr="00797365">
              <w:rPr>
                <w:rFonts w:ascii="宋体" w:hAnsi="宋体" w:cs="宋体" w:hint="eastAsia"/>
                <w:color w:val="0000FF"/>
                <w:sz w:val="22"/>
              </w:rPr>
              <w:t>25分</w:t>
            </w:r>
          </w:p>
        </w:tc>
      </w:tr>
    </w:tbl>
    <w:p w:rsidR="00217D46" w:rsidRDefault="00217D46" w:rsidP="00217D46">
      <w:pPr>
        <w:rPr>
          <w:rFonts w:hint="eastAsia"/>
          <w:highlight w:val="white"/>
        </w:rPr>
      </w:pPr>
    </w:p>
    <w:p w:rsidR="0079224A" w:rsidRDefault="0079224A"/>
    <w:sectPr w:rsidR="0079224A" w:rsidSect="00217D4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46"/>
    <w:rsid w:val="00217D46"/>
    <w:rsid w:val="00792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4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zzh</dc:creator>
  <cp:lastModifiedBy>zzh</cp:lastModifiedBy>
  <cp:revision>1</cp:revision>
  <dcterms:created xsi:type="dcterms:W3CDTF">2025-02-21T10:29:00Z</dcterms:created>
  <dcterms:modified xsi:type="dcterms:W3CDTF">2025-02-21T10:30:00Z</dcterms:modified>
</cp:coreProperties>
</file>