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cs="宋体"/>
          <w:sz w:val="30"/>
          <w:szCs w:val="30"/>
          <w:highlight w:val="white"/>
        </w:rPr>
      </w:pPr>
      <w:r>
        <w:rPr>
          <w:rFonts w:hint="eastAsia"/>
          <w:color w:val="000080"/>
          <w:sz w:val="20"/>
          <w:highlight w:val="white"/>
          <w:lang w:val="en-US" w:eastAsia="zh-CN"/>
        </w:rPr>
        <w:t xml:space="preserve"> </w:t>
      </w:r>
      <w:r>
        <w:rPr>
          <w:rFonts w:hint="eastAsia" w:ascii="宋体" w:hAnsi="宋体" w:cs="宋体"/>
          <w:sz w:val="30"/>
          <w:szCs w:val="30"/>
          <w:highlight w:val="white"/>
        </w:rPr>
        <w:t>附件</w:t>
      </w:r>
    </w:p>
    <w:p>
      <w:pPr>
        <w:pStyle w:val="6"/>
        <w:jc w:val="center"/>
        <w:rPr>
          <w:rFonts w:ascii="宋体" w:hAnsi="宋体" w:cs="宋体"/>
          <w:sz w:val="30"/>
          <w:szCs w:val="30"/>
          <w:highlight w:val="white"/>
        </w:rPr>
      </w:pPr>
      <w:r>
        <w:rPr>
          <w:rFonts w:hint="eastAsia" w:ascii="宋体" w:hAnsi="宋体" w:cs="宋体"/>
          <w:b/>
          <w:bCs/>
          <w:sz w:val="32"/>
          <w:szCs w:val="32"/>
          <w:highlight w:val="white"/>
        </w:rPr>
        <w:t>定标因素</w:t>
      </w:r>
    </w:p>
    <w:tbl>
      <w:tblPr>
        <w:tblStyle w:val="4"/>
        <w:tblW w:w="4999" w:type="pct"/>
        <w:tblInd w:w="0" w:type="dxa"/>
        <w:tblLayout w:type="autofit"/>
        <w:tblCellMar>
          <w:top w:w="0" w:type="dxa"/>
          <w:left w:w="108" w:type="dxa"/>
          <w:bottom w:w="0" w:type="dxa"/>
          <w:right w:w="108" w:type="dxa"/>
        </w:tblCellMar>
      </w:tblPr>
      <w:tblGrid>
        <w:gridCol w:w="1774"/>
        <w:gridCol w:w="6746"/>
      </w:tblGrid>
      <w:tr>
        <w:tblPrEx>
          <w:tblCellMar>
            <w:top w:w="0" w:type="dxa"/>
            <w:left w:w="108" w:type="dxa"/>
            <w:bottom w:w="0" w:type="dxa"/>
            <w:right w:w="108" w:type="dxa"/>
          </w:tblCellMar>
        </w:tblPrEx>
        <w:trPr>
          <w:trHeight w:val="1080" w:hRule="atLeast"/>
        </w:trPr>
        <w:tc>
          <w:tcPr>
            <w:tcW w:w="1041" w:type="pct"/>
            <w:tcBorders>
              <w:top w:val="single" w:color="000000" w:sz="4" w:space="0"/>
              <w:left w:val="single" w:color="000000" w:sz="4" w:space="0"/>
              <w:bottom w:val="single" w:color="000000" w:sz="4" w:space="0"/>
              <w:right w:val="single" w:color="000000" w:sz="4" w:space="0"/>
            </w:tcBorders>
            <w:noWrap/>
            <w:vAlign w:val="center"/>
          </w:tcPr>
          <w:p>
            <w:pPr>
              <w:pStyle w:val="6"/>
              <w:widowControl/>
              <w:jc w:val="center"/>
              <w:textAlignment w:val="center"/>
              <w:rPr>
                <w:rFonts w:ascii="宋体" w:hAnsi="宋体" w:cs="宋体"/>
                <w:sz w:val="21"/>
                <w:szCs w:val="21"/>
              </w:rPr>
            </w:pPr>
            <w:r>
              <w:rPr>
                <w:rFonts w:hint="eastAsia" w:ascii="宋体" w:hAnsi="宋体" w:cs="宋体"/>
                <w:sz w:val="21"/>
                <w:szCs w:val="21"/>
              </w:rPr>
              <w:t>定标规则</w:t>
            </w:r>
          </w:p>
        </w:tc>
        <w:tc>
          <w:tcPr>
            <w:tcW w:w="3958" w:type="pct"/>
            <w:tcBorders>
              <w:top w:val="single" w:color="000000" w:sz="4" w:space="0"/>
              <w:left w:val="single" w:color="000000" w:sz="4" w:space="0"/>
              <w:bottom w:val="single" w:color="000000" w:sz="4" w:space="0"/>
              <w:right w:val="single" w:color="000000" w:sz="4" w:space="0"/>
            </w:tcBorders>
            <w:noWrap/>
            <w:vAlign w:val="center"/>
          </w:tcPr>
          <w:p>
            <w:pPr>
              <w:pStyle w:val="6"/>
              <w:widowControl/>
              <w:jc w:val="center"/>
              <w:textAlignment w:val="center"/>
              <w:rPr>
                <w:rFonts w:ascii="宋体" w:hAnsi="宋体" w:cs="宋体"/>
                <w:sz w:val="21"/>
                <w:szCs w:val="21"/>
              </w:rPr>
            </w:pPr>
            <w:r>
              <w:rPr>
                <w:rFonts w:hint="eastAsia" w:ascii="宋体" w:hAnsi="宋体" w:cs="宋体"/>
                <w:sz w:val="21"/>
                <w:szCs w:val="21"/>
              </w:rPr>
              <w:t>编列内容</w:t>
            </w:r>
          </w:p>
        </w:tc>
      </w:tr>
      <w:tr>
        <w:tblPrEx>
          <w:tblCellMar>
            <w:top w:w="0" w:type="dxa"/>
            <w:left w:w="108" w:type="dxa"/>
            <w:bottom w:w="0" w:type="dxa"/>
            <w:right w:w="108" w:type="dxa"/>
          </w:tblCellMar>
        </w:tblPrEx>
        <w:trPr>
          <w:trHeight w:val="595" w:hRule="atLeast"/>
        </w:trPr>
        <w:tc>
          <w:tcPr>
            <w:tcW w:w="1041" w:type="pct"/>
            <w:vMerge w:val="restart"/>
            <w:tcBorders>
              <w:top w:val="single" w:color="000000" w:sz="4" w:space="0"/>
              <w:left w:val="single" w:color="000000" w:sz="4" w:space="0"/>
              <w:bottom w:val="single" w:color="000000" w:sz="4" w:space="0"/>
              <w:right w:val="single" w:color="000000" w:sz="4" w:space="0"/>
            </w:tcBorders>
            <w:noWrap/>
            <w:vAlign w:val="center"/>
          </w:tcPr>
          <w:p>
            <w:pPr>
              <w:pStyle w:val="6"/>
              <w:widowControl/>
              <w:jc w:val="center"/>
              <w:textAlignment w:val="center"/>
              <w:rPr>
                <w:rFonts w:ascii="宋体" w:hAnsi="宋体" w:cs="宋体"/>
                <w:sz w:val="21"/>
                <w:szCs w:val="21"/>
              </w:rPr>
            </w:pPr>
            <w:r>
              <w:rPr>
                <w:rFonts w:hint="eastAsia" w:ascii="宋体" w:hAnsi="宋体" w:cs="宋体"/>
                <w:sz w:val="21"/>
                <w:szCs w:val="21"/>
              </w:rPr>
              <w:t>定标因素</w:t>
            </w:r>
          </w:p>
        </w:tc>
        <w:tc>
          <w:tcPr>
            <w:tcW w:w="395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sz w:val="21"/>
                <w:szCs w:val="21"/>
              </w:rPr>
            </w:pPr>
            <w:r>
              <w:rPr>
                <w:rFonts w:hint="eastAsia" w:ascii="宋体" w:hAnsi="宋体" w:cs="宋体"/>
                <w:sz w:val="21"/>
                <w:szCs w:val="21"/>
              </w:rPr>
              <w:t xml:space="preserve">1、价格因素包括以下子要素：                                                 </w:t>
            </w:r>
            <w:r>
              <w:rPr>
                <w:rFonts w:hint="eastAsia" w:hAnsi="宋体" w:cs="宋体"/>
                <w:color w:val="0000FF"/>
                <w:sz w:val="21"/>
                <w:szCs w:val="21"/>
                <w:highlight w:val="white"/>
              </w:rPr>
              <w:t>已标价工程量清单</w:t>
            </w:r>
            <w:r>
              <w:rPr>
                <w:rFonts w:hint="eastAsia" w:hAnsi="宋体" w:eastAsia="宋体" w:cs="宋体"/>
                <w:color w:val="0000FF"/>
                <w:sz w:val="21"/>
                <w:szCs w:val="21"/>
                <w:highlight w:val="white"/>
                <w:lang w:eastAsia="zh-CN"/>
              </w:rPr>
              <w:t>纸质</w:t>
            </w:r>
            <w:r>
              <w:rPr>
                <w:rFonts w:hint="eastAsia" w:hAnsi="宋体" w:cs="宋体"/>
                <w:color w:val="0000FF"/>
                <w:sz w:val="21"/>
                <w:szCs w:val="21"/>
                <w:highlight w:val="white"/>
              </w:rPr>
              <w:t>文件一份</w:t>
            </w:r>
            <w:r>
              <w:rPr>
                <w:rFonts w:hint="eastAsia" w:hAnsi="宋体" w:eastAsia="宋体" w:cs="宋体"/>
                <w:color w:val="0000FF"/>
                <w:sz w:val="21"/>
                <w:szCs w:val="21"/>
                <w:highlight w:val="white"/>
                <w:lang w:eastAsia="zh-CN"/>
              </w:rPr>
              <w:t>。</w:t>
            </w:r>
            <w:r>
              <w:rPr>
                <w:rFonts w:hint="eastAsia" w:ascii="宋体" w:hAnsi="宋体" w:cs="宋体"/>
                <w:sz w:val="21"/>
                <w:szCs w:val="21"/>
              </w:rPr>
              <w:t xml:space="preserve">   </w:t>
            </w:r>
          </w:p>
        </w:tc>
      </w:tr>
      <w:tr>
        <w:tblPrEx>
          <w:tblCellMar>
            <w:top w:w="0" w:type="dxa"/>
            <w:left w:w="108" w:type="dxa"/>
            <w:bottom w:w="0" w:type="dxa"/>
            <w:right w:w="108" w:type="dxa"/>
          </w:tblCellMar>
        </w:tblPrEx>
        <w:trPr>
          <w:trHeight w:val="1120" w:hRule="atLeast"/>
        </w:trPr>
        <w:tc>
          <w:tcPr>
            <w:tcW w:w="1041"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6"/>
              <w:jc w:val="center"/>
              <w:rPr>
                <w:rFonts w:ascii="宋体" w:hAnsi="宋体" w:cs="宋体"/>
                <w:sz w:val="21"/>
                <w:szCs w:val="21"/>
              </w:rPr>
            </w:pPr>
          </w:p>
        </w:tc>
        <w:tc>
          <w:tcPr>
            <w:tcW w:w="395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sz w:val="21"/>
                <w:szCs w:val="21"/>
              </w:rPr>
            </w:pPr>
            <w:r>
              <w:rPr>
                <w:rFonts w:hint="eastAsia" w:ascii="宋体" w:hAnsi="宋体" w:cs="宋体"/>
                <w:sz w:val="21"/>
                <w:szCs w:val="21"/>
              </w:rPr>
              <w:t xml:space="preserve">2、方案因素包括以下子要素：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sz w:val="21"/>
                <w:szCs w:val="21"/>
              </w:rPr>
            </w:pPr>
            <w:r>
              <w:rPr>
                <w:rFonts w:hint="eastAsia" w:hAnsi="宋体" w:cs="宋体"/>
                <w:color w:val="0000FF"/>
                <w:sz w:val="21"/>
                <w:szCs w:val="21"/>
                <w:highlight w:val="white"/>
              </w:rPr>
              <w:t>定标委员会对定标候选人的施工方案进行评审。主要从安全控制措施、质量控制措施、绿色节能控制措施、进度控制措施等方面进行评审，鼓励将建筑业科技创新应用在项目中。定标候选人应对应提交施工方案，施工方案页数原则上不超过100页。</w:t>
            </w:r>
          </w:p>
        </w:tc>
      </w:tr>
      <w:tr>
        <w:tblPrEx>
          <w:tblCellMar>
            <w:top w:w="0" w:type="dxa"/>
            <w:left w:w="108" w:type="dxa"/>
            <w:bottom w:w="0" w:type="dxa"/>
            <w:right w:w="108" w:type="dxa"/>
          </w:tblCellMar>
        </w:tblPrEx>
        <w:trPr>
          <w:trHeight w:val="970" w:hRule="atLeast"/>
        </w:trPr>
        <w:tc>
          <w:tcPr>
            <w:tcW w:w="1041"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6"/>
              <w:jc w:val="center"/>
              <w:rPr>
                <w:rFonts w:ascii="宋体" w:hAnsi="宋体" w:cs="宋体"/>
                <w:sz w:val="21"/>
                <w:szCs w:val="21"/>
              </w:rPr>
            </w:pPr>
          </w:p>
        </w:tc>
        <w:tc>
          <w:tcPr>
            <w:tcW w:w="395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sz w:val="21"/>
                <w:szCs w:val="21"/>
              </w:rPr>
            </w:pPr>
            <w:r>
              <w:rPr>
                <w:rFonts w:hint="eastAsia" w:ascii="宋体" w:hAnsi="宋体" w:cs="宋体"/>
                <w:sz w:val="21"/>
                <w:szCs w:val="21"/>
              </w:rPr>
              <w:t xml:space="preserve">3、答辩因素包括以下子要素：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hAnsi="宋体" w:cs="宋体"/>
                <w:color w:val="0000FF"/>
                <w:sz w:val="21"/>
                <w:szCs w:val="21"/>
                <w:highlight w:val="white"/>
              </w:rPr>
            </w:pPr>
            <w:r>
              <w:rPr>
                <w:rFonts w:hint="eastAsia" w:hAnsi="宋体" w:cs="宋体"/>
                <w:color w:val="0000FF"/>
                <w:sz w:val="21"/>
                <w:szCs w:val="21"/>
                <w:highlight w:val="white"/>
              </w:rPr>
              <w:t>（1）由拟任项目负责人简要阐述对本项目的施工管理计划（限时</w:t>
            </w:r>
            <w:r>
              <w:rPr>
                <w:rFonts w:hint="eastAsia" w:hAnsi="宋体" w:eastAsia="宋体" w:cs="宋体"/>
                <w:color w:val="0000FF"/>
                <w:sz w:val="21"/>
                <w:szCs w:val="21"/>
                <w:highlight w:val="white"/>
                <w:lang w:val="en-US" w:eastAsia="zh-CN"/>
              </w:rPr>
              <w:t>6</w:t>
            </w:r>
            <w:r>
              <w:rPr>
                <w:rFonts w:hint="eastAsia" w:hAnsi="宋体" w:cs="宋体"/>
                <w:color w:val="0000FF"/>
                <w:sz w:val="21"/>
                <w:szCs w:val="21"/>
                <w:highlight w:val="white"/>
              </w:rPr>
              <w:t>分钟）。</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hAnsi="宋体" w:cs="宋体"/>
                <w:color w:val="0000FF"/>
                <w:sz w:val="21"/>
                <w:szCs w:val="21"/>
                <w:highlight w:val="white"/>
              </w:rPr>
            </w:pPr>
            <w:r>
              <w:rPr>
                <w:rFonts w:hint="eastAsia" w:hAnsi="宋体" w:cs="宋体"/>
                <w:color w:val="0000FF"/>
                <w:sz w:val="21"/>
                <w:szCs w:val="21"/>
                <w:highlight w:val="white"/>
              </w:rPr>
              <w:t>（2）针对投标项目，由定标委员会设计有针对性的答辩试题并共同确认参考答案的主要内容。参加答辩的项目负责人,每人应答</w:t>
            </w:r>
            <w:r>
              <w:rPr>
                <w:rFonts w:hint="eastAsia" w:hAnsi="宋体" w:eastAsia="宋体" w:cs="宋体"/>
                <w:color w:val="0000FF"/>
                <w:sz w:val="21"/>
                <w:szCs w:val="21"/>
                <w:highlight w:val="white"/>
                <w:lang w:val="en-US" w:eastAsia="zh-CN"/>
              </w:rPr>
              <w:t>3</w:t>
            </w:r>
            <w:r>
              <w:rPr>
                <w:rFonts w:hint="eastAsia" w:hAnsi="宋体" w:cs="宋体"/>
                <w:color w:val="0000FF"/>
                <w:sz w:val="21"/>
                <w:szCs w:val="21"/>
                <w:highlight w:val="white"/>
              </w:rPr>
              <w:t>题。</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sz w:val="21"/>
                <w:szCs w:val="21"/>
              </w:rPr>
            </w:pPr>
            <w:r>
              <w:rPr>
                <w:rFonts w:hint="eastAsia" w:hAnsi="宋体" w:cs="宋体"/>
                <w:color w:val="0000FF"/>
                <w:sz w:val="21"/>
                <w:szCs w:val="21"/>
                <w:highlight w:val="white"/>
              </w:rPr>
              <w:t>（</w:t>
            </w:r>
            <w:r>
              <w:rPr>
                <w:rFonts w:hint="eastAsia" w:hAnsi="宋体" w:eastAsia="宋体" w:cs="宋体"/>
                <w:color w:val="0000FF"/>
                <w:sz w:val="21"/>
                <w:szCs w:val="21"/>
                <w:highlight w:val="white"/>
                <w:lang w:val="en-US" w:eastAsia="zh-CN"/>
              </w:rPr>
              <w:t>4</w:t>
            </w:r>
            <w:r>
              <w:rPr>
                <w:rFonts w:hint="eastAsia" w:hAnsi="宋体" w:cs="宋体"/>
                <w:color w:val="0000FF"/>
                <w:sz w:val="21"/>
                <w:szCs w:val="21"/>
                <w:highlight w:val="white"/>
              </w:rPr>
              <w:t>）定标委员会考察拟派项目负责人在答辩过程中体现的专业能力、施工业务能力、语言表达能力。</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sz w:val="21"/>
                <w:szCs w:val="21"/>
              </w:rPr>
            </w:pPr>
            <w:r>
              <w:rPr>
                <w:rFonts w:hint="eastAsia" w:hAnsi="宋体" w:eastAsia="宋体" w:cs="宋体"/>
                <w:color w:val="0000FF"/>
                <w:sz w:val="21"/>
                <w:szCs w:val="21"/>
                <w:highlight w:val="white"/>
                <w:lang w:val="en-US" w:eastAsia="zh-CN"/>
              </w:rPr>
              <w:t>（5）</w:t>
            </w:r>
            <w:r>
              <w:rPr>
                <w:rFonts w:hint="eastAsia" w:hAnsi="宋体" w:cs="宋体"/>
                <w:color w:val="0000FF"/>
                <w:sz w:val="21"/>
                <w:szCs w:val="21"/>
                <w:highlight w:val="white"/>
              </w:rPr>
              <w:t>拟任项目负责人携带身份证原件，身份证和注册建造师执业证书复印件（加盖单位公章），于定标工作开始时间前抵达定标地点核验登记。未按上述规定到场核验登记的，视为自动放弃答辩；</w:t>
            </w:r>
          </w:p>
        </w:tc>
      </w:tr>
      <w:tr>
        <w:tblPrEx>
          <w:tblCellMar>
            <w:top w:w="0" w:type="dxa"/>
            <w:left w:w="108" w:type="dxa"/>
            <w:bottom w:w="0" w:type="dxa"/>
            <w:right w:w="108" w:type="dxa"/>
          </w:tblCellMar>
        </w:tblPrEx>
        <w:trPr>
          <w:trHeight w:val="1139" w:hRule="atLeast"/>
        </w:trPr>
        <w:tc>
          <w:tcPr>
            <w:tcW w:w="1041"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6"/>
              <w:jc w:val="center"/>
              <w:rPr>
                <w:rFonts w:ascii="宋体" w:hAnsi="宋体" w:cs="宋体"/>
                <w:sz w:val="21"/>
                <w:szCs w:val="21"/>
              </w:rPr>
            </w:pPr>
          </w:p>
        </w:tc>
        <w:tc>
          <w:tcPr>
            <w:tcW w:w="395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sz w:val="21"/>
                <w:szCs w:val="21"/>
              </w:rPr>
            </w:pPr>
            <w:r>
              <w:rPr>
                <w:rFonts w:hint="eastAsia" w:ascii="宋体" w:hAnsi="宋体" w:cs="宋体"/>
                <w:sz w:val="21"/>
                <w:szCs w:val="21"/>
              </w:rPr>
              <w:t xml:space="preserve">4、团队因素包括以下子要素： </w:t>
            </w:r>
          </w:p>
          <w:p>
            <w:pPr>
              <w:pStyle w:val="6"/>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ascii="宋体" w:hAnsi="宋体" w:cs="宋体"/>
                <w:sz w:val="21"/>
                <w:szCs w:val="21"/>
              </w:rPr>
            </w:pPr>
            <w:r>
              <w:rPr>
                <w:rFonts w:hint="eastAsia" w:hAnsi="宋体" w:cs="宋体"/>
                <w:color w:val="0000FF"/>
                <w:sz w:val="21"/>
                <w:szCs w:val="21"/>
                <w:highlight w:val="white"/>
              </w:rPr>
              <w:t>定标委员会对定标候选人拟派项目负责人和项目技术负责人的“专业学历，技术职称，注册执业资格水平，主要工作经历”等综合能力进行评审。定标候选人应对应提交拟委派项目负责人和项目技术负责人的综合能力证明书面材料。</w:t>
            </w:r>
            <w:r>
              <w:rPr>
                <w:rFonts w:hint="eastAsia" w:ascii="宋体" w:hAnsi="宋体" w:cs="宋体"/>
                <w:sz w:val="21"/>
                <w:szCs w:val="21"/>
              </w:rPr>
              <w:t xml:space="preserve">                        </w:t>
            </w:r>
          </w:p>
        </w:tc>
      </w:tr>
      <w:tr>
        <w:tblPrEx>
          <w:tblCellMar>
            <w:top w:w="0" w:type="dxa"/>
            <w:left w:w="108" w:type="dxa"/>
            <w:bottom w:w="0" w:type="dxa"/>
            <w:right w:w="108" w:type="dxa"/>
          </w:tblCellMar>
        </w:tblPrEx>
        <w:trPr>
          <w:trHeight w:val="1200" w:hRule="atLeast"/>
        </w:trPr>
        <w:tc>
          <w:tcPr>
            <w:tcW w:w="1041"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6"/>
              <w:jc w:val="center"/>
              <w:rPr>
                <w:rFonts w:ascii="宋体" w:hAnsi="宋体" w:cs="宋体"/>
                <w:sz w:val="21"/>
                <w:szCs w:val="21"/>
              </w:rPr>
            </w:pPr>
          </w:p>
        </w:tc>
        <w:tc>
          <w:tcPr>
            <w:tcW w:w="395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center"/>
              <w:rPr>
                <w:rFonts w:hint="eastAsia" w:ascii="宋体" w:hAnsi="宋体" w:cs="宋体"/>
                <w:sz w:val="21"/>
                <w:szCs w:val="21"/>
              </w:rPr>
            </w:pPr>
            <w:r>
              <w:rPr>
                <w:rFonts w:hint="eastAsia" w:ascii="宋体" w:hAnsi="宋体" w:eastAsia="宋体" w:cs="宋体"/>
                <w:sz w:val="21"/>
                <w:szCs w:val="21"/>
                <w:lang w:val="en-US" w:eastAsia="zh-CN"/>
              </w:rPr>
              <w:t>5、</w:t>
            </w:r>
            <w:r>
              <w:rPr>
                <w:rFonts w:hint="eastAsia" w:ascii="宋体" w:hAnsi="宋体" w:cs="宋体"/>
                <w:sz w:val="21"/>
                <w:szCs w:val="21"/>
              </w:rPr>
              <w:t xml:space="preserve">服务因素包括以下子要素：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sz w:val="21"/>
                <w:szCs w:val="21"/>
              </w:rPr>
            </w:pPr>
            <w:r>
              <w:rPr>
                <w:rFonts w:hint="eastAsia" w:hAnsi="宋体" w:cs="宋体"/>
                <w:color w:val="0000FF"/>
                <w:sz w:val="21"/>
                <w:szCs w:val="21"/>
                <w:highlight w:val="white"/>
              </w:rPr>
              <w:t>主要考虑定标候选人履约能力、服务的主动性、响应时间、团队到岗履职能力、定标候选人对项目团队检查、考核等公司内控体系，重点考核履约能力。定标候选人应对应提交服务方案、内控体系和履约能力书面证明材料，页数原则上不超过50页。</w:t>
            </w:r>
          </w:p>
        </w:tc>
      </w:tr>
      <w:tr>
        <w:tblPrEx>
          <w:tblCellMar>
            <w:top w:w="0" w:type="dxa"/>
            <w:left w:w="108" w:type="dxa"/>
            <w:bottom w:w="0" w:type="dxa"/>
            <w:right w:w="108" w:type="dxa"/>
          </w:tblCellMar>
        </w:tblPrEx>
        <w:trPr>
          <w:trHeight w:val="662" w:hRule="atLeast"/>
        </w:trPr>
        <w:tc>
          <w:tcPr>
            <w:tcW w:w="1041" w:type="pct"/>
            <w:tcBorders>
              <w:top w:val="single" w:color="000000" w:sz="4" w:space="0"/>
              <w:left w:val="single" w:color="000000" w:sz="4" w:space="0"/>
              <w:bottom w:val="single" w:color="000000" w:sz="4" w:space="0"/>
              <w:right w:val="single" w:color="000000" w:sz="4" w:space="0"/>
            </w:tcBorders>
            <w:noWrap/>
            <w:vAlign w:val="center"/>
          </w:tcPr>
          <w:p>
            <w:pPr>
              <w:pStyle w:val="6"/>
              <w:widowControl/>
              <w:jc w:val="center"/>
              <w:textAlignment w:val="center"/>
              <w:rPr>
                <w:rFonts w:ascii="宋体" w:hAnsi="宋体" w:cs="宋体"/>
                <w:sz w:val="21"/>
                <w:szCs w:val="21"/>
              </w:rPr>
            </w:pPr>
            <w:r>
              <w:rPr>
                <w:rFonts w:hint="eastAsia" w:ascii="宋体" w:hAnsi="宋体" w:cs="宋体"/>
                <w:sz w:val="21"/>
                <w:szCs w:val="21"/>
              </w:rPr>
              <w:t>定标方法</w:t>
            </w:r>
          </w:p>
        </w:tc>
        <w:tc>
          <w:tcPr>
            <w:tcW w:w="3958" w:type="pct"/>
            <w:tcBorders>
              <w:top w:val="single" w:color="000000" w:sz="4" w:space="0"/>
              <w:left w:val="single" w:color="000000" w:sz="4" w:space="0"/>
              <w:bottom w:val="single" w:color="000000" w:sz="4" w:space="0"/>
              <w:right w:val="single" w:color="000000" w:sz="4" w:space="0"/>
            </w:tcBorders>
            <w:noWrap/>
            <w:vAlign w:val="center"/>
          </w:tcPr>
          <w:p>
            <w:pPr>
              <w:pStyle w:val="6"/>
              <w:widowControl/>
              <w:jc w:val="center"/>
              <w:textAlignment w:val="center"/>
              <w:rPr>
                <w:rFonts w:ascii="宋体" w:hAnsi="宋体" w:cs="宋体"/>
                <w:sz w:val="21"/>
                <w:szCs w:val="21"/>
              </w:rPr>
            </w:pPr>
            <w:r>
              <w:rPr>
                <w:rFonts w:hint="eastAsia" w:ascii="宋体" w:hAnsi="宋体" w:cs="宋体"/>
                <w:sz w:val="21"/>
                <w:szCs w:val="21"/>
              </w:rPr>
              <w:t>记名投票+撰写评语法</w:t>
            </w:r>
          </w:p>
        </w:tc>
      </w:tr>
    </w:tbl>
    <w:p>
      <w:pPr>
        <w:wordWrap w:val="0"/>
        <w:spacing w:line="280" w:lineRule="exact"/>
        <w:rPr>
          <w:rFonts w:hint="default"/>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_x0008_..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YTUzOWJiYjJmMjBlYmVhNzc1ZDRjNmI3YTVmNjcifQ=="/>
  </w:docVars>
  <w:rsids>
    <w:rsidRoot w:val="54E96834"/>
    <w:rsid w:val="54E9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0"/>
        <w:tab w:val="left" w:pos="993"/>
        <w:tab w:val="left" w:pos="1134"/>
      </w:tabs>
      <w:ind w:firstLine="420"/>
    </w:pPr>
    <w:rPr>
      <w:rFonts w:eastAsia="Times New Roman"/>
    </w:rPr>
  </w:style>
  <w:style w:type="paragraph" w:styleId="3">
    <w:name w:val="Body Text Indent"/>
    <w:basedOn w:val="1"/>
    <w:next w:val="1"/>
    <w:qFormat/>
    <w:uiPriority w:val="0"/>
    <w:pPr>
      <w:widowControl w:val="0"/>
      <w:spacing w:after="120"/>
      <w:ind w:left="420" w:leftChars="200"/>
      <w:jc w:val="both"/>
    </w:pPr>
    <w:rPr>
      <w:kern w:val="2"/>
      <w:sz w:val="21"/>
      <w:szCs w:val="24"/>
      <w:lang w:val="en-US" w:eastAsia="zh-CN" w:bidi="ar-SA"/>
    </w:rPr>
  </w:style>
  <w:style w:type="paragraph" w:customStyle="1" w:styleId="6">
    <w:name w:val="Normal"/>
    <w:qFormat/>
    <w:uiPriority w:val="0"/>
    <w:pPr>
      <w:widowControl w:val="0"/>
      <w:jc w:val="both"/>
    </w:pPr>
    <w:rPr>
      <w:rFonts w:ascii="Calibri" w:hAnsi="Calibri" w:eastAsia="Times New Roman"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2024-03-08T13:55:00Z</dcterms:created>
  <dc:creator>Administrator</dc:creator>
  <cp:lastModifiedBy>Administrator</cp:lastModifiedBy>
  <dcterms:modified xsi:type="dcterms:W3CDTF">2024-03-08T14:06:02Z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FDB662CD034D4F388E29EEE698D53923_11</vt:lpwstr>
  </property>
</Properties>
</file>