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distribute"/>
        <w:rPr>
          <w:rFonts w:eastAsia="华文新魏"/>
          <w:b/>
          <w:spacing w:val="-70"/>
          <w:sz w:val="72"/>
          <w:szCs w:val="72"/>
        </w:rPr>
      </w:pPr>
      <w:r>
        <w:pict>
          <v:group id="画布 13" o:spid="_x0000_s1032" o:spt="203" style="height:258.45pt;width:419.4pt;" coordsize="53263,32823" editas="canvas">
            <o:lock v:ext="edit"/>
            <v:shape id="画布 13" o:spid="_x0000_s1033" o:spt="75" type="#_x0000_t75" style="position:absolute;left:0;top:0;height:32823;width:53263;" filled="f" o:preferrelative="t" stroked="f" coordsize="21600,21600">
              <v:path/>
              <v:fill on="f" focussize="0,0"/>
              <v:stroke on="f" joinstyle="miter"/>
              <v:imagedata o:title=""/>
              <o:lock v:ext="edit" rotation="t" aspectratio="t"/>
            </v:shape>
            <v:shape id="Text Box 4" o:spid="_x0000_s1034" o:spt="202" type="#_x0000_t202" style="position:absolute;left:95;top:28606;height:2616;width:53168;" fillcolor="#C0C0C0" filled="t"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k8cMA&#10;AADbAAAADwAAAGRycy9kb3ducmV2LnhtbESPQW/CMAyF75P4D5GRuEyQjsOGCgFNsEmMnWD7AaYx&#10;TbXGKU1Wyr/HByRutt7ze58Xq97XqqM2VoENvEwyUMRFsBWXBn5/PsczUDEhW6wDk4ErRVgtB08L&#10;zG248J66QyqVhHDM0YBLqcm1joUjj3ESGmLRTqH1mGRtS21bvEi4r/U0y161x4qlwWFDa0fF3+Hf&#10;G+je6Csedx903Gz0s6N9d+bvkzGjYf8+B5WoTw/z/XprBV/o5RcZ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Qk8cMAAADbAAAADwAAAAAAAAAAAAAAAACYAgAAZHJzL2Rv&#10;d25yZXYueG1sUEsFBgAAAAAEAAQA9QAAAIgDAAAAAA==&#10;">
              <v:path/>
              <v:fill on="t" focussize="0,0"/>
              <v:stroke on="f" joinstyle="miter"/>
              <v:imagedata o:title=""/>
              <o:lock v:ext="edit"/>
              <v:textbox>
                <w:txbxContent>
                  <w:p>
                    <w:pPr>
                      <w:spacing w:before="120" w:after="120"/>
                    </w:pPr>
                  </w:p>
                </w:txbxContent>
              </v:textbox>
            </v:shape>
            <v:shape id="Text Box 5" o:spid="_x0000_s1035" o:spt="202" type="#_x0000_t202" style="position:absolute;left:4019;top:14776;height:11163;width:44558;"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v:path/>
              <v:fill on="f" focussize="0,0"/>
              <v:stroke on="f" joinstyle="miter"/>
              <v:imagedata o:title=""/>
              <o:lock v:ext="edit"/>
              <v:textbox inset="0mm,0mm,0mm,0mm">
                <w:txbxContent>
                  <w:p>
                    <w:pPr>
                      <w:spacing w:line="360" w:lineRule="auto"/>
                      <w:jc w:val="center"/>
                      <w:rPr>
                        <w:rFonts w:ascii="宋体" w:hAnsi="宋体"/>
                        <w:b/>
                        <w:bCs/>
                        <w:sz w:val="28"/>
                        <w:szCs w:val="28"/>
                      </w:rPr>
                    </w:pPr>
                    <w:r>
                      <w:rPr>
                        <w:rFonts w:hint="eastAsia" w:ascii="宋体" w:hAnsi="宋体"/>
                        <w:b/>
                        <w:bCs/>
                        <w:sz w:val="28"/>
                        <w:szCs w:val="28"/>
                      </w:rPr>
                      <w:t>国泰新点软件股份有限公司</w:t>
                    </w:r>
                  </w:p>
                  <w:p>
                    <w:pPr>
                      <w:spacing w:line="360" w:lineRule="auto"/>
                      <w:jc w:val="center"/>
                      <w:rPr>
                        <w:rFonts w:ascii="宋体" w:hAnsi="宋体"/>
                        <w:sz w:val="18"/>
                        <w:szCs w:val="18"/>
                      </w:rPr>
                    </w:pPr>
                    <w:r>
                      <w:rPr>
                        <w:rFonts w:hint="eastAsia" w:ascii="宋体" w:hAnsi="宋体"/>
                        <w:sz w:val="18"/>
                        <w:szCs w:val="18"/>
                      </w:rPr>
                      <w:t>地址：江苏省张家港市北二环与江帆路交界处（http://www.epoint.com.cn）</w:t>
                    </w:r>
                  </w:p>
                  <w:p>
                    <w:pPr>
                      <w:spacing w:line="360" w:lineRule="auto"/>
                      <w:jc w:val="center"/>
                      <w:rPr>
                        <w:rFonts w:ascii="宋体" w:hAnsi="宋体"/>
                        <w:sz w:val="18"/>
                        <w:szCs w:val="18"/>
                      </w:rPr>
                    </w:pPr>
                    <w:r>
                      <w:rPr>
                        <w:rFonts w:hint="eastAsia" w:ascii="宋体" w:hAnsi="宋体"/>
                        <w:sz w:val="18"/>
                        <w:szCs w:val="18"/>
                      </w:rPr>
                      <w:t>电话：4009980000</w:t>
                    </w:r>
                    <w:r>
                      <w:rPr>
                        <w:rFonts w:ascii="宋体" w:hAnsi="宋体"/>
                        <w:sz w:val="18"/>
                        <w:szCs w:val="18"/>
                      </w:rPr>
                      <w:t xml:space="preserve">         </w:t>
                    </w:r>
                    <w:r>
                      <w:rPr>
                        <w:rFonts w:hint="eastAsia" w:ascii="宋体" w:hAnsi="宋体"/>
                        <w:sz w:val="18"/>
                        <w:szCs w:val="18"/>
                      </w:rPr>
                      <w:t>传真：0</w:t>
                    </w:r>
                    <w:r>
                      <w:rPr>
                        <w:rFonts w:ascii="宋体" w:hAnsi="宋体"/>
                        <w:sz w:val="18"/>
                        <w:szCs w:val="18"/>
                      </w:rPr>
                      <w:t>512</w:t>
                    </w:r>
                    <w:r>
                      <w:rPr>
                        <w:rFonts w:hint="eastAsia" w:ascii="宋体" w:hAnsi="宋体"/>
                        <w:sz w:val="18"/>
                        <w:szCs w:val="18"/>
                      </w:rPr>
                      <w:t>-</w:t>
                    </w:r>
                    <w:r>
                      <w:rPr>
                        <w:rFonts w:ascii="宋体" w:hAnsi="宋体"/>
                        <w:sz w:val="18"/>
                        <w:szCs w:val="18"/>
                      </w:rPr>
                      <w:t>58132373</w:t>
                    </w:r>
                  </w:p>
                </w:txbxContent>
              </v:textbox>
            </v:shape>
            <v:shape id="Picture 16" o:spid="_x0000_s1036" o:spt="75" alt="公司LOGO2018版" type="#_x0000_t75" style="position:absolute;left:9836;top:3416;height:7652;width:33477;" filled="f" o:preferrelative="t" stroked="f" coordsize="21600,21600">
              <v:path/>
              <v:fill on="f" focussize="0,0"/>
              <v:stroke on="f" joinstyle="miter"/>
              <v:imagedata r:id="rId6" o:title="公司LOGO2018版"/>
              <o:lock v:ext="edit" aspectratio="t"/>
            </v:shape>
            <w10:wrap type="none"/>
            <w10:anchorlock/>
          </v:group>
        </w:pict>
      </w:r>
    </w:p>
    <w:p>
      <w:pPr>
        <w:widowControl/>
        <w:spacing w:line="360" w:lineRule="auto"/>
        <w:jc w:val="center"/>
      </w:pPr>
      <w:r>
        <w:rPr>
          <w:rFonts w:hint="eastAsia" w:eastAsia="黑体"/>
          <w:b/>
          <w:sz w:val="52"/>
          <w:szCs w:val="52"/>
        </w:rPr>
        <w:t>小规模电子招投标系统代理操作手册（不见面开标大厅流程）</w:t>
      </w:r>
      <w:r>
        <w:rPr>
          <w:rFonts w:eastAsia="黑体"/>
          <w:b/>
          <w:szCs w:val="21"/>
        </w:rPr>
        <w:br w:type="page"/>
      </w:r>
    </w:p>
    <w:p>
      <w:pPr>
        <w:pStyle w:val="3"/>
      </w:pPr>
      <w:r>
        <w:rPr>
          <w:rFonts w:hint="eastAsia"/>
        </w:rPr>
        <w:t>不见面开标大厅</w:t>
      </w:r>
    </w:p>
    <w:p>
      <w:pPr>
        <w:pStyle w:val="4"/>
      </w:pPr>
      <w:r>
        <w:rPr>
          <w:rFonts w:hint="eastAsia"/>
        </w:rPr>
        <w:t>登录</w:t>
      </w:r>
      <w:bookmarkStart w:id="0" w:name="_GoBack"/>
      <w:bookmarkEnd w:id="0"/>
    </w:p>
    <w:p>
      <w:pPr>
        <w:rPr>
          <w:rFonts w:hint="eastAsia" w:eastAsia="宋体"/>
          <w:lang w:eastAsia="zh-CN"/>
        </w:rPr>
      </w:pPr>
      <w:r>
        <w:rPr>
          <w:rFonts w:hint="eastAsia"/>
        </w:rPr>
        <w:t>1、登录地址</w:t>
      </w:r>
      <w:r>
        <w:rPr>
          <w:rFonts w:hint="eastAsia"/>
          <w:lang w:eastAsia="zh-CN"/>
        </w:rPr>
        <w:t>：</w:t>
      </w:r>
      <w:r>
        <w:rPr>
          <w:rFonts w:hint="eastAsia"/>
        </w:rPr>
        <w:t>https://smggzy.sm.gov.cn:8026/TPBidder/ggzymemberLogin</w:t>
      </w:r>
    </w:p>
    <w:p>
      <w:pPr>
        <w:rPr>
          <w:rFonts w:hint="default" w:eastAsia="宋体"/>
          <w:lang w:val="en-US" w:eastAsia="zh-CN"/>
        </w:rPr>
      </w:pPr>
      <w:r>
        <w:rPr>
          <w:rFonts w:hint="eastAsia"/>
        </w:rPr>
        <w:t>在开标当天，代理单位提前</w:t>
      </w:r>
      <w:r>
        <w:rPr>
          <w:rFonts w:hint="eastAsia"/>
          <w:lang w:val="en-US" w:eastAsia="zh-CN"/>
        </w:rPr>
        <w:t>业务系统跳转进入项目开标大厅。</w:t>
      </w:r>
    </w:p>
    <w:p/>
    <w:p>
      <w:r>
        <w:rPr>
          <w:rFonts w:hint="eastAsia"/>
        </w:rPr>
        <w:t>2、进入系统后可以查看当日开标的项目，点击进入今日开标项目。如下图所示：</w:t>
      </w:r>
    </w:p>
    <w:p>
      <w:r>
        <w:drawing>
          <wp:inline distT="0" distB="0" distL="0" distR="0">
            <wp:extent cx="5274310" cy="24993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7"/>
                    <a:stretch>
                      <a:fillRect/>
                    </a:stretch>
                  </pic:blipFill>
                  <pic:spPr>
                    <a:xfrm>
                      <a:off x="0" y="0"/>
                      <a:ext cx="5274310" cy="2499803"/>
                    </a:xfrm>
                    <a:prstGeom prst="rect">
                      <a:avLst/>
                    </a:prstGeom>
                  </pic:spPr>
                </pic:pic>
              </a:graphicData>
            </a:graphic>
          </wp:inline>
        </w:drawing>
      </w:r>
    </w:p>
    <w:p>
      <w:pPr>
        <w:widowControl/>
        <w:jc w:val="left"/>
      </w:pPr>
      <w:r>
        <w:br w:type="page"/>
      </w:r>
    </w:p>
    <w:p>
      <w:pPr>
        <w:pStyle w:val="4"/>
      </w:pPr>
      <w:r>
        <w:rPr>
          <w:rFonts w:hint="eastAsia"/>
        </w:rPr>
        <w:t>开标</w:t>
      </w:r>
    </w:p>
    <w:p>
      <w:r>
        <w:t>1、进入不见面开标大厅后，可以在本页面上查看整个开标流程。点击已阅读后进入下一步操作。如下图所示：</w:t>
      </w:r>
    </w:p>
    <w:p>
      <w:r>
        <w:drawing>
          <wp:inline distT="0" distB="0" distL="0" distR="0">
            <wp:extent cx="5274310" cy="24993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274310" cy="2499803"/>
                    </a:xfrm>
                    <a:prstGeom prst="rect">
                      <a:avLst/>
                    </a:prstGeom>
                  </pic:spPr>
                </pic:pic>
              </a:graphicData>
            </a:graphic>
          </wp:inline>
        </w:drawing>
      </w:r>
    </w:p>
    <w:p>
      <w:r>
        <w:rPr>
          <w:rFonts w:hint="eastAsia"/>
        </w:rPr>
        <w:t>2、在公布名单前可以点击分享桌面和视频直播。如下图所示：</w:t>
      </w:r>
    </w:p>
    <w:p>
      <w:r>
        <w:drawing>
          <wp:inline distT="0" distB="0" distL="0" distR="0">
            <wp:extent cx="5274310" cy="246507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9"/>
                    <a:stretch>
                      <a:fillRect/>
                    </a:stretch>
                  </pic:blipFill>
                  <pic:spPr>
                    <a:xfrm>
                      <a:off x="0" y="0"/>
                      <a:ext cx="5274310" cy="2465618"/>
                    </a:xfrm>
                    <a:prstGeom prst="rect">
                      <a:avLst/>
                    </a:prstGeom>
                  </pic:spPr>
                </pic:pic>
              </a:graphicData>
            </a:graphic>
          </wp:inline>
        </w:drawing>
      </w:r>
    </w:p>
    <w:p>
      <w:r>
        <w:rPr>
          <w:rFonts w:hint="eastAsia"/>
        </w:rPr>
        <w:t>3、代理也可以开启交流控制，可开启群聊和私聊功能。如下图：</w:t>
      </w:r>
    </w:p>
    <w:p>
      <w:r>
        <w:drawing>
          <wp:inline distT="0" distB="0" distL="0" distR="0">
            <wp:extent cx="5274310" cy="1706880"/>
            <wp:effectExtent l="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10"/>
                    <a:stretch>
                      <a:fillRect/>
                    </a:stretch>
                  </pic:blipFill>
                  <pic:spPr>
                    <a:xfrm>
                      <a:off x="0" y="0"/>
                      <a:ext cx="5274310" cy="1707436"/>
                    </a:xfrm>
                    <a:prstGeom prst="rect">
                      <a:avLst/>
                    </a:prstGeom>
                  </pic:spPr>
                </pic:pic>
              </a:graphicData>
            </a:graphic>
          </wp:inline>
        </w:drawing>
      </w:r>
    </w:p>
    <w:p/>
    <w:p/>
    <w:p/>
    <w:p>
      <w:r>
        <w:rPr>
          <w:rFonts w:hint="eastAsia"/>
        </w:rPr>
        <w:t>4、代理现场也可以对投标人提出的异议进行回复。</w:t>
      </w:r>
    </w:p>
    <w:p>
      <w:r>
        <w:drawing>
          <wp:inline distT="0" distB="0" distL="0" distR="0">
            <wp:extent cx="5274310" cy="2439035"/>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11"/>
                    <a:stretch>
                      <a:fillRect/>
                    </a:stretch>
                  </pic:blipFill>
                  <pic:spPr>
                    <a:xfrm>
                      <a:off x="0" y="0"/>
                      <a:ext cx="5274310" cy="2439368"/>
                    </a:xfrm>
                    <a:prstGeom prst="rect">
                      <a:avLst/>
                    </a:prstGeom>
                  </pic:spPr>
                </pic:pic>
              </a:graphicData>
            </a:graphic>
          </wp:inline>
        </w:drawing>
      </w:r>
    </w:p>
    <w:p/>
    <w:p>
      <w:pPr>
        <w:pStyle w:val="4"/>
      </w:pPr>
      <w:r>
        <w:t>公布投标人</w:t>
      </w:r>
    </w:p>
    <w:p>
      <w:r>
        <w:rPr>
          <w:rFonts w:hint="eastAsia"/>
        </w:rPr>
        <w:t>开标时间到时，代理点击公布投标人后，公布投标人名单。</w:t>
      </w:r>
    </w:p>
    <w:p>
      <w:r>
        <w:drawing>
          <wp:inline distT="0" distB="0" distL="0" distR="0">
            <wp:extent cx="5274310" cy="244729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5274310" cy="2447304"/>
                    </a:xfrm>
                    <a:prstGeom prst="rect">
                      <a:avLst/>
                    </a:prstGeom>
                  </pic:spPr>
                </pic:pic>
              </a:graphicData>
            </a:graphic>
          </wp:inline>
        </w:drawing>
      </w:r>
    </w:p>
    <w:p>
      <w:r>
        <w:drawing>
          <wp:inline distT="0" distB="0" distL="0" distR="0">
            <wp:extent cx="5274310" cy="1979930"/>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13"/>
                    <a:stretch>
                      <a:fillRect/>
                    </a:stretch>
                  </pic:blipFill>
                  <pic:spPr>
                    <a:xfrm>
                      <a:off x="0" y="0"/>
                      <a:ext cx="5274310" cy="1980308"/>
                    </a:xfrm>
                    <a:prstGeom prst="rect">
                      <a:avLst/>
                    </a:prstGeom>
                  </pic:spPr>
                </pic:pic>
              </a:graphicData>
            </a:graphic>
          </wp:inline>
        </w:drawing>
      </w:r>
    </w:p>
    <w:p>
      <w:pPr>
        <w:widowControl/>
        <w:jc w:val="left"/>
      </w:pPr>
      <w:r>
        <w:br w:type="page"/>
      </w:r>
    </w:p>
    <w:p>
      <w:pPr>
        <w:pStyle w:val="4"/>
      </w:pPr>
      <w:r>
        <w:t>投标人解密</w:t>
      </w:r>
    </w:p>
    <w:p>
      <w:r>
        <w:rPr>
          <w:rFonts w:hint="eastAsia"/>
        </w:rPr>
        <w:t>1、当公布完投标人名单之后点击进入下一阶段，投标人解密阶段。</w:t>
      </w:r>
    </w:p>
    <w:p>
      <w:pPr>
        <w:spacing w:line="360" w:lineRule="auto"/>
        <w:jc w:val="left"/>
      </w:pPr>
      <w:r>
        <w:drawing>
          <wp:inline distT="0" distB="0" distL="0" distR="0">
            <wp:extent cx="5274310" cy="22256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4310" cy="2225710"/>
                    </a:xfrm>
                    <a:prstGeom prst="rect">
                      <a:avLst/>
                    </a:prstGeom>
                  </pic:spPr>
                </pic:pic>
              </a:graphicData>
            </a:graphic>
          </wp:inline>
        </w:drawing>
      </w:r>
    </w:p>
    <w:p>
      <w:r>
        <w:t>2、进入解密环节，代理等待所有投标人解密完成后进入下一阶段或等待解密时间结束后。</w:t>
      </w:r>
    </w:p>
    <w:p>
      <w:r>
        <w:rPr>
          <w:rFonts w:hint="eastAsia"/>
        </w:rPr>
        <w:t>在解密过程中，代理可以关注互动交流中各投标人提出相关异议进行答复等。</w:t>
      </w:r>
    </w:p>
    <w:p>
      <w:r>
        <w:rPr>
          <w:rFonts w:hint="eastAsia"/>
        </w:rPr>
        <w:t>如下图所示：</w:t>
      </w:r>
    </w:p>
    <w:p>
      <w:r>
        <w:drawing>
          <wp:inline distT="0" distB="0" distL="0" distR="0">
            <wp:extent cx="5274310" cy="243586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15"/>
                    <a:stretch>
                      <a:fillRect/>
                    </a:stretch>
                  </pic:blipFill>
                  <pic:spPr>
                    <a:xfrm>
                      <a:off x="0" y="0"/>
                      <a:ext cx="5274310" cy="2436316"/>
                    </a:xfrm>
                    <a:prstGeom prst="rect">
                      <a:avLst/>
                    </a:prstGeom>
                  </pic:spPr>
                </pic:pic>
              </a:graphicData>
            </a:graphic>
          </wp:inline>
        </w:drawing>
      </w:r>
    </w:p>
    <w:p>
      <w:pPr>
        <w:widowControl/>
        <w:jc w:val="left"/>
      </w:pPr>
      <w:r>
        <w:drawing>
          <wp:inline distT="0" distB="0" distL="0" distR="0">
            <wp:extent cx="5274310" cy="2169160"/>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16"/>
                    <a:stretch>
                      <a:fillRect/>
                    </a:stretch>
                  </pic:blipFill>
                  <pic:spPr>
                    <a:xfrm>
                      <a:off x="0" y="0"/>
                      <a:ext cx="5274310" cy="2169548"/>
                    </a:xfrm>
                    <a:prstGeom prst="rect">
                      <a:avLst/>
                    </a:prstGeom>
                  </pic:spPr>
                </pic:pic>
              </a:graphicData>
            </a:graphic>
          </wp:inline>
        </w:drawing>
      </w:r>
    </w:p>
    <w:p>
      <w:pPr>
        <w:widowControl/>
        <w:jc w:val="left"/>
      </w:pPr>
      <w:r>
        <w:br w:type="page"/>
      </w:r>
    </w:p>
    <w:p>
      <w:pPr>
        <w:pStyle w:val="4"/>
      </w:pPr>
      <w:r>
        <w:t>批量导入</w:t>
      </w:r>
    </w:p>
    <w:p>
      <w:pPr>
        <w:pStyle w:val="52"/>
        <w:numPr>
          <w:ilvl w:val="0"/>
          <w:numId w:val="2"/>
        </w:numPr>
        <w:jc w:val="left"/>
      </w:pPr>
      <w:r>
        <w:t>首先要登录评标系统</w:t>
      </w:r>
      <w:r>
        <w:rPr>
          <w:rFonts w:hint="eastAsia"/>
          <w:lang w:val="en-US" w:eastAsia="zh-CN"/>
        </w:rPr>
        <w:t>如图所示：</w:t>
      </w:r>
      <w:r>
        <w:drawing>
          <wp:inline distT="0" distB="0" distL="114300" distR="114300">
            <wp:extent cx="5269865" cy="2748915"/>
            <wp:effectExtent l="0" t="0" r="317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269865" cy="2748915"/>
                    </a:xfrm>
                    <a:prstGeom prst="rect">
                      <a:avLst/>
                    </a:prstGeom>
                    <a:noFill/>
                    <a:ln>
                      <a:noFill/>
                    </a:ln>
                  </pic:spPr>
                </pic:pic>
              </a:graphicData>
            </a:graphic>
          </wp:inline>
        </w:drawing>
      </w:r>
    </w:p>
    <w:p>
      <w:pPr>
        <w:pStyle w:val="52"/>
        <w:ind w:left="360"/>
      </w:pPr>
    </w:p>
    <w:p>
      <w:pPr>
        <w:pStyle w:val="52"/>
        <w:ind w:left="360"/>
      </w:pPr>
    </w:p>
    <w:p>
      <w:pPr>
        <w:pStyle w:val="52"/>
        <w:numPr>
          <w:ilvl w:val="0"/>
          <w:numId w:val="2"/>
        </w:numPr>
      </w:pPr>
      <w:r>
        <w:rPr>
          <w:rFonts w:hint="eastAsia"/>
          <w:lang w:val="en-US" w:eastAsia="zh-CN"/>
        </w:rPr>
        <w:t>点击进入当天开标项目</w:t>
      </w:r>
      <w:r>
        <w:rPr>
          <w:rFonts w:hint="eastAsia"/>
        </w:rPr>
        <w:t>如下图所示：</w:t>
      </w:r>
    </w:p>
    <w:p>
      <w:r>
        <w:drawing>
          <wp:inline distT="0" distB="0" distL="114300" distR="114300">
            <wp:extent cx="5273040" cy="1664335"/>
            <wp:effectExtent l="0" t="0" r="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273040" cy="1664335"/>
                    </a:xfrm>
                    <a:prstGeom prst="rect">
                      <a:avLst/>
                    </a:prstGeom>
                    <a:noFill/>
                    <a:ln>
                      <a:noFill/>
                    </a:ln>
                  </pic:spPr>
                </pic:pic>
              </a:graphicData>
            </a:graphic>
          </wp:inline>
        </w:drawing>
      </w:r>
    </w:p>
    <w:p>
      <w:r>
        <w:rPr>
          <w:rFonts w:hint="eastAsia"/>
        </w:rPr>
        <w:t>3、选择【投标文件解密】然后点击批量导入即可。</w:t>
      </w:r>
    </w:p>
    <w:p>
      <w:r>
        <w:drawing>
          <wp:inline distT="0" distB="0" distL="0" distR="0">
            <wp:extent cx="5274310" cy="2488565"/>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19"/>
                    <a:stretch>
                      <a:fillRect/>
                    </a:stretch>
                  </pic:blipFill>
                  <pic:spPr>
                    <a:xfrm>
                      <a:off x="0" y="0"/>
                      <a:ext cx="5274310" cy="2488815"/>
                    </a:xfrm>
                    <a:prstGeom prst="rect">
                      <a:avLst/>
                    </a:prstGeom>
                  </pic:spPr>
                </pic:pic>
              </a:graphicData>
            </a:graphic>
          </wp:inline>
        </w:drawing>
      </w:r>
    </w:p>
    <w:p>
      <w:r>
        <w:drawing>
          <wp:inline distT="0" distB="0" distL="0" distR="0">
            <wp:extent cx="5274310" cy="245554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0"/>
                    <a:stretch>
                      <a:fillRect/>
                    </a:stretch>
                  </pic:blipFill>
                  <pic:spPr>
                    <a:xfrm>
                      <a:off x="0" y="0"/>
                      <a:ext cx="5274310" cy="2455851"/>
                    </a:xfrm>
                    <a:prstGeom prst="rect">
                      <a:avLst/>
                    </a:prstGeom>
                  </pic:spPr>
                </pic:pic>
              </a:graphicData>
            </a:graphic>
          </wp:inline>
        </w:drawing>
      </w:r>
    </w:p>
    <w:p>
      <w:r>
        <w:t>4、返回不见面开标系统点击批量导入，如下图：</w:t>
      </w:r>
    </w:p>
    <w:p>
      <w:r>
        <w:drawing>
          <wp:inline distT="0" distB="0" distL="0" distR="0">
            <wp:extent cx="5274310" cy="220853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1"/>
                    <a:stretch>
                      <a:fillRect/>
                    </a:stretch>
                  </pic:blipFill>
                  <pic:spPr>
                    <a:xfrm>
                      <a:off x="0" y="0"/>
                      <a:ext cx="5274310" cy="2208617"/>
                    </a:xfrm>
                    <a:prstGeom prst="rect">
                      <a:avLst/>
                    </a:prstGeom>
                  </pic:spPr>
                </pic:pic>
              </a:graphicData>
            </a:graphic>
          </wp:inline>
        </w:drawing>
      </w:r>
    </w:p>
    <w:p>
      <w:r>
        <w:drawing>
          <wp:inline distT="0" distB="0" distL="0" distR="0">
            <wp:extent cx="5274310" cy="245808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2"/>
                    <a:stretch>
                      <a:fillRect/>
                    </a:stretch>
                  </pic:blipFill>
                  <pic:spPr>
                    <a:xfrm>
                      <a:off x="0" y="0"/>
                      <a:ext cx="5274310" cy="2458292"/>
                    </a:xfrm>
                    <a:prstGeom prst="rect">
                      <a:avLst/>
                    </a:prstGeom>
                  </pic:spPr>
                </pic:pic>
              </a:graphicData>
            </a:graphic>
          </wp:inline>
        </w:drawing>
      </w:r>
    </w:p>
    <w:p/>
    <w:p>
      <w:pPr>
        <w:pStyle w:val="4"/>
      </w:pPr>
      <w:r>
        <w:rPr>
          <w:rFonts w:hint="eastAsia"/>
        </w:rPr>
        <w:t>唱标</w:t>
      </w:r>
    </w:p>
    <w:p>
      <w:r>
        <w:rPr>
          <w:rFonts w:hint="eastAsia"/>
        </w:rPr>
        <w:t>完成批量导入即可点击开标结束。</w:t>
      </w:r>
    </w:p>
    <w:p>
      <w:r>
        <w:drawing>
          <wp:inline distT="0" distB="0" distL="0" distR="0">
            <wp:extent cx="5274310" cy="24193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5274310" cy="2419834"/>
                    </a:xfrm>
                    <a:prstGeom prst="rect">
                      <a:avLst/>
                    </a:prstGeom>
                  </pic:spPr>
                </pic:pic>
              </a:graphicData>
            </a:graphic>
          </wp:inline>
        </w:drawing>
      </w:r>
      <w:r>
        <w:t xml:space="preserve"> </w:t>
      </w:r>
    </w:p>
    <w:p>
      <w:pPr>
        <w:widowControl/>
        <w:jc w:val="left"/>
      </w:pPr>
      <w:r>
        <w:br w:type="page"/>
      </w:r>
    </w:p>
    <w:p>
      <w:pPr>
        <w:pStyle w:val="3"/>
      </w:pPr>
      <w:r>
        <w:rPr>
          <w:rFonts w:hint="eastAsia"/>
        </w:rPr>
        <w:t>项目管理</w:t>
      </w:r>
    </w:p>
    <w:p>
      <w:r>
        <w:rPr>
          <w:rFonts w:hint="eastAsia"/>
        </w:rPr>
        <w:t>1、进入评标系统完成剩下的操作。此时代理可以将桌面分享，然后操作评标系统。</w:t>
      </w:r>
    </w:p>
    <w:p>
      <w:r>
        <w:rPr>
          <w:rFonts w:hint="eastAsia"/>
        </w:rPr>
        <w:t>桌面操作将同步到不见面开标系统，所有投标都可以实时查看。</w:t>
      </w:r>
    </w:p>
    <w:p>
      <w:r>
        <w:drawing>
          <wp:inline distT="0" distB="0" distL="0" distR="0">
            <wp:extent cx="5274310" cy="249936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4"/>
                    <a:stretch>
                      <a:fillRect/>
                    </a:stretch>
                  </pic:blipFill>
                  <pic:spPr>
                    <a:xfrm>
                      <a:off x="0" y="0"/>
                      <a:ext cx="5274310" cy="2499803"/>
                    </a:xfrm>
                    <a:prstGeom prst="rect">
                      <a:avLst/>
                    </a:prstGeom>
                  </pic:spPr>
                </pic:pic>
              </a:graphicData>
            </a:graphic>
          </wp:inline>
        </w:drawing>
      </w:r>
    </w:p>
    <w:p>
      <w:pPr>
        <w:pStyle w:val="3"/>
      </w:pPr>
      <w:r>
        <w:rPr>
          <w:rFonts w:hint="eastAsia"/>
        </w:rPr>
        <w:t>评标准备</w:t>
      </w:r>
    </w:p>
    <w:p>
      <w:r>
        <w:rPr>
          <w:rFonts w:hint="eastAsia"/>
        </w:rPr>
        <w:t>导入招标文件，确定评标办法（再次核对），</w:t>
      </w:r>
      <w:r>
        <w:rPr>
          <w:rFonts w:hint="eastAsia"/>
          <w:lang w:val="en-US" w:eastAsia="zh-CN"/>
        </w:rPr>
        <w:t>中心工作人员</w:t>
      </w:r>
      <w:r>
        <w:rPr>
          <w:rFonts w:hint="eastAsia"/>
        </w:rPr>
        <w:t>录入评委信息后，将评委登录评标系统的帐号密码打印出提供给评标</w:t>
      </w:r>
      <w:r>
        <w:rPr>
          <w:rFonts w:hint="eastAsia"/>
          <w:lang w:val="en-US" w:eastAsia="zh-CN"/>
        </w:rPr>
        <w:t>委员会</w:t>
      </w:r>
      <w:r>
        <w:rPr>
          <w:rFonts w:hint="eastAsia"/>
        </w:rPr>
        <w:t>，评委登录系统后进行评标。</w:t>
      </w:r>
    </w:p>
    <w:p>
      <w:r>
        <w:drawing>
          <wp:inline distT="0" distB="0" distL="0" distR="0">
            <wp:extent cx="5274310" cy="248856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5"/>
                    <a:stretch>
                      <a:fillRect/>
                    </a:stretch>
                  </pic:blipFill>
                  <pic:spPr>
                    <a:xfrm>
                      <a:off x="0" y="0"/>
                      <a:ext cx="5274310" cy="2488815"/>
                    </a:xfrm>
                    <a:prstGeom prst="rect">
                      <a:avLst/>
                    </a:prstGeom>
                  </pic:spPr>
                </pic:pic>
              </a:graphicData>
            </a:graphic>
          </wp:inline>
        </w:drawing>
      </w:r>
    </w:p>
    <w:p/>
    <w:p/>
    <w:p>
      <w:pPr>
        <w:pStyle w:val="3"/>
      </w:pPr>
      <w:r>
        <w:t>评标结束</w:t>
      </w:r>
    </w:p>
    <w:p>
      <w:r>
        <w:rPr>
          <w:rFonts w:hint="eastAsia"/>
        </w:rPr>
        <w:t>代理打印评标报告，专家签章后，由评标委员会完成评标结束。</w:t>
      </w:r>
    </w:p>
    <w:p>
      <w:pPr>
        <w:widowControl/>
        <w:jc w:val="left"/>
      </w:pPr>
      <w:r>
        <w:br w:type="page"/>
      </w:r>
    </w:p>
    <w:p/>
    <w:sectPr>
      <w:headerReference r:id="rId3" w:type="default"/>
      <w:footerReference r:id="rId4" w:type="default"/>
      <w:pgSz w:w="11906" w:h="16838"/>
      <w:pgMar w:top="1440" w:right="1800" w:bottom="1440" w:left="1800" w:header="454" w:footer="680"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9BBB59" w:sz="24" w:space="5"/>
      </w:pBdr>
      <w:wordWrap w:val="0"/>
      <w:jc w:val="right"/>
      <w:rPr>
        <w:i/>
        <w:iCs/>
        <w:color w:val="8C8C8C"/>
      </w:rPr>
    </w:pPr>
    <w:r>
      <w:t xml:space="preserve">国泰新点软件股份有限公司 </w:t>
    </w:r>
    <w:r>
      <w:rPr>
        <w:rFonts w:hint="eastAsia"/>
      </w:rPr>
      <w:t>4009980000</w:t>
    </w:r>
    <w:r>
      <w:rPr>
        <w:lang w:val="zh-CN"/>
      </w:rPr>
      <w:t xml:space="preserve"> /</w:t>
    </w:r>
    <w:r>
      <w:t>37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622423" w:sz="24" w:space="1"/>
      </w:pBdr>
      <w:jc w:val="left"/>
      <w:rPr>
        <w:rFonts w:ascii="Cambria" w:hAnsi="Cambria"/>
      </w:rPr>
    </w:pPr>
    <w:r>
      <w:rPr>
        <w:rFonts w:ascii="宋体" w:hAnsi="宋体"/>
      </w:rPr>
      <w:drawing>
        <wp:inline distT="0" distB="0" distL="114300" distR="114300">
          <wp:extent cx="596265" cy="302260"/>
          <wp:effectExtent l="0" t="0" r="13335" b="25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
                  <a:stretch>
                    <a:fillRect/>
                  </a:stretch>
                </pic:blipFill>
                <pic:spPr>
                  <a:xfrm>
                    <a:off x="0" y="0"/>
                    <a:ext cx="596265" cy="302260"/>
                  </a:xfrm>
                  <a:prstGeom prst="rect">
                    <a:avLst/>
                  </a:prstGeom>
                  <a:noFill/>
                  <a:ln w="9525">
                    <a:noFill/>
                  </a:ln>
                </pic:spPr>
              </pic:pic>
            </a:graphicData>
          </a:graphic>
        </wp:inline>
      </w:drawing>
    </w:r>
    <w:r>
      <w:rPr>
        <w:rFonts w:hint="eastAsia" w:ascii="宋体" w:hAnsi="宋体"/>
      </w:rPr>
      <w:t>代理</w:t>
    </w:r>
    <w:r>
      <w:rPr>
        <w:rFonts w:hint="eastAsia" w:ascii="Cambria" w:hAnsi="Cambr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2F4AB3"/>
    <w:multiLevelType w:val="multilevel"/>
    <w:tmpl w:val="6A2F4AB3"/>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284" w:firstLine="0"/>
      </w:pPr>
      <w:rPr>
        <w:rFonts w:hint="default" w:ascii="Times New Roman" w:hAnsi="Times New Roman" w:cs="Times New Roman"/>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1">
    <w:nsid w:val="7CEA5DE8"/>
    <w:multiLevelType w:val="multilevel"/>
    <w:tmpl w:val="7CEA5DE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iOTExZDAxYzIyNGE0ODJmY2EyYzRlOGZjZWJkODgifQ=="/>
  </w:docVars>
  <w:rsids>
    <w:rsidRoot w:val="00CB0CB8"/>
    <w:rsid w:val="00004678"/>
    <w:rsid w:val="0001694C"/>
    <w:rsid w:val="000320DA"/>
    <w:rsid w:val="000557F9"/>
    <w:rsid w:val="000650B6"/>
    <w:rsid w:val="000860E6"/>
    <w:rsid w:val="000B2271"/>
    <w:rsid w:val="000B7C2A"/>
    <w:rsid w:val="000C2CD0"/>
    <w:rsid w:val="000D0E4C"/>
    <w:rsid w:val="000D60AB"/>
    <w:rsid w:val="000E1406"/>
    <w:rsid w:val="001047D8"/>
    <w:rsid w:val="0011301E"/>
    <w:rsid w:val="00113DCF"/>
    <w:rsid w:val="00133919"/>
    <w:rsid w:val="0014275C"/>
    <w:rsid w:val="00142F5E"/>
    <w:rsid w:val="00145792"/>
    <w:rsid w:val="001539D1"/>
    <w:rsid w:val="00161054"/>
    <w:rsid w:val="00161156"/>
    <w:rsid w:val="00183221"/>
    <w:rsid w:val="00185EF8"/>
    <w:rsid w:val="00194387"/>
    <w:rsid w:val="00194B0C"/>
    <w:rsid w:val="001A1956"/>
    <w:rsid w:val="001B0959"/>
    <w:rsid w:val="001B14C0"/>
    <w:rsid w:val="001B4BF3"/>
    <w:rsid w:val="001C19CA"/>
    <w:rsid w:val="001D065D"/>
    <w:rsid w:val="001D4D22"/>
    <w:rsid w:val="001D7D73"/>
    <w:rsid w:val="002042E9"/>
    <w:rsid w:val="002125DC"/>
    <w:rsid w:val="00212B83"/>
    <w:rsid w:val="00213125"/>
    <w:rsid w:val="00217340"/>
    <w:rsid w:val="00222B6B"/>
    <w:rsid w:val="00223452"/>
    <w:rsid w:val="00225AAA"/>
    <w:rsid w:val="00234E42"/>
    <w:rsid w:val="002551EC"/>
    <w:rsid w:val="00273E3C"/>
    <w:rsid w:val="00286E5A"/>
    <w:rsid w:val="002911A8"/>
    <w:rsid w:val="00296B4F"/>
    <w:rsid w:val="002B0D82"/>
    <w:rsid w:val="002B24A7"/>
    <w:rsid w:val="002C5209"/>
    <w:rsid w:val="002D4942"/>
    <w:rsid w:val="002D7D17"/>
    <w:rsid w:val="002D7D5E"/>
    <w:rsid w:val="002F0D96"/>
    <w:rsid w:val="00307D1E"/>
    <w:rsid w:val="00320008"/>
    <w:rsid w:val="003215EB"/>
    <w:rsid w:val="00332947"/>
    <w:rsid w:val="003443D0"/>
    <w:rsid w:val="00375975"/>
    <w:rsid w:val="00383A70"/>
    <w:rsid w:val="00391906"/>
    <w:rsid w:val="00395CB1"/>
    <w:rsid w:val="003A0F0E"/>
    <w:rsid w:val="003A43F6"/>
    <w:rsid w:val="003B109C"/>
    <w:rsid w:val="003C09A8"/>
    <w:rsid w:val="003C6096"/>
    <w:rsid w:val="003D12C5"/>
    <w:rsid w:val="003E2AB9"/>
    <w:rsid w:val="00401C6E"/>
    <w:rsid w:val="004121CD"/>
    <w:rsid w:val="0043252D"/>
    <w:rsid w:val="00437D8C"/>
    <w:rsid w:val="0044019A"/>
    <w:rsid w:val="004534C0"/>
    <w:rsid w:val="004555C0"/>
    <w:rsid w:val="004B6EFF"/>
    <w:rsid w:val="004B7669"/>
    <w:rsid w:val="004B7D08"/>
    <w:rsid w:val="004C65B4"/>
    <w:rsid w:val="004C685E"/>
    <w:rsid w:val="004D44FE"/>
    <w:rsid w:val="004D5A59"/>
    <w:rsid w:val="004F0BB3"/>
    <w:rsid w:val="004F561E"/>
    <w:rsid w:val="004F5B3A"/>
    <w:rsid w:val="0050020A"/>
    <w:rsid w:val="00503FD3"/>
    <w:rsid w:val="005145E2"/>
    <w:rsid w:val="005167E6"/>
    <w:rsid w:val="00531AF5"/>
    <w:rsid w:val="00536C78"/>
    <w:rsid w:val="00542D94"/>
    <w:rsid w:val="00546F46"/>
    <w:rsid w:val="00553BAE"/>
    <w:rsid w:val="00555906"/>
    <w:rsid w:val="0056184F"/>
    <w:rsid w:val="005670FC"/>
    <w:rsid w:val="00574066"/>
    <w:rsid w:val="005778B4"/>
    <w:rsid w:val="005A7F39"/>
    <w:rsid w:val="005B0F0C"/>
    <w:rsid w:val="005B7B2E"/>
    <w:rsid w:val="005C65E4"/>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701AB0"/>
    <w:rsid w:val="0070615C"/>
    <w:rsid w:val="00716840"/>
    <w:rsid w:val="0075739E"/>
    <w:rsid w:val="00760102"/>
    <w:rsid w:val="00760550"/>
    <w:rsid w:val="00781DBF"/>
    <w:rsid w:val="007B05EA"/>
    <w:rsid w:val="007C027B"/>
    <w:rsid w:val="007C6C46"/>
    <w:rsid w:val="007D517D"/>
    <w:rsid w:val="007D52F3"/>
    <w:rsid w:val="007D5A7F"/>
    <w:rsid w:val="007E0E97"/>
    <w:rsid w:val="007F5328"/>
    <w:rsid w:val="007F7F6C"/>
    <w:rsid w:val="00803F49"/>
    <w:rsid w:val="008040F6"/>
    <w:rsid w:val="00804C01"/>
    <w:rsid w:val="0081434B"/>
    <w:rsid w:val="0081435D"/>
    <w:rsid w:val="00832371"/>
    <w:rsid w:val="00841814"/>
    <w:rsid w:val="0087788C"/>
    <w:rsid w:val="008A261B"/>
    <w:rsid w:val="008A62C2"/>
    <w:rsid w:val="008C1EA9"/>
    <w:rsid w:val="008C31A7"/>
    <w:rsid w:val="008C5BC6"/>
    <w:rsid w:val="008C6EB5"/>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9D4C6B"/>
    <w:rsid w:val="009D61DE"/>
    <w:rsid w:val="00A03C06"/>
    <w:rsid w:val="00A63273"/>
    <w:rsid w:val="00A648E8"/>
    <w:rsid w:val="00A64FDF"/>
    <w:rsid w:val="00A75E1A"/>
    <w:rsid w:val="00A839A8"/>
    <w:rsid w:val="00A83A77"/>
    <w:rsid w:val="00AC05E3"/>
    <w:rsid w:val="00AC52BF"/>
    <w:rsid w:val="00AE0348"/>
    <w:rsid w:val="00AE7613"/>
    <w:rsid w:val="00AF217A"/>
    <w:rsid w:val="00AF6831"/>
    <w:rsid w:val="00B102F9"/>
    <w:rsid w:val="00B14AA2"/>
    <w:rsid w:val="00B17F2B"/>
    <w:rsid w:val="00B26C48"/>
    <w:rsid w:val="00B33070"/>
    <w:rsid w:val="00B37C71"/>
    <w:rsid w:val="00B4034C"/>
    <w:rsid w:val="00B41857"/>
    <w:rsid w:val="00B52F04"/>
    <w:rsid w:val="00B57BB2"/>
    <w:rsid w:val="00B60AC1"/>
    <w:rsid w:val="00B70641"/>
    <w:rsid w:val="00B83086"/>
    <w:rsid w:val="00B87F00"/>
    <w:rsid w:val="00BB32D4"/>
    <w:rsid w:val="00BB48B8"/>
    <w:rsid w:val="00BC548C"/>
    <w:rsid w:val="00BD1273"/>
    <w:rsid w:val="00BD63EF"/>
    <w:rsid w:val="00BF10C1"/>
    <w:rsid w:val="00BF17AE"/>
    <w:rsid w:val="00C154F8"/>
    <w:rsid w:val="00C15F40"/>
    <w:rsid w:val="00C2382E"/>
    <w:rsid w:val="00C43B94"/>
    <w:rsid w:val="00C50FD5"/>
    <w:rsid w:val="00C608FA"/>
    <w:rsid w:val="00C61342"/>
    <w:rsid w:val="00C77135"/>
    <w:rsid w:val="00C95D03"/>
    <w:rsid w:val="00CB0CB8"/>
    <w:rsid w:val="00CB60FF"/>
    <w:rsid w:val="00CB633C"/>
    <w:rsid w:val="00CD1D15"/>
    <w:rsid w:val="00CF0015"/>
    <w:rsid w:val="00CF5B99"/>
    <w:rsid w:val="00D139E4"/>
    <w:rsid w:val="00D24070"/>
    <w:rsid w:val="00D25FAB"/>
    <w:rsid w:val="00D34236"/>
    <w:rsid w:val="00D55024"/>
    <w:rsid w:val="00D55EED"/>
    <w:rsid w:val="00D6193B"/>
    <w:rsid w:val="00D67013"/>
    <w:rsid w:val="00D76091"/>
    <w:rsid w:val="00D952CA"/>
    <w:rsid w:val="00DA648F"/>
    <w:rsid w:val="00DB24E7"/>
    <w:rsid w:val="00DC20D2"/>
    <w:rsid w:val="00DC7162"/>
    <w:rsid w:val="00DD08B4"/>
    <w:rsid w:val="00DD0AF3"/>
    <w:rsid w:val="00DD7BBA"/>
    <w:rsid w:val="00DF29FF"/>
    <w:rsid w:val="00E0034A"/>
    <w:rsid w:val="00E04D54"/>
    <w:rsid w:val="00E11E29"/>
    <w:rsid w:val="00E33B5F"/>
    <w:rsid w:val="00E54335"/>
    <w:rsid w:val="00E661A2"/>
    <w:rsid w:val="00E708C2"/>
    <w:rsid w:val="00E75337"/>
    <w:rsid w:val="00E771E5"/>
    <w:rsid w:val="00EA3208"/>
    <w:rsid w:val="00EB7476"/>
    <w:rsid w:val="00EC506D"/>
    <w:rsid w:val="00EF547B"/>
    <w:rsid w:val="00F07BA5"/>
    <w:rsid w:val="00F11AD2"/>
    <w:rsid w:val="00F16787"/>
    <w:rsid w:val="00F16F58"/>
    <w:rsid w:val="00F21D18"/>
    <w:rsid w:val="00F22B94"/>
    <w:rsid w:val="00F22E22"/>
    <w:rsid w:val="00F34A91"/>
    <w:rsid w:val="00F54671"/>
    <w:rsid w:val="00F8031E"/>
    <w:rsid w:val="00F83152"/>
    <w:rsid w:val="00F8652D"/>
    <w:rsid w:val="00F878DE"/>
    <w:rsid w:val="00F94D9F"/>
    <w:rsid w:val="00F956A1"/>
    <w:rsid w:val="00FA6310"/>
    <w:rsid w:val="00FB38B2"/>
    <w:rsid w:val="00FC03A7"/>
    <w:rsid w:val="00FC1978"/>
    <w:rsid w:val="00FC29B2"/>
    <w:rsid w:val="00FC5549"/>
    <w:rsid w:val="00FD5AE4"/>
    <w:rsid w:val="00FD6DE7"/>
    <w:rsid w:val="00FE15BD"/>
    <w:rsid w:val="01424047"/>
    <w:rsid w:val="0225597D"/>
    <w:rsid w:val="03325456"/>
    <w:rsid w:val="04496B9B"/>
    <w:rsid w:val="057972AB"/>
    <w:rsid w:val="068A0147"/>
    <w:rsid w:val="076348E1"/>
    <w:rsid w:val="0A800B29"/>
    <w:rsid w:val="0AF50B51"/>
    <w:rsid w:val="0C023927"/>
    <w:rsid w:val="0C641DB8"/>
    <w:rsid w:val="0FEF35E7"/>
    <w:rsid w:val="10AE7F7F"/>
    <w:rsid w:val="12AD3987"/>
    <w:rsid w:val="149D62F8"/>
    <w:rsid w:val="166222B1"/>
    <w:rsid w:val="17C57D34"/>
    <w:rsid w:val="187F6455"/>
    <w:rsid w:val="188643E1"/>
    <w:rsid w:val="1ACE3C2C"/>
    <w:rsid w:val="1BF66A57"/>
    <w:rsid w:val="1D7330F4"/>
    <w:rsid w:val="20423158"/>
    <w:rsid w:val="26DF057F"/>
    <w:rsid w:val="29441404"/>
    <w:rsid w:val="2F6D06B3"/>
    <w:rsid w:val="2F7A5EF2"/>
    <w:rsid w:val="2FBE6079"/>
    <w:rsid w:val="325D3DFA"/>
    <w:rsid w:val="387E51EF"/>
    <w:rsid w:val="3B451FBF"/>
    <w:rsid w:val="3BEE2DE5"/>
    <w:rsid w:val="3C9F30A6"/>
    <w:rsid w:val="3CA44493"/>
    <w:rsid w:val="3F896B6C"/>
    <w:rsid w:val="40F80CEE"/>
    <w:rsid w:val="4464764E"/>
    <w:rsid w:val="45C41554"/>
    <w:rsid w:val="49F21746"/>
    <w:rsid w:val="49FB3020"/>
    <w:rsid w:val="4A9343DB"/>
    <w:rsid w:val="4BA9605C"/>
    <w:rsid w:val="4D4168A5"/>
    <w:rsid w:val="4E1A5F34"/>
    <w:rsid w:val="4EB12033"/>
    <w:rsid w:val="4F485D60"/>
    <w:rsid w:val="50E434D8"/>
    <w:rsid w:val="533F4C1D"/>
    <w:rsid w:val="55090D36"/>
    <w:rsid w:val="55512F17"/>
    <w:rsid w:val="579C374E"/>
    <w:rsid w:val="58F34851"/>
    <w:rsid w:val="5ADA6978"/>
    <w:rsid w:val="5E91782C"/>
    <w:rsid w:val="5F4A7FEA"/>
    <w:rsid w:val="61254CFC"/>
    <w:rsid w:val="62BD6461"/>
    <w:rsid w:val="69242F09"/>
    <w:rsid w:val="6947308F"/>
    <w:rsid w:val="69665B5D"/>
    <w:rsid w:val="6A0067D8"/>
    <w:rsid w:val="6B1E1B49"/>
    <w:rsid w:val="6BCC570E"/>
    <w:rsid w:val="6C654AE4"/>
    <w:rsid w:val="6E4464E4"/>
    <w:rsid w:val="6E5D2598"/>
    <w:rsid w:val="6EB66DE2"/>
    <w:rsid w:val="72547AD7"/>
    <w:rsid w:val="7327724E"/>
    <w:rsid w:val="758F5B2E"/>
    <w:rsid w:val="76A65564"/>
    <w:rsid w:val="78857E83"/>
    <w:rsid w:val="78865BA2"/>
    <w:rsid w:val="7923610A"/>
    <w:rsid w:val="7D05456F"/>
    <w:rsid w:val="7DBA1955"/>
    <w:rsid w:val="7E3C5B80"/>
    <w:rsid w:val="7E725145"/>
    <w:rsid w:val="7F781CB8"/>
    <w:rsid w:val="7FC63F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0"/>
    <w:qFormat/>
    <w:uiPriority w:val="0"/>
    <w:pPr>
      <w:keepNext/>
      <w:keepLines/>
      <w:numPr>
        <w:ilvl w:val="1"/>
        <w:numId w:val="1"/>
      </w:numPr>
      <w:spacing w:before="120" w:after="120" w:line="360" w:lineRule="auto"/>
      <w:ind w:left="0"/>
      <w:outlineLvl w:val="1"/>
    </w:pPr>
    <w:rPr>
      <w:b/>
      <w:bCs/>
      <w:sz w:val="28"/>
      <w:szCs w:val="32"/>
    </w:rPr>
  </w:style>
  <w:style w:type="paragraph" w:styleId="4">
    <w:name w:val="heading 3"/>
    <w:basedOn w:val="1"/>
    <w:next w:val="1"/>
    <w:link w:val="31"/>
    <w:qFormat/>
    <w:uiPriority w:val="0"/>
    <w:pPr>
      <w:keepNext/>
      <w:keepLines/>
      <w:numPr>
        <w:ilvl w:val="2"/>
        <w:numId w:val="1"/>
      </w:numPr>
      <w:spacing w:before="120" w:after="120" w:line="360" w:lineRule="auto"/>
      <w:outlineLvl w:val="2"/>
    </w:pPr>
    <w:rPr>
      <w:b/>
      <w:bCs/>
      <w:sz w:val="24"/>
      <w:szCs w:val="18"/>
    </w:rPr>
  </w:style>
  <w:style w:type="paragraph" w:styleId="5">
    <w:name w:val="heading 4"/>
    <w:basedOn w:val="1"/>
    <w:next w:val="1"/>
    <w:link w:val="32"/>
    <w:qFormat/>
    <w:uiPriority w:val="0"/>
    <w:pPr>
      <w:keepNext/>
      <w:keepLines/>
      <w:numPr>
        <w:ilvl w:val="3"/>
        <w:numId w:val="1"/>
      </w:numPr>
      <w:spacing w:before="120" w:after="120" w:line="360" w:lineRule="auto"/>
      <w:outlineLvl w:val="3"/>
    </w:pPr>
    <w:rPr>
      <w:b/>
      <w:bCs/>
      <w:sz w:val="24"/>
      <w:szCs w:val="28"/>
    </w:rPr>
  </w:style>
  <w:style w:type="paragraph" w:styleId="6">
    <w:name w:val="heading 5"/>
    <w:basedOn w:val="1"/>
    <w:next w:val="1"/>
    <w:link w:val="33"/>
    <w:unhideWhenUsed/>
    <w:qFormat/>
    <w:uiPriority w:val="0"/>
    <w:pPr>
      <w:keepNext/>
      <w:keepLines/>
      <w:numPr>
        <w:ilvl w:val="4"/>
        <w:numId w:val="1"/>
      </w:numPr>
      <w:spacing w:before="120" w:after="120" w:line="360" w:lineRule="auto"/>
      <w:outlineLvl w:val="4"/>
    </w:pPr>
    <w:rPr>
      <w:b/>
      <w:bCs/>
      <w:szCs w:val="28"/>
    </w:rPr>
  </w:style>
  <w:style w:type="paragraph" w:styleId="7">
    <w:name w:val="heading 6"/>
    <w:basedOn w:val="1"/>
    <w:next w:val="1"/>
    <w:link w:val="34"/>
    <w:unhideWhenUsed/>
    <w:qFormat/>
    <w:uiPriority w:val="0"/>
    <w:pPr>
      <w:keepNext/>
      <w:keepLines/>
      <w:numPr>
        <w:ilvl w:val="5"/>
        <w:numId w:val="1"/>
      </w:numPr>
      <w:spacing w:before="120" w:after="120" w:line="360" w:lineRule="auto"/>
      <w:outlineLvl w:val="5"/>
    </w:pPr>
    <w:rPr>
      <w:rFonts w:ascii="Cambria" w:hAnsi="Cambria"/>
      <w:b/>
      <w:bCs/>
      <w:sz w:val="24"/>
    </w:rPr>
  </w:style>
  <w:style w:type="character" w:default="1" w:styleId="26">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44"/>
    <w:unhideWhenUsed/>
    <w:qFormat/>
    <w:uiPriority w:val="99"/>
    <w:rPr>
      <w:rFonts w:ascii="宋体"/>
      <w:sz w:val="18"/>
      <w:szCs w:val="18"/>
    </w:rPr>
  </w:style>
  <w:style w:type="paragraph" w:styleId="10">
    <w:name w:val="annotation text"/>
    <w:basedOn w:val="1"/>
    <w:link w:val="46"/>
    <w:unhideWhenUsed/>
    <w:qFormat/>
    <w:uiPriority w:val="99"/>
    <w:pPr>
      <w:jc w:val="left"/>
    </w:pPr>
  </w:style>
  <w:style w:type="paragraph" w:styleId="11">
    <w:name w:val="Body Text Indent"/>
    <w:basedOn w:val="1"/>
    <w:link w:val="37"/>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1"/>
    <w:unhideWhenUsed/>
    <w:qFormat/>
    <w:uiPriority w:val="99"/>
    <w:rPr>
      <w:sz w:val="18"/>
      <w:szCs w:val="18"/>
    </w:rPr>
  </w:style>
  <w:style w:type="paragraph" w:styleId="16">
    <w:name w:val="footer"/>
    <w:basedOn w:val="1"/>
    <w:link w:val="36"/>
    <w:unhideWhenUsed/>
    <w:qFormat/>
    <w:uiPriority w:val="99"/>
    <w:pPr>
      <w:tabs>
        <w:tab w:val="center" w:pos="4153"/>
        <w:tab w:val="right" w:pos="8306"/>
      </w:tabs>
      <w:snapToGrid w:val="0"/>
      <w:jc w:val="left"/>
    </w:pPr>
    <w:rPr>
      <w:sz w:val="18"/>
      <w:szCs w:val="18"/>
    </w:rPr>
  </w:style>
  <w:style w:type="paragraph" w:styleId="17">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43"/>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47"/>
    <w:unhideWhenUsed/>
    <w:qFormat/>
    <w:uiPriority w:val="99"/>
    <w:rPr>
      <w:b/>
      <w:bCs/>
    </w:rPr>
  </w:style>
  <w:style w:type="character" w:styleId="27">
    <w:name w:val="Hyperlink"/>
    <w:basedOn w:val="26"/>
    <w:unhideWhenUsed/>
    <w:qFormat/>
    <w:uiPriority w:val="99"/>
    <w:rPr>
      <w:color w:val="0000FF"/>
      <w:u w:val="single"/>
    </w:rPr>
  </w:style>
  <w:style w:type="character" w:styleId="28">
    <w:name w:val="annotation reference"/>
    <w:basedOn w:val="26"/>
    <w:unhideWhenUsed/>
    <w:qFormat/>
    <w:uiPriority w:val="99"/>
    <w:rPr>
      <w:sz w:val="21"/>
      <w:szCs w:val="21"/>
    </w:rPr>
  </w:style>
  <w:style w:type="character" w:customStyle="1" w:styleId="29">
    <w:name w:val="标题 1 Char"/>
    <w:basedOn w:val="26"/>
    <w:link w:val="2"/>
    <w:qFormat/>
    <w:uiPriority w:val="0"/>
    <w:rPr>
      <w:rFonts w:ascii="Times New Roman" w:hAnsi="Times New Roman" w:eastAsia="宋体" w:cs="Times New Roman"/>
      <w:b/>
      <w:bCs/>
      <w:kern w:val="44"/>
      <w:sz w:val="32"/>
      <w:szCs w:val="28"/>
    </w:rPr>
  </w:style>
  <w:style w:type="character" w:customStyle="1" w:styleId="30">
    <w:name w:val="标题 2 Char"/>
    <w:basedOn w:val="26"/>
    <w:link w:val="3"/>
    <w:qFormat/>
    <w:uiPriority w:val="0"/>
    <w:rPr>
      <w:b/>
      <w:bCs/>
      <w:kern w:val="2"/>
      <w:sz w:val="28"/>
      <w:szCs w:val="32"/>
    </w:rPr>
  </w:style>
  <w:style w:type="character" w:customStyle="1" w:styleId="31">
    <w:name w:val="标题 3 Char"/>
    <w:basedOn w:val="26"/>
    <w:link w:val="4"/>
    <w:qFormat/>
    <w:uiPriority w:val="0"/>
    <w:rPr>
      <w:b/>
      <w:bCs/>
      <w:kern w:val="2"/>
      <w:sz w:val="24"/>
      <w:szCs w:val="18"/>
    </w:rPr>
  </w:style>
  <w:style w:type="character" w:customStyle="1" w:styleId="32">
    <w:name w:val="标题 4 Char"/>
    <w:basedOn w:val="26"/>
    <w:link w:val="5"/>
    <w:qFormat/>
    <w:uiPriority w:val="0"/>
    <w:rPr>
      <w:rFonts w:ascii="Times New Roman" w:hAnsi="Times New Roman" w:eastAsia="宋体" w:cs="Times New Roman"/>
      <w:b/>
      <w:bCs/>
      <w:sz w:val="24"/>
      <w:szCs w:val="28"/>
    </w:rPr>
  </w:style>
  <w:style w:type="character" w:customStyle="1" w:styleId="33">
    <w:name w:val="标题 5 Char"/>
    <w:basedOn w:val="26"/>
    <w:link w:val="6"/>
    <w:qFormat/>
    <w:uiPriority w:val="0"/>
    <w:rPr>
      <w:rFonts w:ascii="Times New Roman" w:hAnsi="Times New Roman" w:eastAsia="宋体" w:cs="Times New Roman"/>
      <w:b/>
      <w:bCs/>
      <w:szCs w:val="28"/>
    </w:rPr>
  </w:style>
  <w:style w:type="character" w:customStyle="1" w:styleId="34">
    <w:name w:val="标题 6 Char"/>
    <w:basedOn w:val="26"/>
    <w:link w:val="7"/>
    <w:qFormat/>
    <w:uiPriority w:val="0"/>
    <w:rPr>
      <w:rFonts w:ascii="Cambria" w:hAnsi="Cambria" w:eastAsia="宋体" w:cs="Times New Roman"/>
      <w:b/>
      <w:bCs/>
      <w:sz w:val="24"/>
      <w:szCs w:val="24"/>
    </w:rPr>
  </w:style>
  <w:style w:type="character" w:customStyle="1" w:styleId="35">
    <w:name w:val="页眉 Char"/>
    <w:basedOn w:val="26"/>
    <w:link w:val="17"/>
    <w:qFormat/>
    <w:uiPriority w:val="99"/>
    <w:rPr>
      <w:rFonts w:ascii="Times New Roman" w:hAnsi="Times New Roman" w:eastAsia="宋体" w:cs="Times New Roman"/>
      <w:sz w:val="18"/>
      <w:szCs w:val="18"/>
    </w:rPr>
  </w:style>
  <w:style w:type="character" w:customStyle="1" w:styleId="36">
    <w:name w:val="页脚 Char"/>
    <w:basedOn w:val="26"/>
    <w:link w:val="16"/>
    <w:qFormat/>
    <w:uiPriority w:val="99"/>
    <w:rPr>
      <w:rFonts w:ascii="Times New Roman" w:hAnsi="Times New Roman" w:eastAsia="宋体" w:cs="Times New Roman"/>
      <w:sz w:val="18"/>
      <w:szCs w:val="18"/>
    </w:rPr>
  </w:style>
  <w:style w:type="character" w:customStyle="1" w:styleId="37">
    <w:name w:val="正文文本缩进 Char"/>
    <w:basedOn w:val="26"/>
    <w:link w:val="11"/>
    <w:qFormat/>
    <w:uiPriority w:val="0"/>
    <w:rPr>
      <w:rFonts w:ascii="Times New Roman" w:hAnsi="Times New Roman" w:eastAsia="宋体" w:cs="Times New Roman"/>
      <w:szCs w:val="24"/>
    </w:rPr>
  </w:style>
  <w:style w:type="paragraph" w:customStyle="1" w:styleId="38">
    <w:name w:val="标题6"/>
    <w:basedOn w:val="7"/>
    <w:link w:val="40"/>
    <w:qFormat/>
    <w:uiPriority w:val="0"/>
    <w:pPr>
      <w:ind w:left="0" w:firstLine="0"/>
    </w:pPr>
    <w:rPr>
      <w:rFonts w:ascii="Times New Roman" w:hAnsi="Times New Roman"/>
      <w:b w:val="0"/>
      <w:sz w:val="21"/>
    </w:rPr>
  </w:style>
  <w:style w:type="paragraph" w:customStyle="1" w:styleId="39">
    <w:name w:val="列出段落1"/>
    <w:basedOn w:val="1"/>
    <w:qFormat/>
    <w:uiPriority w:val="34"/>
    <w:pPr>
      <w:ind w:firstLine="420" w:firstLineChars="200"/>
    </w:pPr>
  </w:style>
  <w:style w:type="character" w:customStyle="1" w:styleId="40">
    <w:name w:val="标题6 Char"/>
    <w:basedOn w:val="34"/>
    <w:link w:val="38"/>
    <w:qFormat/>
    <w:uiPriority w:val="0"/>
    <w:rPr>
      <w:rFonts w:ascii="Times New Roman" w:hAnsi="Times New Roman" w:eastAsia="宋体" w:cs="Times New Roman"/>
      <w:sz w:val="24"/>
      <w:szCs w:val="24"/>
    </w:rPr>
  </w:style>
  <w:style w:type="character" w:customStyle="1" w:styleId="41">
    <w:name w:val="批注框文本 Char"/>
    <w:basedOn w:val="26"/>
    <w:link w:val="15"/>
    <w:semiHidden/>
    <w:qFormat/>
    <w:uiPriority w:val="99"/>
    <w:rPr>
      <w:rFonts w:ascii="Times New Roman" w:hAnsi="Times New Roman" w:eastAsia="宋体" w:cs="Times New Roman"/>
      <w:sz w:val="18"/>
      <w:szCs w:val="18"/>
    </w:rPr>
  </w:style>
  <w:style w:type="paragraph" w:customStyle="1" w:styleId="42">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43">
    <w:name w:val="标题 Char"/>
    <w:basedOn w:val="26"/>
    <w:link w:val="23"/>
    <w:qFormat/>
    <w:uiPriority w:val="10"/>
    <w:rPr>
      <w:rFonts w:ascii="Cambria" w:hAnsi="Cambria" w:eastAsia="黑体" w:cs="Times New Roman"/>
      <w:b/>
      <w:bCs/>
      <w:sz w:val="52"/>
      <w:szCs w:val="32"/>
    </w:rPr>
  </w:style>
  <w:style w:type="character" w:customStyle="1" w:styleId="44">
    <w:name w:val="文档结构图 Char"/>
    <w:basedOn w:val="26"/>
    <w:link w:val="9"/>
    <w:semiHidden/>
    <w:qFormat/>
    <w:uiPriority w:val="99"/>
    <w:rPr>
      <w:rFonts w:ascii="宋体" w:hAnsi="Times New Roman" w:eastAsia="宋体" w:cs="Times New Roman"/>
      <w:sz w:val="18"/>
      <w:szCs w:val="18"/>
    </w:rPr>
  </w:style>
  <w:style w:type="paragraph" w:customStyle="1" w:styleId="45">
    <w:name w:val="Indent Normal"/>
    <w:basedOn w:val="1"/>
    <w:qFormat/>
    <w:uiPriority w:val="0"/>
    <w:pPr>
      <w:spacing w:line="360" w:lineRule="auto"/>
      <w:ind w:firstLine="150" w:firstLineChars="150"/>
    </w:pPr>
    <w:rPr>
      <w:sz w:val="24"/>
    </w:rPr>
  </w:style>
  <w:style w:type="character" w:customStyle="1" w:styleId="46">
    <w:name w:val="批注文字 Char"/>
    <w:basedOn w:val="26"/>
    <w:link w:val="10"/>
    <w:semiHidden/>
    <w:qFormat/>
    <w:uiPriority w:val="99"/>
    <w:rPr>
      <w:rFonts w:ascii="Times New Roman" w:hAnsi="Times New Roman" w:eastAsia="宋体" w:cs="Times New Roman"/>
      <w:szCs w:val="24"/>
    </w:rPr>
  </w:style>
  <w:style w:type="character" w:customStyle="1" w:styleId="47">
    <w:name w:val="批注主题 Char"/>
    <w:basedOn w:val="46"/>
    <w:link w:val="24"/>
    <w:semiHidden/>
    <w:qFormat/>
    <w:uiPriority w:val="99"/>
    <w:rPr>
      <w:rFonts w:ascii="Times New Roman" w:hAnsi="Times New Roman" w:eastAsia="宋体" w:cs="Times New Roman"/>
      <w:b/>
      <w:bCs/>
      <w:szCs w:val="24"/>
    </w:rPr>
  </w:style>
  <w:style w:type="paragraph" w:customStyle="1" w:styleId="48">
    <w:name w:val="样式1"/>
    <w:basedOn w:val="1"/>
    <w:link w:val="49"/>
    <w:qFormat/>
    <w:uiPriority w:val="0"/>
    <w:pPr>
      <w:spacing w:line="300" w:lineRule="auto"/>
      <w:ind w:firstLine="480" w:firstLineChars="200"/>
      <w:jc w:val="left"/>
    </w:pPr>
    <w:rPr>
      <w:sz w:val="24"/>
    </w:rPr>
  </w:style>
  <w:style w:type="character" w:customStyle="1" w:styleId="49">
    <w:name w:val="样式1 Char"/>
    <w:link w:val="48"/>
    <w:qFormat/>
    <w:uiPriority w:val="0"/>
    <w:rPr>
      <w:rFonts w:ascii="Times New Roman" w:hAnsi="Times New Roman" w:eastAsia="宋体" w:cs="Times New Roman"/>
      <w:sz w:val="24"/>
      <w:szCs w:val="24"/>
    </w:rPr>
  </w:style>
  <w:style w:type="paragraph" w:customStyle="1" w:styleId="50">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1">
    <w:name w:val="1"/>
    <w:basedOn w:val="1"/>
    <w:qFormat/>
    <w:uiPriority w:val="0"/>
  </w:style>
  <w:style w:type="paragraph" w:styleId="52">
    <w:name w:val="List Paragraph"/>
    <w:basedOn w:val="1"/>
    <w:qFormat/>
    <w:uiPriority w:val="34"/>
  </w:style>
  <w:style w:type="paragraph" w:customStyle="1" w:styleId="53">
    <w:name w:val="TOC Heading"/>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3"/>
    <customShpInfo spid="_x0000_s1034"/>
    <customShpInfo spid="_x0000_s1035"/>
    <customShpInfo spid="_x0000_s1036"/>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694A06-7DEC-40CC-8E83-D2674D7B6071}">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747</Words>
  <Characters>861</Characters>
  <Lines>8</Lines>
  <Paragraphs>2</Paragraphs>
  <TotalTime>6</TotalTime>
  <ScaleCrop>false</ScaleCrop>
  <LinksUpToDate>false</LinksUpToDate>
  <CharactersWithSpaces>878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NTKO</cp:lastModifiedBy>
  <dcterms:modified xsi:type="dcterms:W3CDTF">2023-10-16T02:42:24Z</dcterms:modified>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00EF9840B9F146CAB44B6B766B18D266_12</vt:lpwstr>
  </property>
</Properties>
</file>