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C2A570">
      <w:pPr>
        <w:bidi w:val="0"/>
        <w:jc w:val="center"/>
        <w:rPr>
          <w:rFonts w:hint="eastAsia"/>
        </w:rPr>
      </w:pPr>
      <w:r>
        <w:rPr>
          <w:rFonts w:hint="eastAsia"/>
          <w:sz w:val="2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3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67216E">
      <w:pPr>
        <w:ind w:firstLine="0" w:firstLineChars="0"/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32" name="画布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B20E4C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31C6AF"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6C16632C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200F9062"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qCSQX1wAAAAUBAAAPAAAAAAAAAAEAIAAA&#10;ACIAAABkcnMvZG93bnJldi54bWxQSwECFAAUAAAACACHTuJAv/BrfH8CAABTBgAADgAAAAAAAAAB&#10;ACAAAAAmAQAAZHJzL2Uyb0RvYy54bWxQSwUGAAAAAAYABgBZAQAAFwYAAAAA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oJJBfXAAAABQEAAA8AAAAAAAAAAQAgAAAAIgAAAGRy&#10;cy9kb3ducmV2LnhtbFBLAQIUABQAAAAIAIdO4kAtIvtnPwIAAM4FAAAOAAAAAAAAAAEAIAAAACYB&#10;AABkcnMvZTJvRG9jLnhtbFBLBQYAAAAABgAGAFkBAADX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LDElDUAAAABQEAAA8AAAAAAAAAAQAgAAAAIgAAAGRycy9kb3du&#10;cmV2LnhtbFBLAQIUABQAAAAIAIdO4kD80GcfygEAAH8DAAAOAAAAAAAAAAEAIAAAACMBAABkcnMv&#10;ZTJvRG9jLnhtbFBLBQYAAAAABgAGAFkBAABf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2B20E4C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0002;top:1082632;height:1057232;width:4455832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62sdU9YAAAAFAQAADwAAAAAAAAABACAAAAAiAAAAZHJzL2Rvd25yZXYu&#10;eG1sUEsBAhQAFAAAAAgAh07iQObTpGjEAQAAfwMAAA4AAAAAAAAAAQAgAAAAJQEAAGRycy9lMm9E&#10;b2MueG1sUEsFBgAAAAAGAAYAWQEAAFs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931C6AF"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6C16632C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200F9062"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200F0F50">
      <w:pPr>
        <w:ind w:firstLine="0" w:firstLineChars="0"/>
      </w:pPr>
    </w:p>
    <w:p w14:paraId="4AB50360">
      <w:pPr>
        <w:spacing w:line="600" w:lineRule="auto"/>
        <w:ind w:firstLine="0" w:firstLineChars="0"/>
        <w:jc w:val="distribute"/>
        <w:rPr>
          <w:b/>
          <w:sz w:val="52"/>
          <w:szCs w:val="52"/>
        </w:rPr>
      </w:pPr>
      <w:r>
        <w:rPr>
          <w:rFonts w:hint="eastAsia" w:cs="Times New Roman"/>
          <w:b/>
          <w:sz w:val="52"/>
          <w:szCs w:val="52"/>
          <w:lang w:val="en-US" w:eastAsia="zh-CN"/>
        </w:rPr>
        <w:t>大田县</w:t>
      </w:r>
      <w:r>
        <w:rPr>
          <w:rFonts w:hint="eastAsia" w:ascii="Times New Roman" w:hAnsi="Times New Roman" w:eastAsia="思源宋体 CN ExtraLight" w:cs="Times New Roman"/>
          <w:b/>
          <w:sz w:val="52"/>
          <w:szCs w:val="52"/>
          <w:lang w:val="en-US" w:eastAsia="zh-CN"/>
        </w:rPr>
        <w:t>公共资源交易中心</w:t>
      </w:r>
      <w:r>
        <w:rPr>
          <w:rFonts w:hint="eastAsia"/>
          <w:b/>
          <w:sz w:val="52"/>
          <w:szCs w:val="52"/>
        </w:rPr>
        <w:t>产权交易</w:t>
      </w:r>
    </w:p>
    <w:p w14:paraId="1EEA5B4A">
      <w:pPr>
        <w:spacing w:line="600" w:lineRule="auto"/>
        <w:ind w:firstLine="0" w:firstLineChars="0"/>
        <w:jc w:val="distribute"/>
        <w:rPr>
          <w:rFonts w:hint="eastAsia" w:eastAsia="思源宋体 CN ExtraLight"/>
          <w:b/>
          <w:sz w:val="52"/>
          <w:szCs w:val="52"/>
          <w:lang w:eastAsia="zh-CN"/>
        </w:rPr>
      </w:pPr>
      <w:r>
        <w:rPr>
          <w:rFonts w:hint="eastAsia"/>
          <w:b/>
          <w:sz w:val="52"/>
          <w:szCs w:val="52"/>
        </w:rPr>
        <w:t>电子竞价</w:t>
      </w:r>
      <w:r>
        <w:rPr>
          <w:rFonts w:hint="eastAsia"/>
          <w:b/>
          <w:sz w:val="52"/>
          <w:szCs w:val="52"/>
          <w:lang w:val="en-US" w:eastAsia="zh-CN"/>
        </w:rPr>
        <w:t>系统</w:t>
      </w: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  <w:lang w:eastAsia="zh-CN"/>
        </w:rPr>
        <w:t>（</w:t>
      </w:r>
      <w:r>
        <w:rPr>
          <w:rFonts w:hint="eastAsia"/>
          <w:b/>
          <w:sz w:val="52"/>
          <w:szCs w:val="52"/>
          <w:lang w:val="en-US" w:eastAsia="zh-CN"/>
        </w:rPr>
        <w:t>竞买人</w:t>
      </w:r>
      <w:r>
        <w:rPr>
          <w:rFonts w:hint="eastAsia"/>
          <w:b/>
          <w:sz w:val="52"/>
          <w:szCs w:val="52"/>
          <w:lang w:eastAsia="zh-CN"/>
        </w:rPr>
        <w:t>）</w:t>
      </w:r>
    </w:p>
    <w:p w14:paraId="51B46C4A">
      <w:pPr>
        <w:pStyle w:val="16"/>
        <w:ind w:firstLine="360"/>
      </w:pPr>
    </w:p>
    <w:p w14:paraId="66B43EB7">
      <w:pPr>
        <w:pStyle w:val="16"/>
        <w:ind w:firstLine="360"/>
      </w:pPr>
      <w:bookmarkStart w:id="17" w:name="_GoBack"/>
      <w:bookmarkEnd w:id="17"/>
    </w:p>
    <w:p w14:paraId="1431FDD0">
      <w:pPr>
        <w:pStyle w:val="16"/>
        <w:ind w:firstLine="360"/>
      </w:pPr>
    </w:p>
    <w:p w14:paraId="50C0DA7E">
      <w:pPr>
        <w:pStyle w:val="16"/>
        <w:ind w:firstLine="360"/>
      </w:pPr>
    </w:p>
    <w:p w14:paraId="2A3F333D">
      <w:pPr>
        <w:pStyle w:val="16"/>
        <w:ind w:firstLine="360"/>
      </w:pPr>
    </w:p>
    <w:p w14:paraId="163CB177">
      <w:pPr>
        <w:pStyle w:val="16"/>
        <w:ind w:firstLine="360"/>
      </w:pPr>
    </w:p>
    <w:p w14:paraId="1E8D7BF5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/>
          <w:b/>
          <w:spacing w:val="200"/>
          <w:sz w:val="32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1"/>
          <w:cols w:space="720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8212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4D9440B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6D0FAAF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_Toc16556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登录</w:t>
          </w:r>
          <w:r>
            <w:rPr>
              <w:rFonts w:hint="eastAsia"/>
            </w:rPr>
            <w:t>产权交易电子竞价系统</w:t>
          </w:r>
          <w:r>
            <w:tab/>
          </w:r>
          <w:r>
            <w:fldChar w:fldCharType="begin"/>
          </w:r>
          <w:r>
            <w:instrText xml:space="preserve"> PAGEREF _Toc16556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B93A87C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_Toc31070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  <w:lang w:eastAsia="zh-CN"/>
            </w:rPr>
            <w:t>登录竞价系统</w:t>
          </w:r>
          <w:r>
            <w:tab/>
          </w:r>
          <w:r>
            <w:fldChar w:fldCharType="begin"/>
          </w:r>
          <w:r>
            <w:instrText xml:space="preserve"> PAGEREF _Toc31070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CF86DEC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_Toc26875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二、 产权项目报名</w:t>
          </w:r>
          <w:r>
            <w:tab/>
          </w:r>
          <w:r>
            <w:fldChar w:fldCharType="begin"/>
          </w:r>
          <w:r>
            <w:instrText xml:space="preserve"> PAGEREF _Toc26875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DADF4E0"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_Toc22137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</w:t>
          </w:r>
          <w:r>
            <w:rPr>
              <w:rFonts w:ascii="宋体" w:hAnsi="宋体" w:eastAsia="宋体"/>
              <w:szCs w:val="24"/>
            </w:rPr>
            <w:t>.1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项目公告信息</w:t>
          </w:r>
          <w:r>
            <w:tab/>
          </w:r>
          <w:r>
            <w:fldChar w:fldCharType="begin"/>
          </w:r>
          <w:r>
            <w:instrText xml:space="preserve"> PAGEREF _Toc22137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758DF1D"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_Toc31918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2权益类项目报名</w:t>
          </w:r>
          <w:r>
            <w:tab/>
          </w:r>
          <w:r>
            <w:fldChar w:fldCharType="begin"/>
          </w:r>
          <w:r>
            <w:instrText xml:space="preserve"> PAGEREF _Toc31918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63B44B11">
          <w:pPr>
            <w:pStyle w:val="11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_Toc4847 </w:instrText>
          </w:r>
          <w:r>
            <w:fldChar w:fldCharType="separate"/>
          </w:r>
          <w:r>
            <w:rPr>
              <w:rFonts w:hint="default" w:ascii="Times New Roman" w:hAnsi="Times New Roman" w:cs="Times New Roman"/>
              <w:szCs w:val="30"/>
            </w:rPr>
            <w:t xml:space="preserve">2.1、 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保证金到账查询</w:t>
          </w:r>
          <w:r>
            <w:tab/>
          </w:r>
          <w:r>
            <w:fldChar w:fldCharType="begin"/>
          </w:r>
          <w:r>
            <w:instrText xml:space="preserve"> PAGEREF _Toc4847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C9E4D78"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_Toc30401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</w:rPr>
            <w:t>产权交易</w:t>
          </w:r>
          <w:r>
            <w:rPr>
              <w:rFonts w:hint="eastAsia"/>
              <w:lang w:val="en-US" w:eastAsia="zh-CN"/>
            </w:rPr>
            <w:t>电子竞价系统报价</w:t>
          </w:r>
          <w:r>
            <w:tab/>
          </w:r>
          <w:r>
            <w:fldChar w:fldCharType="begin"/>
          </w:r>
          <w:r>
            <w:instrText xml:space="preserve"> PAGEREF _Toc30401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6732525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_Toc21500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  <w:lang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_Toc21500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3C1C8ED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_Toc27876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  <w:lang w:eastAsia="zh-CN"/>
            </w:rPr>
            <w:t>报价历史</w:t>
          </w:r>
          <w:r>
            <w:tab/>
          </w:r>
          <w:r>
            <w:fldChar w:fldCharType="begin"/>
          </w:r>
          <w:r>
            <w:instrText xml:space="preserve"> PAGEREF _Toc27876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3A66E673"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_Toc28758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</w:t>
          </w:r>
          <w:r>
            <w:rPr>
              <w:rFonts w:hint="eastAsia"/>
              <w:lang w:eastAsia="zh-CN"/>
            </w:rPr>
            <w:t>退出系统</w:t>
          </w:r>
          <w:r>
            <w:tab/>
          </w:r>
          <w:r>
            <w:fldChar w:fldCharType="begin"/>
          </w:r>
          <w:r>
            <w:instrText xml:space="preserve"> PAGEREF _Toc28758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2E977F30">
          <w:r>
            <w:fldChar w:fldCharType="end"/>
          </w:r>
        </w:p>
      </w:sdtContent>
    </w:sdt>
    <w:p w14:paraId="33B1FD78"/>
    <w:p w14:paraId="234DF81F">
      <w:r>
        <w:br w:type="page"/>
      </w:r>
    </w:p>
    <w:p w14:paraId="48664E36">
      <w:pPr>
        <w:pStyle w:val="2"/>
        <w:rPr>
          <w:rFonts w:hint="eastAsia"/>
          <w:lang w:val="en-US" w:eastAsia="zh-CN"/>
        </w:rPr>
      </w:pPr>
      <w:bookmarkStart w:id="0" w:name="_Toc16556"/>
      <w:bookmarkStart w:id="1" w:name="_Toc405380050"/>
      <w:r>
        <w:rPr>
          <w:rFonts w:hint="eastAsia"/>
          <w:lang w:val="en-US" w:eastAsia="zh-CN"/>
        </w:rPr>
        <w:t>登录</w:t>
      </w:r>
      <w:r>
        <w:rPr>
          <w:rFonts w:hint="eastAsia"/>
        </w:rPr>
        <w:t>产权交易电子竞价系统</w:t>
      </w:r>
      <w:bookmarkEnd w:id="0"/>
      <w:bookmarkEnd w:id="1"/>
    </w:p>
    <w:p w14:paraId="337A426D">
      <w:pPr>
        <w:pStyle w:val="4"/>
        <w:numPr>
          <w:ilvl w:val="2"/>
          <w:numId w:val="0"/>
        </w:numPr>
        <w:ind w:left="142" w:leftChars="0"/>
      </w:pPr>
      <w:bookmarkStart w:id="2" w:name="_Toc31070"/>
      <w:r>
        <w:rPr>
          <w:rFonts w:hint="eastAsia"/>
          <w:lang w:val="en-US" w:eastAsia="zh-CN"/>
        </w:rPr>
        <w:t>1.1</w:t>
      </w:r>
      <w:r>
        <w:rPr>
          <w:rFonts w:hint="eastAsia"/>
          <w:lang w:eastAsia="zh-CN"/>
        </w:rPr>
        <w:t>登录竞价系统</w:t>
      </w:r>
      <w:bookmarkEnd w:id="2"/>
    </w:p>
    <w:p w14:paraId="4DE31D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已报名成功，且交易中心已设置过竞价规则。</w:t>
      </w:r>
    </w:p>
    <w:p w14:paraId="5E6124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登录竞价系统</w:t>
      </w:r>
      <w:r>
        <w:rPr>
          <w:rFonts w:hint="eastAsia" w:ascii="宋体" w:hAnsi="宋体"/>
          <w:lang w:eastAsia="zh-CN"/>
        </w:rPr>
        <w:t>。</w:t>
      </w:r>
    </w:p>
    <w:p w14:paraId="32B68ACD">
      <w:pPr>
        <w:numPr>
          <w:ilvl w:val="0"/>
          <w:numId w:val="0"/>
        </w:numPr>
        <w:ind w:firstLine="422" w:firstLineChars="200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2E85F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ascii="宋体" w:hAnsi="宋体" w:eastAsia="宋体"/>
          <w:szCs w:val="21"/>
        </w:rPr>
        <w:t>登入</w:t>
      </w:r>
      <w:r>
        <w:rPr>
          <w:rFonts w:hint="eastAsia" w:ascii="宋体" w:hAnsi="宋体" w:eastAsia="宋体"/>
          <w:szCs w:val="21"/>
          <w:lang w:val="en-US" w:eastAsia="zh-CN"/>
        </w:rPr>
        <w:t>三明</w:t>
      </w:r>
      <w:r>
        <w:rPr>
          <w:rFonts w:ascii="宋体" w:hAnsi="宋体" w:eastAsia="宋体"/>
          <w:szCs w:val="21"/>
        </w:rPr>
        <w:t>市公共资源交易中心官网：</w:t>
      </w:r>
      <w:r>
        <w:rPr>
          <w:rFonts w:hint="eastAsia" w:ascii="宋体" w:hAnsi="宋体" w:eastAsia="宋体"/>
          <w:szCs w:val="21"/>
        </w:rPr>
        <w:fldChar w:fldCharType="begin"/>
      </w:r>
      <w:r>
        <w:rPr>
          <w:rFonts w:hint="eastAsia" w:ascii="宋体" w:hAnsi="宋体" w:eastAsia="宋体"/>
          <w:szCs w:val="21"/>
        </w:rPr>
        <w:instrText xml:space="preserve"> HYPERLINK "http://smggzy.sm.gov.cn/smwz/" </w:instrText>
      </w:r>
      <w:r>
        <w:rPr>
          <w:rFonts w:hint="eastAsia" w:ascii="宋体" w:hAnsi="宋体" w:eastAsia="宋体"/>
          <w:szCs w:val="21"/>
        </w:rPr>
        <w:fldChar w:fldCharType="separate"/>
      </w:r>
      <w:r>
        <w:rPr>
          <w:rStyle w:val="14"/>
          <w:rFonts w:hint="eastAsia" w:ascii="宋体" w:hAnsi="宋体" w:eastAsia="宋体"/>
          <w:szCs w:val="21"/>
        </w:rPr>
        <w:t>http://smggzy.sm.gov.cn/smwz/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选择“产权竞价系统”如下图：</w:t>
      </w:r>
      <w:r>
        <w:drawing>
          <wp:inline distT="0" distB="0" distL="114300" distR="114300">
            <wp:extent cx="5273675" cy="2488565"/>
            <wp:effectExtent l="0" t="0" r="1460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6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</w:p>
    <w:p w14:paraId="41B8E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</w:p>
    <w:p w14:paraId="1742207B">
      <w:pPr>
        <w:snapToGrid w:val="0"/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/>
          <w:szCs w:val="21"/>
          <w:lang w:val="en-US" w:eastAsia="zh-CN"/>
        </w:rPr>
        <w:t>2、新用户选择免费注册：</w:t>
      </w:r>
      <w:r>
        <w:drawing>
          <wp:inline distT="0" distB="0" distL="114300" distR="114300">
            <wp:extent cx="5267325" cy="2401570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1799">
      <w:pPr>
        <w:snapToGrid w:val="0"/>
        <w:ind w:left="0" w:leftChars="0" w:firstLine="0" w:firstLineChars="0"/>
      </w:pPr>
      <w:r>
        <w:rPr>
          <w:rFonts w:hint="eastAsia"/>
          <w:lang w:val="en-US" w:eastAsia="zh-CN"/>
        </w:rPr>
        <w:t>3、填写选择用户基本信息进行注册登记</w:t>
      </w:r>
      <w:r>
        <w:drawing>
          <wp:inline distT="0" distB="0" distL="114300" distR="114300">
            <wp:extent cx="5270500" cy="411226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14E0">
      <w:pPr>
        <w:snapToGrid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4、选择基本信息-填写完善用户信息（</w:t>
      </w:r>
      <w:r>
        <w:rPr>
          <w:rFonts w:hint="eastAsia"/>
          <w:color w:val="FF0000"/>
          <w:lang w:val="en-US" w:eastAsia="zh-CN"/>
        </w:rPr>
        <w:t>开户行、银行账户、身份证、名称</w:t>
      </w:r>
      <w:r>
        <w:rPr>
          <w:rFonts w:hint="eastAsia"/>
          <w:lang w:val="en-US" w:eastAsia="zh-CN"/>
        </w:rPr>
        <w:t>）必须填写</w:t>
      </w:r>
    </w:p>
    <w:p w14:paraId="2D799316">
      <w:pPr>
        <w:snapToGrid w:val="0"/>
        <w:ind w:left="0" w:leftChars="0" w:firstLine="0" w:firstLineChars="0"/>
      </w:pPr>
      <w:r>
        <w:drawing>
          <wp:inline distT="0" distB="0" distL="114300" distR="114300">
            <wp:extent cx="5264785" cy="1911985"/>
            <wp:effectExtent l="0" t="0" r="825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3465">
      <w:pPr>
        <w:snapToGrid w:val="0"/>
        <w:ind w:left="0" w:leftChars="0" w:firstLine="0" w:firstLineChars="0"/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5、电子建管理上传-承诺书和自然人身份证-下一步提交。（</w:t>
      </w:r>
      <w:r>
        <w:rPr>
          <w:rFonts w:hint="eastAsia"/>
          <w:color w:val="FF0000"/>
          <w:lang w:val="en-US" w:eastAsia="zh-CN"/>
        </w:rPr>
        <w:t>承诺书、自然人身份必填</w:t>
      </w:r>
      <w:r>
        <w:rPr>
          <w:rFonts w:hint="eastAsia"/>
          <w:lang w:val="en-US" w:eastAsia="zh-CN"/>
        </w:rPr>
        <w:t>）</w:t>
      </w:r>
      <w:r>
        <w:drawing>
          <wp:inline distT="0" distB="0" distL="114300" distR="114300">
            <wp:extent cx="5276215" cy="1170940"/>
            <wp:effectExtent l="0" t="0" r="1206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2072005"/>
            <wp:effectExtent l="0" t="0" r="12065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ECB65">
      <w:pPr>
        <w:snapToGrid w:val="0"/>
      </w:pPr>
    </w:p>
    <w:p w14:paraId="7D81F05F">
      <w:pPr>
        <w:snapToGrid w:val="0"/>
      </w:pPr>
    </w:p>
    <w:p w14:paraId="2CBB805A">
      <w:pPr>
        <w:snapToGrid w:val="0"/>
      </w:pPr>
    </w:p>
    <w:p w14:paraId="1D19DA1B">
      <w:pPr>
        <w:snapToGrid w:val="0"/>
      </w:pPr>
    </w:p>
    <w:p w14:paraId="640CA2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6、已注册用户，交易系统登录页面</w:t>
      </w:r>
      <w:r>
        <w:rPr>
          <w:rFonts w:hint="eastAsia"/>
        </w:rPr>
        <w:t>，如下图：</w:t>
      </w:r>
    </w:p>
    <w:p w14:paraId="6D7E7C3D">
      <w:pPr>
        <w:numPr>
          <w:ilvl w:val="0"/>
          <w:numId w:val="0"/>
        </w:numPr>
      </w:pPr>
      <w:r>
        <w:drawing>
          <wp:inline distT="0" distB="0" distL="114300" distR="114300">
            <wp:extent cx="5269865" cy="2548890"/>
            <wp:effectExtent l="0" t="0" r="6985" b="3810"/>
            <wp:docPr id="1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400A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输入用户名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密</w:t>
      </w:r>
      <w:r>
        <w:rPr>
          <w:rFonts w:hint="eastAsia"/>
        </w:rPr>
        <w:t>码</w:t>
      </w:r>
      <w:r>
        <w:rPr>
          <w:rFonts w:hint="eastAsia"/>
          <w:lang w:val="en-US" w:eastAsia="zh-CN"/>
        </w:rPr>
        <w:t>和验证码</w:t>
      </w:r>
      <w:r>
        <w:rPr>
          <w:rFonts w:hint="eastAsia"/>
        </w:rPr>
        <w:t>后，点击“</w:t>
      </w:r>
      <w:r>
        <w:rPr>
          <w:rFonts w:hint="eastAsia"/>
          <w:lang w:val="en-US" w:eastAsia="zh-CN"/>
        </w:rPr>
        <w:t>立即</w:t>
      </w:r>
      <w:r>
        <w:rPr>
          <w:rFonts w:hint="eastAsia"/>
        </w:rPr>
        <w:t>登录”按钮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 w14:paraId="0A06B7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7325" cy="2475865"/>
            <wp:effectExtent l="0" t="0" r="9525" b="635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11456"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登录后点击“</w:t>
      </w:r>
      <w:r>
        <w:rPr>
          <w:rFonts w:hint="eastAsia"/>
          <w:lang w:eastAsia="zh-CN"/>
        </w:rPr>
        <w:t>我的项目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权益交易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，找到需要</w:t>
      </w:r>
      <w:r>
        <w:rPr>
          <w:rFonts w:hint="eastAsia"/>
        </w:rPr>
        <w:t>竞价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标的进入竞价系统，</w:t>
      </w:r>
      <w:r>
        <w:rPr>
          <w:rFonts w:hint="eastAsia"/>
        </w:rPr>
        <w:t>如下图：</w:t>
      </w:r>
    </w:p>
    <w:p w14:paraId="43D01907">
      <w:r>
        <w:br w:type="page"/>
      </w:r>
    </w:p>
    <w:p w14:paraId="03660426">
      <w:pPr>
        <w:pStyle w:val="2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3" w:name="_Toc26875"/>
      <w:bookmarkStart w:id="4" w:name="_Toc31847"/>
      <w:r>
        <w:rPr>
          <w:rFonts w:hint="eastAsia" w:ascii="宋体" w:hAnsi="宋体" w:eastAsia="宋体"/>
          <w:sz w:val="28"/>
          <w:szCs w:val="28"/>
          <w:lang w:val="en-US" w:eastAsia="zh-CN"/>
        </w:rPr>
        <w:t>产权项目报名</w:t>
      </w:r>
      <w:bookmarkEnd w:id="3"/>
      <w:bookmarkEnd w:id="4"/>
    </w:p>
    <w:p w14:paraId="64C6F594"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5" w:name="_Toc3695"/>
      <w:bookmarkStart w:id="6" w:name="_Toc22137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项目公告信息</w:t>
      </w:r>
      <w:bookmarkEnd w:id="5"/>
      <w:bookmarkEnd w:id="6"/>
    </w:p>
    <w:p w14:paraId="3203E7A6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进入招标公告栏目，</w:t>
      </w:r>
      <w:r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  <w:t>显示发布中的交易公告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，如下图：</w:t>
      </w:r>
    </w:p>
    <w:p w14:paraId="6A0B346C">
      <w:pPr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271135" cy="2498725"/>
            <wp:effectExtent l="0" t="0" r="1905" b="63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9C02">
      <w:pPr>
        <w:numPr>
          <w:ilvl w:val="0"/>
          <w:numId w:val="0"/>
        </w:numPr>
        <w:snapToGrid w:val="0"/>
        <w:jc w:val="left"/>
      </w:pPr>
    </w:p>
    <w:p w14:paraId="3BEF5749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鼠标移动到项目上方箭头，自动显示公告详情、我要报名、点击收藏按钮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5F0C0360">
      <w:pPr>
        <w:widowControl w:val="0"/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271770" cy="1264920"/>
            <wp:effectExtent l="0" t="0" r="127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807E">
      <w:pPr>
        <w:widowControl w:val="0"/>
        <w:numPr>
          <w:ilvl w:val="0"/>
          <w:numId w:val="0"/>
        </w:numPr>
        <w:snapToGrid w:val="0"/>
        <w:jc w:val="left"/>
      </w:pPr>
    </w:p>
    <w:p w14:paraId="6890DF00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点击公告详情可查看公告具体情况以及竞价时间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4C57A33F">
      <w:pPr>
        <w:snapToGrid w:val="0"/>
      </w:pPr>
      <w:r>
        <w:drawing>
          <wp:inline distT="0" distB="0" distL="114300" distR="114300">
            <wp:extent cx="5266690" cy="2499360"/>
            <wp:effectExtent l="0" t="0" r="635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3869">
      <w:pPr>
        <w:snapToGrid w:val="0"/>
      </w:pPr>
    </w:p>
    <w:p w14:paraId="3B2F253F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点击收藏，可在我的收藏里面看到该项目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731BBB8D">
      <w:pPr>
        <w:snapToGrid w:val="0"/>
      </w:pPr>
      <w:r>
        <w:drawing>
          <wp:inline distT="0" distB="0" distL="114300" distR="114300">
            <wp:extent cx="5276215" cy="1512570"/>
            <wp:effectExtent l="0" t="0" r="12065" b="1143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A0FB">
      <w:pPr>
        <w:snapToGrid w:val="0"/>
      </w:pPr>
    </w:p>
    <w:p w14:paraId="20217DBD"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7" w:name="_Toc6736"/>
      <w:bookmarkStart w:id="8" w:name="_Toc31918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2权益类项目报名</w:t>
      </w:r>
      <w:bookmarkEnd w:id="7"/>
      <w:bookmarkEnd w:id="8"/>
    </w:p>
    <w:p w14:paraId="28506411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点击我要报名，进入报名流程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4770C3D8">
      <w:pPr>
        <w:snapToGrid w:val="0"/>
      </w:pPr>
      <w:r>
        <w:drawing>
          <wp:inline distT="0" distB="0" distL="114300" distR="114300">
            <wp:extent cx="5393055" cy="2324735"/>
            <wp:effectExtent l="0" t="0" r="1905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2DE5">
      <w:pPr>
        <w:snapToGrid w:val="0"/>
      </w:pPr>
    </w:p>
    <w:p w14:paraId="20CF4078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阅读投标报名须知</w:t>
      </w:r>
    </w:p>
    <w:p w14:paraId="5CAA0B84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阅读投标须知后点击“同意”按钮，进入选择竞买方式页面，如下图：</w:t>
      </w:r>
    </w:p>
    <w:p w14:paraId="37967734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</w:p>
    <w:p w14:paraId="663218F8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977130" cy="2421255"/>
            <wp:effectExtent l="0" t="0" r="6350" b="19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8561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 w14:paraId="073F362C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选择竞买方式</w:t>
      </w:r>
    </w:p>
    <w:p w14:paraId="498F582C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共有两种选择：①单独申请，②联合申请</w:t>
      </w:r>
    </w:p>
    <w:p w14:paraId="39C9BC72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</w:t>
      </w:r>
      <w:r>
        <w:rPr>
          <w:rFonts w:hint="eastAsia" w:asciiTheme="minorEastAsia" w:hAnsiTheme="minorEastAsia" w:eastAsiaTheme="minorEastAsia" w:cstheme="minorEastAsia"/>
          <w:szCs w:val="21"/>
        </w:rPr>
        <w:t>目前联合体报名只做展示用，不影响业务逻辑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，添加的联合体单位仍可报名，系统不做限制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如下图：</w:t>
      </w:r>
    </w:p>
    <w:p w14:paraId="4429A2BD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58315"/>
            <wp:effectExtent l="0" t="0" r="3175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E57D">
      <w:pPr>
        <w:snapToGrid w:val="0"/>
      </w:pPr>
    </w:p>
    <w:p w14:paraId="4DF7E4B4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申请人信息填写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7C9A7EE1">
      <w:pPr>
        <w:widowControl w:val="0"/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73040" cy="1654810"/>
            <wp:effectExtent l="0" t="0" r="0" b="635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CEAB1">
      <w:pPr>
        <w:widowControl w:val="0"/>
        <w:numPr>
          <w:ilvl w:val="0"/>
          <w:numId w:val="0"/>
        </w:numPr>
        <w:snapToGrid w:val="0"/>
        <w:jc w:val="both"/>
      </w:pPr>
    </w:p>
    <w:p w14:paraId="29F7A955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填写竞买申请书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2AB30FBB">
      <w:pPr>
        <w:snapToGrid w:val="0"/>
      </w:pPr>
    </w:p>
    <w:p w14:paraId="5D5532A0">
      <w:pPr>
        <w:snapToGrid w:val="0"/>
      </w:pPr>
      <w:r>
        <w:drawing>
          <wp:inline distT="0" distB="0" distL="114300" distR="114300">
            <wp:extent cx="5274945" cy="2436495"/>
            <wp:effectExtent l="0" t="0" r="13335" b="190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C6C3">
      <w:pPr>
        <w:snapToGrid w:val="0"/>
      </w:pPr>
    </w:p>
    <w:p w14:paraId="74C62CDC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上传报名材料，可上传各种文件格式，若不支持上传的文件可使用文件夹压缩上传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71E69B68">
      <w:pPr>
        <w:snapToGrid w:val="0"/>
      </w:pPr>
      <w:r>
        <w:drawing>
          <wp:inline distT="0" distB="0" distL="114300" distR="114300">
            <wp:extent cx="5277485" cy="2469515"/>
            <wp:effectExtent l="0" t="0" r="10795" b="1460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89EB9">
      <w:pPr>
        <w:snapToGrid w:val="0"/>
      </w:pPr>
    </w:p>
    <w:p w14:paraId="722BD377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点击“申请”按钮，进入“选择交纳保证金银行”页面，如下图：</w:t>
      </w:r>
    </w:p>
    <w:p w14:paraId="25A836CB">
      <w:pPr>
        <w:snapToGrid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233295"/>
            <wp:effectExtent l="0" t="0" r="5080" b="698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2F27">
      <w:pPr>
        <w:snapToGrid w:val="0"/>
      </w:pPr>
    </w:p>
    <w:p w14:paraId="4E54CF4D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、选择银行，点击“生成子账号”按钮，进入获得保证金随机账号页面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 w14:paraId="1EF45411"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</w:p>
    <w:p w14:paraId="297F8778">
      <w:pPr>
        <w:snapToGrid w:val="0"/>
      </w:pPr>
      <w:r>
        <w:drawing>
          <wp:inline distT="0" distB="0" distL="114300" distR="114300">
            <wp:extent cx="5269865" cy="2059940"/>
            <wp:effectExtent l="0" t="0" r="3175" b="1270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5E94E">
      <w:pPr>
        <w:snapToGrid w:val="0"/>
        <w:rPr>
          <w:rFonts w:hint="eastAsia"/>
          <w:lang w:val="en-US" w:eastAsia="zh-CN"/>
        </w:rPr>
      </w:pPr>
    </w:p>
    <w:p w14:paraId="2CE4D2B3"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9、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获得保证金随机账号，由于该项目设定需要资格审核，故保证金账号进行加密处理，只有等到招标代理（交易中心）对报名资格审核通过后，才显示出来。若无资格审核，则保证金账号会直接显示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 w14:paraId="6E77564C">
      <w:pPr>
        <w:numPr>
          <w:ilvl w:val="0"/>
          <w:numId w:val="0"/>
        </w:numPr>
      </w:pPr>
      <w:r>
        <w:drawing>
          <wp:inline distT="0" distB="0" distL="114300" distR="114300">
            <wp:extent cx="5274945" cy="2498090"/>
            <wp:effectExtent l="0" t="0" r="13335" b="127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0658">
      <w:pPr>
        <w:numPr>
          <w:ilvl w:val="0"/>
          <w:numId w:val="0"/>
        </w:numPr>
      </w:pPr>
    </w:p>
    <w:p w14:paraId="6F8FD255">
      <w:pPr>
        <w:pStyle w:val="3"/>
      </w:pPr>
      <w:bookmarkStart w:id="9" w:name="_Toc21740"/>
      <w:bookmarkStart w:id="10" w:name="_Toc4847"/>
      <w:r>
        <w:rPr>
          <w:rFonts w:hint="eastAsia" w:ascii="宋体" w:hAnsi="宋体" w:eastAsia="宋体"/>
          <w:sz w:val="24"/>
          <w:szCs w:val="24"/>
          <w:lang w:val="en-US" w:eastAsia="zh-CN"/>
        </w:rPr>
        <w:t>保证金到账查询</w:t>
      </w:r>
      <w:bookmarkEnd w:id="9"/>
      <w:bookmarkEnd w:id="10"/>
    </w:p>
    <w:p w14:paraId="2C8CB677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、点击“保证金查询”按钮，进入保证金查询页面（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Cs w:val="21"/>
          <w:lang w:val="en-US" w:eastAsia="zh-CN"/>
        </w:rPr>
        <w:t>转账保证金账号，须与基本信息用户保持一致）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，如下图：</w:t>
      </w:r>
    </w:p>
    <w:p w14:paraId="5A7FB462">
      <w:pPr>
        <w:numPr>
          <w:ilvl w:val="0"/>
          <w:numId w:val="0"/>
        </w:numPr>
      </w:pPr>
      <w:r>
        <w:drawing>
          <wp:inline distT="0" distB="0" distL="114300" distR="114300">
            <wp:extent cx="5265420" cy="2078990"/>
            <wp:effectExtent l="0" t="0" r="7620" b="889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1AA9">
      <w:pPr>
        <w:numPr>
          <w:ilvl w:val="0"/>
          <w:numId w:val="0"/>
        </w:numPr>
      </w:pPr>
    </w:p>
    <w:p w14:paraId="51B1A967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保证金缴纳后，点击“查询”按钮，提示查询成功，保证金支付信息中显示支付记录，保证金缴纳成功，如下图：</w:t>
      </w:r>
    </w:p>
    <w:p w14:paraId="368E1A29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1656080"/>
            <wp:effectExtent l="0" t="0" r="7620" b="508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8B22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注：需线下缴纳保证金后，点击“查询”按钮才会有效。</w:t>
      </w:r>
    </w:p>
    <w:p w14:paraId="4A4D1D3F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 w14:paraId="498A13C1"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、关闭保证金查询页面，回到获得保证金随机账号页面，点击“资格确认书”按钮，正常弹出资格确认书，报名成功，如下图：</w:t>
      </w:r>
    </w:p>
    <w:p w14:paraId="18BBFD86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2658110"/>
            <wp:effectExtent l="0" t="0" r="7620" b="889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9841">
      <w:pPr>
        <w:snapToGrid w:val="0"/>
        <w:ind w:firstLine="420" w:firstLineChars="20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注：竞买人缴纳保证金并且保证金查询成功后，才会正常弹出资格确认书，否则会有提示。</w:t>
      </w:r>
    </w:p>
    <w:p w14:paraId="6EE215DE">
      <w:pPr>
        <w:rPr>
          <w:rFonts w:hint="eastAsia"/>
          <w:lang w:val="en-US" w:eastAsia="zh-CN"/>
        </w:rPr>
      </w:pPr>
    </w:p>
    <w:p w14:paraId="4EFD22AB">
      <w:pPr>
        <w:pStyle w:val="2"/>
        <w:rPr>
          <w:rFonts w:hint="eastAsia"/>
          <w:lang w:val="en-US" w:eastAsia="zh-CN"/>
        </w:rPr>
      </w:pPr>
      <w:bookmarkStart w:id="11" w:name="_Toc30401"/>
      <w:r>
        <w:rPr>
          <w:rFonts w:hint="eastAsia"/>
        </w:rPr>
        <w:t>产权交易</w:t>
      </w:r>
      <w:r>
        <w:rPr>
          <w:rFonts w:hint="eastAsia"/>
          <w:lang w:val="en-US" w:eastAsia="zh-CN"/>
        </w:rPr>
        <w:t>电子竞价系统报价</w:t>
      </w:r>
      <w:bookmarkEnd w:id="11"/>
    </w:p>
    <w:p w14:paraId="557393BF"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12" w:name="_Toc21500"/>
      <w:r>
        <w:rPr>
          <w:rFonts w:hint="eastAsia"/>
          <w:lang w:val="en-US" w:eastAsia="zh-CN"/>
        </w:rPr>
        <w:t>2.1</w:t>
      </w:r>
      <w:r>
        <w:rPr>
          <w:rFonts w:hint="eastAsia"/>
          <w:lang w:eastAsia="zh-CN"/>
        </w:rPr>
        <w:t>我要报价</w:t>
      </w:r>
      <w:bookmarkEnd w:id="12"/>
    </w:p>
    <w:p w14:paraId="70A7C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</w:t>
      </w:r>
      <w:r>
        <w:rPr>
          <w:rFonts w:hint="eastAsia" w:ascii="宋体" w:hAnsi="宋体"/>
          <w:b w:val="0"/>
          <w:bCs/>
          <w:lang w:val="en-US" w:eastAsia="zh-CN"/>
        </w:rPr>
        <w:t>代理（交易中心）</w:t>
      </w:r>
      <w:r>
        <w:rPr>
          <w:rFonts w:hint="eastAsia" w:ascii="宋体" w:hAnsi="宋体"/>
          <w:b w:val="0"/>
          <w:bCs/>
          <w:lang w:eastAsia="zh-CN"/>
        </w:rPr>
        <w:t>已设置过竞价规则。</w:t>
      </w:r>
    </w:p>
    <w:p w14:paraId="464B2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  <w:r>
        <w:rPr>
          <w:rFonts w:hint="eastAsia" w:ascii="宋体" w:hAnsi="宋体"/>
          <w:bCs/>
          <w:lang w:eastAsia="zh-CN"/>
        </w:rPr>
        <w:t>。</w:t>
      </w:r>
    </w:p>
    <w:p w14:paraId="72796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rFonts w:ascii="宋体" w:hAnsi="宋体"/>
          <w:b/>
        </w:rPr>
        <w:t>操作步骤：</w:t>
      </w:r>
    </w:p>
    <w:p w14:paraId="002AB5FC">
      <w:p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1、“我的项目”页面，找到要竞价的标的，点击“我要报价”按钮，进入竞价系统，如下图：</w:t>
      </w:r>
    </w:p>
    <w:p w14:paraId="23C2846D">
      <w:pPr>
        <w:numPr>
          <w:ilvl w:val="0"/>
          <w:numId w:val="0"/>
        </w:numPr>
      </w:pPr>
      <w:r>
        <w:drawing>
          <wp:inline distT="0" distB="0" distL="114300" distR="114300">
            <wp:extent cx="5012055" cy="1845945"/>
            <wp:effectExtent l="0" t="0" r="4445" b="825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C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注：未设置竞价规则前，此处显示为“查看报名”；设置完竞价规则，且竞价未结束，此处显示为“我要报价”；竞价结束后，此处显示为“报价历史”。</w:t>
      </w:r>
    </w:p>
    <w:p w14:paraId="29B6B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748EEB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bookmarkStart w:id="13" w:name="_Toc536776519"/>
      <w:bookmarkStart w:id="14" w:name="_Toc536776743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认真查看电子竞价风险告知及接受确认书</w:t>
      </w:r>
      <w:bookmarkEnd w:id="13"/>
      <w:bookmarkEnd w:id="14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，并勾选【我已看过】，点击【同意】，如下图；</w:t>
      </w:r>
    </w:p>
    <w:p w14:paraId="7DFE0CCB">
      <w:pPr>
        <w:ind w:firstLine="0" w:firstLineChars="0"/>
      </w:pPr>
      <w:r>
        <w:drawing>
          <wp:inline distT="0" distB="0" distL="114300" distR="114300">
            <wp:extent cx="4788535" cy="2877185"/>
            <wp:effectExtent l="0" t="0" r="12065" b="571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90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点击“同意”按钮，进入</w:t>
      </w:r>
      <w:r>
        <w:rPr>
          <w:rFonts w:hint="eastAsia"/>
          <w:lang w:eastAsia="zh-CN"/>
        </w:rPr>
        <w:t>加价</w:t>
      </w:r>
      <w:r>
        <w:rPr>
          <w:rFonts w:hint="eastAsia"/>
        </w:rPr>
        <w:t>竞价页面，如下图：</w:t>
      </w:r>
    </w:p>
    <w:p w14:paraId="5CBF29A6">
      <w:pPr>
        <w:ind w:firstLine="0" w:firstLineChars="0"/>
      </w:pPr>
      <w:r>
        <w:drawing>
          <wp:inline distT="0" distB="0" distL="114300" distR="114300">
            <wp:extent cx="5277485" cy="3272790"/>
            <wp:effectExtent l="0" t="0" r="1079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DEE5F">
      <w:pPr>
        <w:bidi w:val="0"/>
        <w:ind w:left="0" w:leftChars="0" w:firstLine="420" w:firstLineChars="200"/>
      </w:pPr>
      <w:r>
        <w:rPr>
          <w:rFonts w:hint="eastAsia"/>
        </w:rPr>
        <w:t>4、</w:t>
      </w:r>
      <w:r>
        <w:rPr>
          <w:rFonts w:hint="eastAsia"/>
          <w:lang w:eastAsia="zh-CN"/>
        </w:rPr>
        <w:t>直接点击“快速报价”，或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加价幅度的</w:t>
      </w:r>
      <w:r>
        <w:rPr>
          <w:rFonts w:hint="eastAsia"/>
        </w:rPr>
        <w:t>倍数”，点击“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报价”按钮，会弹出询问对话框，如下图：</w:t>
      </w:r>
      <w:r>
        <w:drawing>
          <wp:inline distT="0" distB="0" distL="114300" distR="114300">
            <wp:extent cx="5271770" cy="2984500"/>
            <wp:effectExtent l="0" t="0" r="127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D8B96">
      <w:pPr>
        <w:ind w:firstLine="0" w:firstLineChars="0"/>
      </w:pPr>
    </w:p>
    <w:p w14:paraId="22854681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6D5F6A7B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</w:t>
      </w:r>
      <w:r>
        <w:rPr>
          <w:rFonts w:hint="eastAsia"/>
          <w:lang w:val="en-US" w:eastAsia="zh-CN"/>
        </w:rPr>
        <w:t>“快速报价”直接以当前报价+一倍竞价阶梯的价格报价，“提交报价”是先选择了加价幅度倍数后，提交报价（报价价格为当前最价格+加价幅度倍数）。</w:t>
      </w:r>
    </w:p>
    <w:p w14:paraId="7C0A9D2C">
      <w:pPr>
        <w:ind w:firstLine="42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</w:t>
      </w:r>
      <w:r>
        <w:rPr>
          <w:rFonts w:hint="eastAsia"/>
          <w:lang w:val="en-US" w:eastAsia="zh-CN"/>
        </w:rPr>
        <w:t>设置的竞价规则中如果允许起始价报价，竞价系统中才会展示“起始价”按钮。</w:t>
      </w:r>
    </w:p>
    <w:p w14:paraId="76EBD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、点击“确定”按钮，完成报价操作，此时“</w:t>
      </w:r>
      <w:r>
        <w:rPr>
          <w:rFonts w:hint="eastAsia"/>
          <w:lang w:eastAsia="zh-CN"/>
        </w:rPr>
        <w:t>当前最高价</w:t>
      </w:r>
      <w:r>
        <w:rPr>
          <w:rFonts w:hint="eastAsia"/>
        </w:rPr>
        <w:t>”显示我的报价</w:t>
      </w:r>
      <w:r>
        <w:rPr>
          <w:rFonts w:hint="eastAsia"/>
          <w:lang w:eastAsia="zh-CN"/>
        </w:rPr>
        <w:t>，“当前最高竞买人”我的竞买编号</w:t>
      </w:r>
      <w:r>
        <w:rPr>
          <w:rFonts w:hint="eastAsia"/>
        </w:rPr>
        <w:t>。如下图：</w:t>
      </w:r>
    </w:p>
    <w:p w14:paraId="3F36FDF8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1770" cy="3098165"/>
            <wp:effectExtent l="0" t="0" r="127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E6E4">
      <w:pPr>
        <w:ind w:firstLine="0" w:firstLineChars="0"/>
      </w:pPr>
    </w:p>
    <w:p w14:paraId="2956B03C">
      <w:pPr>
        <w:ind w:firstLine="0" w:firstLineChars="0"/>
      </w:pPr>
    </w:p>
    <w:p w14:paraId="30AB13B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</w:rPr>
        <w:t>如果竞价人有“优先权”且当前最高报价不是本人的话，可以行使优先权，点击“行使优先权”按钮，弹出询问对话框，如下图：</w:t>
      </w:r>
      <w:r>
        <w:drawing>
          <wp:inline distT="0" distB="0" distL="114300" distR="114300">
            <wp:extent cx="5272405" cy="2635250"/>
            <wp:effectExtent l="0" t="0" r="635" b="127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731770"/>
            <wp:effectExtent l="0" t="0" r="13335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56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/>
        </w:rPr>
      </w:pPr>
      <w:r>
        <w:rPr>
          <w:rFonts w:hint="eastAsia"/>
        </w:rPr>
        <w:t>点击确定，完成行使优先权，当前最高</w:t>
      </w:r>
      <w:r>
        <w:rPr>
          <w:rFonts w:hint="eastAsia" w:eastAsia="思源宋体 CN ExtraLight"/>
          <w:lang w:eastAsia="zh-CN"/>
        </w:rPr>
        <w:t>竞买人</w:t>
      </w:r>
      <w:r>
        <w:rPr>
          <w:rFonts w:hint="eastAsia"/>
        </w:rPr>
        <w:t>变为本人</w:t>
      </w:r>
      <w:r>
        <w:rPr>
          <w:rFonts w:hint="eastAsia" w:eastAsia="思源宋体 CN ExtraLight"/>
          <w:lang w:eastAsia="zh-CN"/>
        </w:rPr>
        <w:t>，当前最高价格不变</w:t>
      </w:r>
      <w:r>
        <w:rPr>
          <w:rFonts w:hint="eastAsia"/>
        </w:rPr>
        <w:t>。</w:t>
      </w:r>
    </w:p>
    <w:p w14:paraId="3741F72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报价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菜单</w:t>
      </w:r>
      <w:r>
        <w:rPr>
          <w:rFonts w:hint="eastAsia"/>
        </w:rPr>
        <w:t>按钮，可以查看全部的报价记录，如下图：</w:t>
      </w:r>
    </w:p>
    <w:p w14:paraId="639C07CC">
      <w:pPr>
        <w:ind w:firstLine="0" w:firstLineChars="0"/>
      </w:pPr>
      <w:r>
        <w:drawing>
          <wp:inline distT="0" distB="0" distL="114300" distR="114300">
            <wp:extent cx="5269865" cy="3272155"/>
            <wp:effectExtent l="0" t="0" r="317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6D8F">
      <w:pPr>
        <w:ind w:firstLine="0" w:firstLineChars="0"/>
        <w:rPr>
          <w:rFonts w:hint="eastAsia"/>
          <w:lang w:val="en-US" w:eastAsia="zh-CN"/>
        </w:rPr>
      </w:pPr>
    </w:p>
    <w:p w14:paraId="0C2794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系统消息记录</w:t>
      </w:r>
      <w:r>
        <w:rPr>
          <w:rFonts w:hint="eastAsia"/>
        </w:rPr>
        <w:t>按钮，可以查看全部的</w:t>
      </w:r>
      <w:r>
        <w:rPr>
          <w:rFonts w:hint="eastAsia"/>
          <w:lang w:eastAsia="zh-CN"/>
        </w:rPr>
        <w:t>系统消息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（包括广播信息，及系统竞价提示信息）</w:t>
      </w:r>
      <w:r>
        <w:rPr>
          <w:rFonts w:hint="eastAsia"/>
        </w:rPr>
        <w:t>，如下图：</w:t>
      </w:r>
    </w:p>
    <w:p w14:paraId="696E372A">
      <w:pPr>
        <w:numPr>
          <w:ilvl w:val="0"/>
          <w:numId w:val="0"/>
        </w:numPr>
        <w:ind w:left="420" w:hanging="420" w:hangingChars="200"/>
      </w:pPr>
      <w:r>
        <w:drawing>
          <wp:inline distT="0" distB="0" distL="114300" distR="114300">
            <wp:extent cx="5276850" cy="3421380"/>
            <wp:effectExtent l="0" t="0" r="1143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FA1D">
      <w:pPr>
        <w:numPr>
          <w:ilvl w:val="0"/>
          <w:numId w:val="0"/>
        </w:numPr>
        <w:ind w:left="420" w:hanging="420" w:hangingChars="200"/>
      </w:pPr>
    </w:p>
    <w:p w14:paraId="77A3108D">
      <w:pPr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9、点击左上角切换图标，可以进入竞价项目切换列表页面，点击列表页面中的“切换”</w:t>
      </w:r>
    </w:p>
    <w:p w14:paraId="1F27841B">
      <w:pPr>
        <w:numPr>
          <w:ilvl w:val="0"/>
          <w:numId w:val="0"/>
        </w:num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按钮，可以进入对应标的的竞价页面，如下图：</w:t>
      </w:r>
    </w:p>
    <w:p w14:paraId="10678FE5">
      <w:pPr>
        <w:numPr>
          <w:ilvl w:val="0"/>
          <w:numId w:val="0"/>
        </w:numPr>
      </w:pPr>
      <w:r>
        <w:drawing>
          <wp:inline distT="0" distB="0" distL="114300" distR="114300">
            <wp:extent cx="5276215" cy="3462655"/>
            <wp:effectExtent l="0" t="0" r="12065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5319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135" cy="1815465"/>
            <wp:effectExtent l="0" t="0" r="5715" b="1333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8D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、当正常竞价时间结束后进入</w:t>
      </w:r>
      <w:r>
        <w:rPr>
          <w:rFonts w:hint="eastAsia"/>
          <w:lang w:val="en-US" w:eastAsia="zh-CN"/>
        </w:rPr>
        <w:t>限时</w:t>
      </w:r>
      <w:r>
        <w:rPr>
          <w:rFonts w:hint="eastAsia"/>
        </w:rPr>
        <w:t>竞价时段，如下图：</w:t>
      </w:r>
      <w:r>
        <w:drawing>
          <wp:inline distT="0" distB="0" distL="114300" distR="114300">
            <wp:extent cx="5276850" cy="3422015"/>
            <wp:effectExtent l="0" t="0" r="11430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57A5">
      <w:pPr>
        <w:ind w:firstLine="0" w:firstLineChars="0"/>
      </w:pPr>
    </w:p>
    <w:p w14:paraId="05EF4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/>
        <w:textAlignment w:val="auto"/>
        <w:outlineLvl w:val="9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限时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竞价时段报价后，倒计时会重置。</w:t>
      </w:r>
    </w:p>
    <w:p w14:paraId="36E99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  <w:lang w:val="en-US" w:eastAsia="zh-CN"/>
        </w:rPr>
        <w:t>11</w:t>
      </w:r>
      <w:r>
        <w:rPr>
          <w:rFonts w:hint="eastAsia"/>
        </w:rPr>
        <w:t>、倒计时结束后，</w:t>
      </w:r>
      <w:r>
        <w:rPr>
          <w:rFonts w:hint="eastAsia"/>
          <w:lang w:val="en-US" w:eastAsia="zh-CN"/>
        </w:rPr>
        <w:t>所有</w:t>
      </w:r>
      <w:r>
        <w:rPr>
          <w:rFonts w:hint="eastAsia"/>
        </w:rPr>
        <w:t>竞价人页面会显示成交，如下图：</w:t>
      </w:r>
    </w:p>
    <w:p w14:paraId="6BD83845">
      <w:pPr>
        <w:ind w:firstLine="0" w:firstLineChars="0"/>
      </w:pPr>
      <w:r>
        <w:drawing>
          <wp:inline distT="0" distB="0" distL="114300" distR="114300">
            <wp:extent cx="5274945" cy="3412490"/>
            <wp:effectExtent l="0" t="0" r="13335" b="127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2382">
      <w:pPr>
        <w:ind w:left="0" w:leftChars="0" w:firstLine="0" w:firstLineChars="0"/>
      </w:pPr>
    </w:p>
    <w:p w14:paraId="50AEBD24">
      <w:r>
        <w:br w:type="page"/>
      </w:r>
    </w:p>
    <w:p w14:paraId="3B994BB9"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15" w:name="_Toc27876"/>
      <w:r>
        <w:rPr>
          <w:rFonts w:hint="eastAsia"/>
          <w:lang w:val="en-US" w:eastAsia="zh-CN"/>
        </w:rPr>
        <w:t>2.2</w:t>
      </w:r>
      <w:r>
        <w:rPr>
          <w:rFonts w:hint="eastAsia"/>
          <w:lang w:eastAsia="zh-CN"/>
        </w:rPr>
        <w:t>报价历史</w:t>
      </w:r>
      <w:bookmarkEnd w:id="15"/>
    </w:p>
    <w:p w14:paraId="0B508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竞价已结束。</w:t>
      </w:r>
    </w:p>
    <w:p w14:paraId="4369A8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查看标的</w:t>
      </w:r>
      <w:r>
        <w:rPr>
          <w:rFonts w:hint="eastAsia"/>
          <w:lang w:eastAsia="zh-CN"/>
        </w:rPr>
        <w:t>报价历史记录。</w:t>
      </w:r>
    </w:p>
    <w:p w14:paraId="492F5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6120FA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</w:t>
      </w:r>
      <w:r>
        <w:rPr>
          <w:rFonts w:hint="eastAsia"/>
          <w:lang w:eastAsia="zh-CN"/>
        </w:rPr>
        <w:t>打开“我的项目</w:t>
      </w:r>
      <w:r>
        <w:rPr>
          <w:rFonts w:hint="eastAsia"/>
          <w:lang w:val="en-US" w:eastAsia="zh-CN"/>
        </w:rPr>
        <w:t>--权益交易</w:t>
      </w:r>
      <w:r>
        <w:rPr>
          <w:rFonts w:hint="eastAsia"/>
          <w:lang w:eastAsia="zh-CN"/>
        </w:rPr>
        <w:t>”，选择竞价已结束的标的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“报价历史”，</w:t>
      </w:r>
      <w:r>
        <w:rPr>
          <w:rFonts w:hint="eastAsia"/>
        </w:rPr>
        <w:t>如下图：</w:t>
      </w:r>
    </w:p>
    <w:p w14:paraId="7CFA93B7">
      <w:pPr>
        <w:ind w:firstLine="0" w:firstLineChars="0"/>
      </w:pPr>
      <w:r>
        <w:drawing>
          <wp:inline distT="0" distB="0" distL="114300" distR="114300">
            <wp:extent cx="5267960" cy="1941195"/>
            <wp:effectExtent l="0" t="0" r="2540" b="190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59862">
      <w:pPr>
        <w:ind w:firstLine="0" w:firstLineChars="0"/>
      </w:pPr>
    </w:p>
    <w:p w14:paraId="243912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进入</w:t>
      </w:r>
      <w:r>
        <w:rPr>
          <w:rFonts w:hint="eastAsia"/>
          <w:lang w:eastAsia="zh-CN"/>
        </w:rPr>
        <w:t>报价历史记录</w:t>
      </w:r>
      <w:r>
        <w:rPr>
          <w:rFonts w:hint="eastAsia"/>
        </w:rPr>
        <w:t>页面，如下图：</w:t>
      </w:r>
    </w:p>
    <w:p w14:paraId="4F1C4FC8"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2021840"/>
            <wp:effectExtent l="0" t="0" r="9525" b="1651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B6AB">
      <w:pPr>
        <w:ind w:left="0" w:leftChars="0" w:firstLine="0" w:firstLineChars="0"/>
        <w:jc w:val="center"/>
      </w:pPr>
    </w:p>
    <w:p w14:paraId="57768D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C84972E">
      <w:pPr>
        <w:pStyle w:val="4"/>
        <w:numPr>
          <w:ilvl w:val="2"/>
          <w:numId w:val="0"/>
        </w:numPr>
        <w:ind w:left="142" w:leftChars="0"/>
      </w:pPr>
      <w:bookmarkStart w:id="16" w:name="_Toc28758"/>
      <w:r>
        <w:rPr>
          <w:rFonts w:hint="eastAsia"/>
          <w:lang w:val="en-US" w:eastAsia="zh-CN"/>
        </w:rPr>
        <w:t>2.3</w:t>
      </w:r>
      <w:r>
        <w:rPr>
          <w:rFonts w:hint="eastAsia"/>
          <w:lang w:eastAsia="zh-CN"/>
        </w:rPr>
        <w:t>退出系统</w:t>
      </w:r>
      <w:bookmarkEnd w:id="16"/>
    </w:p>
    <w:p w14:paraId="66286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 w14:paraId="66170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退出系统</w:t>
      </w:r>
    </w:p>
    <w:p w14:paraId="4D150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 w14:paraId="37A3A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退出登录</w:t>
      </w:r>
      <w:r>
        <w:rPr>
          <w:rFonts w:hint="eastAsia"/>
        </w:rPr>
        <w:t>”按钮，弹出信息确认对话框，如下图：</w:t>
      </w:r>
    </w:p>
    <w:p w14:paraId="408793CA">
      <w:pPr>
        <w:ind w:firstLine="0" w:firstLineChars="0"/>
      </w:pPr>
      <w:r>
        <w:drawing>
          <wp:inline distT="0" distB="0" distL="114300" distR="114300">
            <wp:extent cx="5274945" cy="2226945"/>
            <wp:effectExtent l="0" t="0" r="8255" b="825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51355"/>
            <wp:effectExtent l="0" t="0" r="1905" b="444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C6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2、点击</w:t>
      </w:r>
      <w:r>
        <w:rPr>
          <w:rFonts w:hint="eastAsia"/>
          <w:lang w:eastAsia="zh-CN"/>
        </w:rPr>
        <w:t>“确定”按钮</w:t>
      </w:r>
      <w:r>
        <w:rPr>
          <w:rFonts w:hint="eastAsia"/>
        </w:rPr>
        <w:t>，回到登录首页，如下图：</w:t>
      </w:r>
    </w:p>
    <w:p w14:paraId="7474DF36">
      <w:pPr>
        <w:ind w:left="0" w:leftChars="0" w:firstLine="0" w:firstLineChars="0"/>
      </w:pPr>
      <w:r>
        <w:drawing>
          <wp:inline distT="0" distB="0" distL="114300" distR="114300">
            <wp:extent cx="5274945" cy="2345690"/>
            <wp:effectExtent l="0" t="0" r="8255" b="381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first"/>
      <w:footerReference r:id="rId13" w:type="first"/>
      <w:footerReference r:id="rId12" w:type="default"/>
      <w:pgSz w:w="11906" w:h="16838"/>
      <w:pgMar w:top="1440" w:right="1797" w:bottom="1440" w:left="1797" w:header="454" w:footer="680" w:gutter="0"/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EC93F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FFCD7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B2229"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C9BA3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636C63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636C63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F86BCE"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09E340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D09E340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F6FA2"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B5187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AC1C9"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B0784"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 w14:paraId="0A7AC933"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D1FFB7"/>
    <w:multiLevelType w:val="singleLevel"/>
    <w:tmpl w:val="E5D1FFB7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iOTExZDAxYzIyNGE0ODJmY2EyYzRlOGZjZWJkODgifQ=="/>
  </w:docVars>
  <w:rsids>
    <w:rsidRoot w:val="2F632E4E"/>
    <w:rsid w:val="00061651"/>
    <w:rsid w:val="04DA7046"/>
    <w:rsid w:val="08307759"/>
    <w:rsid w:val="09D775FA"/>
    <w:rsid w:val="0AF67B2D"/>
    <w:rsid w:val="0C4E21D3"/>
    <w:rsid w:val="0FA933C0"/>
    <w:rsid w:val="100116B9"/>
    <w:rsid w:val="1160659B"/>
    <w:rsid w:val="143A0F71"/>
    <w:rsid w:val="15465881"/>
    <w:rsid w:val="180521D8"/>
    <w:rsid w:val="1B234855"/>
    <w:rsid w:val="1D007C09"/>
    <w:rsid w:val="206631DE"/>
    <w:rsid w:val="21296A4B"/>
    <w:rsid w:val="22834648"/>
    <w:rsid w:val="22C131F1"/>
    <w:rsid w:val="234E4F70"/>
    <w:rsid w:val="2AF179F3"/>
    <w:rsid w:val="2CC31B0E"/>
    <w:rsid w:val="2E2F7CB4"/>
    <w:rsid w:val="2EE638A7"/>
    <w:rsid w:val="2F632E4E"/>
    <w:rsid w:val="3AC32516"/>
    <w:rsid w:val="3C2A5F65"/>
    <w:rsid w:val="3DE876B1"/>
    <w:rsid w:val="3E5E0787"/>
    <w:rsid w:val="42F40FF8"/>
    <w:rsid w:val="44D83825"/>
    <w:rsid w:val="45F7290A"/>
    <w:rsid w:val="46F9610A"/>
    <w:rsid w:val="47F526EC"/>
    <w:rsid w:val="50D036D5"/>
    <w:rsid w:val="5A797B72"/>
    <w:rsid w:val="5AA728B0"/>
    <w:rsid w:val="5CEA6AD8"/>
    <w:rsid w:val="5EB74ED7"/>
    <w:rsid w:val="5ECE4DCA"/>
    <w:rsid w:val="63085825"/>
    <w:rsid w:val="63932865"/>
    <w:rsid w:val="661459F5"/>
    <w:rsid w:val="66A80D27"/>
    <w:rsid w:val="67146646"/>
    <w:rsid w:val="6AC20051"/>
    <w:rsid w:val="6B4078AA"/>
    <w:rsid w:val="6C7157A1"/>
    <w:rsid w:val="6D3E5D3E"/>
    <w:rsid w:val="6E44360C"/>
    <w:rsid w:val="6E9D768C"/>
    <w:rsid w:val="734B14E2"/>
    <w:rsid w:val="75F01BE0"/>
    <w:rsid w:val="75FD4045"/>
    <w:rsid w:val="76481D9B"/>
    <w:rsid w:val="76B03283"/>
    <w:rsid w:val="79765CFB"/>
    <w:rsid w:val="7AE36F28"/>
    <w:rsid w:val="7B851426"/>
    <w:rsid w:val="7C4D4B5B"/>
    <w:rsid w:val="7C503B3C"/>
    <w:rsid w:val="7F19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4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1"/>
    <w:basedOn w:val="1"/>
    <w:autoRedefine/>
    <w:qFormat/>
    <w:uiPriority w:val="0"/>
    <w:pPr>
      <w:ind w:firstLine="0" w:firstLineChars="0"/>
    </w:pPr>
  </w:style>
  <w:style w:type="paragraph" w:customStyle="1" w:styleId="16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17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18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标题 2 Char"/>
    <w:link w:val="3"/>
    <w:autoRedefine/>
    <w:qFormat/>
    <w:uiPriority w:val="0"/>
    <w:rPr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2066</Words>
  <Characters>2128</Characters>
  <Lines>0</Lines>
  <Paragraphs>0</Paragraphs>
  <TotalTime>3</TotalTime>
  <ScaleCrop>false</ScaleCrop>
  <LinksUpToDate>false</LinksUpToDate>
  <CharactersWithSpaces>2162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2019-03-25T06:54:00Z</dcterms:created>
  <dc:creator>GKB2900</dc:creator>
  <cp:lastModifiedBy>NTKO</cp:lastModifiedBy>
  <dcterms:modified xsi:type="dcterms:W3CDTF">2024-11-26T01:22:56Z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DD9093931A4C4A3D9695DBF64F247593</vt:lpwstr>
  </property>
</Properties>
</file>