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5E61366D">
      <w:pPr>
        <w:spacing w:beforeLines="113" w:afterLines="113" w:line="113" w:lineRule="auto"/>
        <w:jc w:val="left"/>
      </w:pPr>
    </w:p>
    <w:p w14:paraId="5D09EA61">
      <w:pPr>
        <w:jc w:val="center"/>
      </w:pPr>
      <w:r>
        <w:rPr>
          <w:rFonts w:hint="eastAsia" w:ascii="黑体" w:eastAsia="黑体"/>
          <w:b w:val="0"/>
          <w:color w:val="000000"/>
          <w:sz w:val="96"/>
          <w:szCs w:val="96"/>
          <w:shd w:val="clear" w:color="auto" w:fill="FFFFFF"/>
        </w:rPr>
        <w:t>地基基础设计报告书</w:t>
      </w:r>
    </w:p>
    <w:p w14:paraId="0F2131CB">
      <w:pPr>
        <w:jc w:val="center"/>
      </w:pPr>
    </w:p>
    <w:tbl>
      <w:tblPr>
        <w:tblStyle w:val="42"/>
        <w:tblW w:w="8391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95"/>
        <w:gridCol w:w="4196"/>
      </w:tblGrid>
      <w:tr w14:paraId="0D3D3CFF">
        <w:trPr>
          <w:tblHeader/>
          <w:jc w:val="center"/>
        </w:trPr>
        <w:tc>
          <w:tcPr>
            <w:tcW w:w="4195" w:type="dxa"/>
            <w:shd w:val="clear" w:color="auto" w:fill="FFFFFF"/>
          </w:tcPr>
          <w:p w14:paraId="7C1C1EE7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8"/>
                <w:szCs w:val="28"/>
                <w:shd w:val="clear" w:color="auto" w:fill="FFFFFF"/>
              </w:rPr>
              <w:t>项目编号: No.1</w:t>
            </w:r>
          </w:p>
        </w:tc>
        <w:tc>
          <w:tcPr>
            <w:tcW w:w="4195" w:type="dxa"/>
            <w:shd w:val="clear" w:color="auto" w:fill="FFFFFF"/>
          </w:tcPr>
          <w:p w14:paraId="303AE460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8"/>
                <w:szCs w:val="28"/>
                <w:shd w:val="clear" w:color="auto" w:fill="FFFFFF"/>
              </w:rPr>
              <w:t>项目名称: XXX项目</w:t>
            </w:r>
          </w:p>
        </w:tc>
      </w:tr>
      <w:tr w14:paraId="320C2F0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195" w:type="dxa"/>
            <w:shd w:val="clear" w:color="auto" w:fill="FFFFFF"/>
          </w:tcPr>
          <w:p w14:paraId="7B1A6FCF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8"/>
                <w:szCs w:val="28"/>
                <w:shd w:val="clear" w:color="auto" w:fill="FFFFFF"/>
              </w:rPr>
              <w:t>计算人: XXX设计师</w:t>
            </w:r>
          </w:p>
        </w:tc>
        <w:tc>
          <w:tcPr>
            <w:tcW w:w="4195" w:type="dxa"/>
            <w:shd w:val="clear" w:color="auto" w:fill="FFFFFF"/>
          </w:tcPr>
          <w:p w14:paraId="393AA543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8"/>
                <w:szCs w:val="28"/>
                <w:shd w:val="clear" w:color="auto" w:fill="FFFFFF"/>
              </w:rPr>
              <w:t>专业负责人: XXX总工</w:t>
            </w:r>
          </w:p>
        </w:tc>
      </w:tr>
      <w:tr w14:paraId="4978E61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195" w:type="dxa"/>
            <w:shd w:val="clear" w:color="auto" w:fill="FFFFFF"/>
          </w:tcPr>
          <w:p w14:paraId="4D31EE38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8"/>
                <w:szCs w:val="28"/>
                <w:shd w:val="clear" w:color="auto" w:fill="FFFFFF"/>
              </w:rPr>
              <w:t>校核人: XXX设计师</w:t>
            </w:r>
          </w:p>
        </w:tc>
        <w:tc>
          <w:tcPr>
            <w:tcW w:w="4195" w:type="dxa"/>
            <w:shd w:val="clear" w:color="auto" w:fill="FFFFFF"/>
          </w:tcPr>
          <w:p w14:paraId="4084D665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8"/>
                <w:szCs w:val="28"/>
                <w:shd w:val="clear" w:color="auto" w:fill="FFFFFF"/>
              </w:rPr>
              <w:t>日期: 2025-03-04</w:t>
            </w:r>
          </w:p>
        </w:tc>
      </w:tr>
    </w:tbl>
    <w:p w14:paraId="7EE36109">
      <w:pPr>
        <w:spacing w:beforeLines="113" w:afterLines="113" w:line="113" w:lineRule="auto"/>
        <w:jc w:val="center"/>
      </w:pPr>
    </w:p>
    <w:p w14:paraId="7C4DFFCE">
      <w:pPr>
        <w:sectPr>
          <w:headerReference r:id="rId3" w:type="default"/>
          <w:footerReference r:id="rId4" w:type="default"/>
          <w:pgSz w:w="23814" w:h="16839" w:orient="landscape"/>
          <w:pgMar w:top="1814" w:right="1417" w:bottom="1814" w:left="1417" w:header="120" w:footer="200" w:gutter="0"/>
          <w:cols w:space="1134" w:num="1"/>
          <w:titlePg/>
          <w:docGrid w:type="lines" w:linePitch="113" w:charSpace="0"/>
        </w:sectPr>
      </w:pPr>
    </w:p>
    <w:sdt>
      <w:sdtPr>
        <w:id w:val="147476049"/>
        <w:docPartObj>
          <w:docPartGallery w:val="Table of Contents"/>
          <w:docPartUnique/>
        </w:docPartObj>
      </w:sdtPr>
      <w:sdtContent>
        <w:p w14:paraId="7BDD82A2">
          <w:pPr>
            <w:pStyle w:val="53"/>
            <w:jc w:val="center"/>
          </w:pPr>
          <w:r>
            <w:rPr>
              <w:color w:val="000000"/>
              <w:lang w:val="zh-CN"/>
            </w:rPr>
            <w:t>目  录</w:t>
          </w:r>
        </w:p>
        <w:p w14:paraId="30CFF8D3">
          <w:pPr>
            <w:pStyle w:val="12"/>
            <w:tabs>
              <w:tab w:val="right" w:leader="dot" w:pos="10349"/>
            </w:tabs>
          </w:pPr>
          <w:r>
            <w:fldChar w:fldCharType="begin"/>
          </w:r>
          <w:r>
            <w:instrText xml:space="preserve"> TOC \o "1-4" \h \z \u </w:instrText>
          </w:r>
          <w:r>
            <w:fldChar w:fldCharType="separate"/>
          </w:r>
          <w:r>
            <w:fldChar w:fldCharType="begin"/>
          </w:r>
          <w:r>
            <w:instrText xml:space="preserve"> HYPERLINK \l "_Toc0" \h </w:instrText>
          </w:r>
          <w:r>
            <w:fldChar w:fldCharType="separate"/>
          </w:r>
          <w:r>
            <w:t>1. 设计依据</w:t>
          </w:r>
          <w:r>
            <w:tab/>
          </w:r>
          <w:r>
            <w:fldChar w:fldCharType="begin"/>
          </w:r>
          <w:r>
            <w:instrText xml:space="preserve"> PAGEREF _Toc0 \h </w:instrText>
          </w:r>
          <w:r>
            <w:fldChar w:fldCharType="separate"/>
          </w:r>
          <w:r>
            <w:fldChar w:fldCharType="end"/>
          </w:r>
          <w:r>
            <w:fldChar w:fldCharType="end"/>
          </w:r>
        </w:p>
        <w:p w14:paraId="7285B260">
          <w:pPr>
            <w:pStyle w:val="12"/>
            <w:tabs>
              <w:tab w:val="right" w:leader="dot" w:pos="10349"/>
            </w:tabs>
          </w:pPr>
          <w:r>
            <w:fldChar w:fldCharType="begin"/>
          </w:r>
          <w:r>
            <w:instrText xml:space="preserve"> HYPERLINK \l "_Toc1" </w:instrText>
          </w:r>
          <w:r>
            <w:fldChar w:fldCharType="separate"/>
          </w:r>
          <w:r>
            <w:t>2. 计算软件信息</w:t>
          </w:r>
          <w:r>
            <w:tab/>
          </w:r>
          <w:r>
            <w:fldChar w:fldCharType="begin"/>
          </w:r>
          <w:r>
            <w:instrText xml:space="preserve"> PAGEREF _Toc1 \h </w:instrText>
          </w:r>
          <w:r>
            <w:fldChar w:fldCharType="separate"/>
          </w:r>
          <w:r>
            <w:fldChar w:fldCharType="end"/>
          </w:r>
          <w:r>
            <w:fldChar w:fldCharType="end"/>
          </w:r>
        </w:p>
        <w:p w14:paraId="65ABBAE9">
          <w:pPr>
            <w:pStyle w:val="12"/>
            <w:tabs>
              <w:tab w:val="right" w:leader="dot" w:pos="10349"/>
            </w:tabs>
          </w:pPr>
          <w:r>
            <w:fldChar w:fldCharType="begin"/>
          </w:r>
          <w:r>
            <w:instrText xml:space="preserve"> HYPERLINK \l "_Toc2" \h </w:instrText>
          </w:r>
          <w:r>
            <w:fldChar w:fldCharType="separate"/>
          </w:r>
          <w:r>
            <w:t>3. 计算参数</w:t>
          </w:r>
          <w:r>
            <w:tab/>
          </w:r>
          <w:r>
            <w:fldChar w:fldCharType="begin"/>
          </w:r>
          <w:r>
            <w:instrText xml:space="preserve"> PAGEREF _Toc2 \h </w:instrText>
          </w:r>
          <w:r>
            <w:fldChar w:fldCharType="separate"/>
          </w:r>
          <w:r>
            <w:fldChar w:fldCharType="end"/>
          </w:r>
          <w:r>
            <w:fldChar w:fldCharType="end"/>
          </w:r>
        </w:p>
        <w:p w14:paraId="5DA06175">
          <w:pPr>
            <w:pStyle w:val="15"/>
            <w:tabs>
              <w:tab w:val="right" w:leader="dot" w:pos="10349"/>
            </w:tabs>
          </w:pPr>
          <w:r>
            <w:fldChar w:fldCharType="begin"/>
          </w:r>
          <w:r>
            <w:instrText xml:space="preserve"> HYPERLINK \l "_Toc3" \h </w:instrText>
          </w:r>
          <w:r>
            <w:fldChar w:fldCharType="separate"/>
          </w:r>
          <w:r>
            <w:t>1总信息</w:t>
          </w:r>
          <w:r>
            <w:tab/>
          </w:r>
          <w:r>
            <w:fldChar w:fldCharType="begin"/>
          </w:r>
          <w:r>
            <w:instrText xml:space="preserve"> PAGEREF _Toc3 \h </w:instrText>
          </w:r>
          <w:r>
            <w:fldChar w:fldCharType="separate"/>
          </w:r>
          <w:r>
            <w:fldChar w:fldCharType="end"/>
          </w:r>
          <w:r>
            <w:fldChar w:fldCharType="end"/>
          </w:r>
        </w:p>
        <w:p w14:paraId="78243F1E">
          <w:pPr>
            <w:pStyle w:val="15"/>
            <w:tabs>
              <w:tab w:val="right" w:leader="dot" w:pos="10349"/>
            </w:tabs>
          </w:pPr>
          <w:r>
            <w:fldChar w:fldCharType="begin"/>
          </w:r>
          <w:r>
            <w:instrText xml:space="preserve"> HYPERLINK \l "_Toc4" \h </w:instrText>
          </w:r>
          <w:r>
            <w:fldChar w:fldCharType="separate"/>
          </w:r>
          <w:r>
            <w:t>2荷载信息</w:t>
          </w:r>
          <w:r>
            <w:tab/>
          </w:r>
          <w:r>
            <w:fldChar w:fldCharType="begin"/>
          </w:r>
          <w:r>
            <w:instrText xml:space="preserve"> PAGEREF _Toc4 \h </w:instrText>
          </w:r>
          <w:r>
            <w:fldChar w:fldCharType="separate"/>
          </w:r>
          <w:r>
            <w:fldChar w:fldCharType="end"/>
          </w:r>
          <w:r>
            <w:fldChar w:fldCharType="end"/>
          </w:r>
        </w:p>
        <w:p w14:paraId="6BA29B3D">
          <w:pPr>
            <w:pStyle w:val="15"/>
            <w:tabs>
              <w:tab w:val="right" w:leader="dot" w:pos="10349"/>
            </w:tabs>
          </w:pPr>
          <w:r>
            <w:fldChar w:fldCharType="begin"/>
          </w:r>
          <w:r>
            <w:instrText xml:space="preserve"> HYPERLINK \l "_Toc5" \h </w:instrText>
          </w:r>
          <w:r>
            <w:fldChar w:fldCharType="separate"/>
          </w:r>
          <w:r>
            <w:t>3地基承载力参数</w:t>
          </w:r>
          <w:r>
            <w:tab/>
          </w:r>
          <w:r>
            <w:fldChar w:fldCharType="begin"/>
          </w:r>
          <w:r>
            <w:instrText xml:space="preserve"> PAGEREF _Toc5 \h </w:instrText>
          </w:r>
          <w:r>
            <w:fldChar w:fldCharType="separate"/>
          </w:r>
          <w:r>
            <w:fldChar w:fldCharType="end"/>
          </w:r>
          <w:r>
            <w:fldChar w:fldCharType="end"/>
          </w:r>
        </w:p>
        <w:p w14:paraId="10F2DFE2">
          <w:pPr>
            <w:pStyle w:val="15"/>
            <w:tabs>
              <w:tab w:val="right" w:leader="dot" w:pos="10349"/>
            </w:tabs>
          </w:pPr>
          <w:r>
            <w:fldChar w:fldCharType="begin"/>
          </w:r>
          <w:r>
            <w:instrText xml:space="preserve"> HYPERLINK \l "_Toc6" \h </w:instrText>
          </w:r>
          <w:r>
            <w:fldChar w:fldCharType="separate"/>
          </w:r>
          <w:r>
            <w:t>4独基自动布置参数</w:t>
          </w:r>
          <w:r>
            <w:tab/>
          </w:r>
          <w:r>
            <w:fldChar w:fldCharType="begin"/>
          </w:r>
          <w:r>
            <w:instrText xml:space="preserve"> PAGEREF _Toc6 \h </w:instrText>
          </w:r>
          <w:r>
            <w:fldChar w:fldCharType="separate"/>
          </w:r>
          <w:r>
            <w:fldChar w:fldCharType="end"/>
          </w:r>
          <w:r>
            <w:fldChar w:fldCharType="end"/>
          </w:r>
        </w:p>
        <w:p w14:paraId="60E6BA8F">
          <w:pPr>
            <w:pStyle w:val="15"/>
            <w:tabs>
              <w:tab w:val="right" w:leader="dot" w:pos="10349"/>
            </w:tabs>
          </w:pPr>
          <w:r>
            <w:fldChar w:fldCharType="begin"/>
          </w:r>
          <w:r>
            <w:instrText xml:space="preserve"> HYPERLINK \l "_Toc7" \h </w:instrText>
          </w:r>
          <w:r>
            <w:fldChar w:fldCharType="separate"/>
          </w:r>
          <w:r>
            <w:t>5沉降参数</w:t>
          </w:r>
          <w:r>
            <w:tab/>
          </w:r>
          <w:r>
            <w:fldChar w:fldCharType="begin"/>
          </w:r>
          <w:r>
            <w:instrText xml:space="preserve"> PAGEREF _Toc7 \h </w:instrText>
          </w:r>
          <w:r>
            <w:fldChar w:fldCharType="separate"/>
          </w:r>
          <w:r>
            <w:fldChar w:fldCharType="end"/>
          </w:r>
          <w:r>
            <w:fldChar w:fldCharType="end"/>
          </w:r>
        </w:p>
        <w:p w14:paraId="38CE03B9">
          <w:pPr>
            <w:pStyle w:val="15"/>
            <w:tabs>
              <w:tab w:val="right" w:leader="dot" w:pos="10349"/>
            </w:tabs>
          </w:pPr>
          <w:r>
            <w:fldChar w:fldCharType="begin"/>
          </w:r>
          <w:r>
            <w:instrText xml:space="preserve"> HYPERLINK \l "_Toc8" \h </w:instrText>
          </w:r>
          <w:r>
            <w:fldChar w:fldCharType="separate"/>
          </w:r>
          <w:r>
            <w:t>6计算设计参数</w:t>
          </w:r>
          <w:r>
            <w:tab/>
          </w:r>
          <w:r>
            <w:fldChar w:fldCharType="begin"/>
          </w:r>
          <w:r>
            <w:instrText xml:space="preserve"> PAGEREF _Toc8 \h </w:instrText>
          </w:r>
          <w:r>
            <w:fldChar w:fldCharType="separate"/>
          </w:r>
          <w:r>
            <w:fldChar w:fldCharType="end"/>
          </w:r>
          <w:r>
            <w:fldChar w:fldCharType="end"/>
          </w:r>
        </w:p>
        <w:p w14:paraId="400E73FB">
          <w:pPr>
            <w:pStyle w:val="12"/>
            <w:tabs>
              <w:tab w:val="right" w:leader="dot" w:pos="10349"/>
            </w:tabs>
          </w:pPr>
          <w:r>
            <w:fldChar w:fldCharType="begin"/>
          </w:r>
          <w:r>
            <w:instrText xml:space="preserve"> HYPERLINK \l "_Toc9" \h </w:instrText>
          </w:r>
          <w:r>
            <w:fldChar w:fldCharType="separate"/>
          </w:r>
          <w:r>
            <w:t>4. 模型概况</w:t>
          </w:r>
          <w:r>
            <w:tab/>
          </w:r>
          <w:r>
            <w:fldChar w:fldCharType="begin"/>
          </w:r>
          <w:r>
            <w:instrText xml:space="preserve"> PAGEREF _Toc9 \h </w:instrText>
          </w:r>
          <w:r>
            <w:fldChar w:fldCharType="separate"/>
          </w:r>
          <w:r>
            <w:fldChar w:fldCharType="end"/>
          </w:r>
          <w:r>
            <w:fldChar w:fldCharType="end"/>
          </w:r>
        </w:p>
        <w:p w14:paraId="0161C781">
          <w:pPr>
            <w:pStyle w:val="12"/>
            <w:tabs>
              <w:tab w:val="right" w:leader="dot" w:pos="10349"/>
            </w:tabs>
          </w:pPr>
          <w:r>
            <w:fldChar w:fldCharType="begin"/>
          </w:r>
          <w:r>
            <w:instrText xml:space="preserve"> HYPERLINK \l "_Toc10" \h </w:instrText>
          </w:r>
          <w:r>
            <w:fldChar w:fldCharType="separate"/>
          </w:r>
          <w:r>
            <w:t>5. 工况和组合</w:t>
          </w:r>
          <w:r>
            <w:tab/>
          </w:r>
          <w:r>
            <w:fldChar w:fldCharType="begin"/>
          </w:r>
          <w:r>
            <w:instrText xml:space="preserve"> PAGEREF _Toc10 \h </w:instrText>
          </w:r>
          <w:r>
            <w:fldChar w:fldCharType="separate"/>
          </w:r>
          <w:r>
            <w:fldChar w:fldCharType="end"/>
          </w:r>
          <w:r>
            <w:fldChar w:fldCharType="end"/>
          </w:r>
        </w:p>
        <w:p w14:paraId="3C88E23A">
          <w:pPr>
            <w:pStyle w:val="15"/>
            <w:tabs>
              <w:tab w:val="right" w:leader="dot" w:pos="10349"/>
            </w:tabs>
          </w:pPr>
          <w:r>
            <w:fldChar w:fldCharType="begin"/>
          </w:r>
          <w:r>
            <w:instrText xml:space="preserve"> HYPERLINK \l "_Toc11" \h </w:instrText>
          </w:r>
          <w:r>
            <w:fldChar w:fldCharType="separate"/>
          </w:r>
          <w:r>
            <w:t>1. 工况信息</w:t>
          </w:r>
          <w:r>
            <w:tab/>
          </w:r>
          <w:r>
            <w:fldChar w:fldCharType="begin"/>
          </w:r>
          <w:r>
            <w:instrText xml:space="preserve"> PAGEREF _Toc11 \h </w:instrText>
          </w:r>
          <w:r>
            <w:fldChar w:fldCharType="separate"/>
          </w:r>
          <w:r>
            <w:fldChar w:fldCharType="end"/>
          </w:r>
          <w:r>
            <w:fldChar w:fldCharType="end"/>
          </w:r>
        </w:p>
        <w:p w14:paraId="72D6419D">
          <w:pPr>
            <w:pStyle w:val="15"/>
            <w:tabs>
              <w:tab w:val="right" w:leader="dot" w:pos="10349"/>
            </w:tabs>
          </w:pPr>
          <w:r>
            <w:fldChar w:fldCharType="begin"/>
          </w:r>
          <w:r>
            <w:instrText xml:space="preserve"> HYPERLINK \l "_Toc12" \h </w:instrText>
          </w:r>
          <w:r>
            <w:fldChar w:fldCharType="separate"/>
          </w:r>
          <w:r>
            <w:t>2. 构件内力基本组合信息</w:t>
          </w:r>
          <w:r>
            <w:tab/>
          </w:r>
          <w:r>
            <w:fldChar w:fldCharType="begin"/>
          </w:r>
          <w:r>
            <w:instrText xml:space="preserve"> PAGEREF _Toc12 \h </w:instrText>
          </w:r>
          <w:r>
            <w:fldChar w:fldCharType="separate"/>
          </w:r>
          <w:r>
            <w:fldChar w:fldCharType="end"/>
          </w:r>
          <w:r>
            <w:fldChar w:fldCharType="end"/>
          </w:r>
        </w:p>
        <w:p w14:paraId="4D08C813">
          <w:pPr>
            <w:pStyle w:val="12"/>
            <w:tabs>
              <w:tab w:val="right" w:leader="dot" w:pos="10349"/>
            </w:tabs>
          </w:pPr>
          <w:r>
            <w:fldChar w:fldCharType="begin"/>
          </w:r>
          <w:r>
            <w:instrText xml:space="preserve"> HYPERLINK \l "_Toc13" \h </w:instrText>
          </w:r>
          <w:r>
            <w:fldChar w:fldCharType="separate"/>
          </w:r>
          <w:r>
            <w:t>6. 材料</w:t>
          </w:r>
          <w:r>
            <w:tab/>
          </w:r>
          <w:r>
            <w:fldChar w:fldCharType="begin"/>
          </w:r>
          <w:r>
            <w:instrText xml:space="preserve"> PAGEREF _Toc13 \h </w:instrText>
          </w:r>
          <w:r>
            <w:fldChar w:fldCharType="separate"/>
          </w:r>
          <w:r>
            <w:fldChar w:fldCharType="end"/>
          </w:r>
          <w:r>
            <w:fldChar w:fldCharType="end"/>
          </w:r>
        </w:p>
        <w:p w14:paraId="7C3978A3">
          <w:r>
            <w:fldChar w:fldCharType="end"/>
          </w:r>
        </w:p>
      </w:sdtContent>
    </w:sdt>
    <w:p w14:paraId="66AB1EEE">
      <w:r>
        <w:br w:type="page"/>
      </w:r>
    </w:p>
    <w:p w14:paraId="2D37E0BE">
      <w:pPr>
        <w:pStyle w:val="16"/>
        <w:jc w:val="left"/>
      </w:pPr>
      <w:bookmarkStart w:id="0" w:name="_Toc0"/>
      <w:r>
        <w:rPr>
          <w:rFonts w:hint="eastAsia" w:ascii="宋体" w:eastAsia="宋体"/>
          <w:b/>
          <w:color w:val="000000"/>
          <w:sz w:val="32"/>
          <w:szCs w:val="32"/>
          <w:shd w:val="clear" w:color="auto" w:fill="FFFFFF"/>
        </w:rPr>
        <w:t>1. 设计依据</w:t>
      </w:r>
      <w:bookmarkEnd w:id="0"/>
    </w:p>
    <w:tbl>
      <w:tblPr>
        <w:tblStyle w:val="42"/>
        <w:tblW w:w="9922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22"/>
      </w:tblGrid>
      <w:tr w14:paraId="7625225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9922" w:type="dxa"/>
            <w:shd w:val="clear" w:color="auto" w:fill="FFFFFF"/>
          </w:tcPr>
          <w:p w14:paraId="690A9D9D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1.《混凝土结构设计规范》(GB50010-2010)(2015年版)</w:t>
            </w:r>
          </w:p>
        </w:tc>
      </w:tr>
      <w:tr w14:paraId="1684DE4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9922" w:type="dxa"/>
            <w:shd w:val="clear" w:color="auto" w:fill="FFFFFF"/>
          </w:tcPr>
          <w:p w14:paraId="7D3E9515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2.《建筑地基基础设计规范》(GB50007-2011)</w:t>
            </w:r>
          </w:p>
        </w:tc>
      </w:tr>
      <w:tr w14:paraId="119DF9F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9922" w:type="dxa"/>
            <w:shd w:val="clear" w:color="auto" w:fill="FFFFFF"/>
          </w:tcPr>
          <w:p w14:paraId="0B1B39C0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3.《建筑抗震设计规范》(GB50011-2010)(2016年版)</w:t>
            </w:r>
          </w:p>
        </w:tc>
      </w:tr>
      <w:tr w14:paraId="0CD1DE9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9922" w:type="dxa"/>
            <w:shd w:val="clear" w:color="auto" w:fill="FFFFFF"/>
          </w:tcPr>
          <w:p w14:paraId="5B83A99A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4.《建筑结构荷载规范》(GB50009-2012)</w:t>
            </w:r>
          </w:p>
        </w:tc>
      </w:tr>
      <w:tr w14:paraId="2A2C516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9922" w:type="dxa"/>
            <w:shd w:val="clear" w:color="auto" w:fill="FFFFFF"/>
          </w:tcPr>
          <w:p w14:paraId="1060516A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5.《人民防空地下室设计规范》(GB50038-2005)(2023年版)</w:t>
            </w:r>
          </w:p>
        </w:tc>
      </w:tr>
      <w:tr w14:paraId="17717A1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9922" w:type="dxa"/>
            <w:shd w:val="clear" w:color="auto" w:fill="FFFFFF"/>
          </w:tcPr>
          <w:p w14:paraId="30086F56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6.《建筑桩基技术规范》(JGJ94-2008)</w:t>
            </w:r>
          </w:p>
        </w:tc>
      </w:tr>
      <w:tr w14:paraId="7105924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9922" w:type="dxa"/>
            <w:shd w:val="clear" w:color="auto" w:fill="FFFFFF"/>
          </w:tcPr>
          <w:p w14:paraId="71904775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7.《建筑地基处理技术规范》(JGJ79-2012)</w:t>
            </w:r>
          </w:p>
        </w:tc>
      </w:tr>
      <w:tr w14:paraId="485755B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9922" w:type="dxa"/>
            <w:shd w:val="clear" w:color="auto" w:fill="FFFFFF"/>
          </w:tcPr>
          <w:p w14:paraId="6F1C3FEB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8.《高层建筑筏形与箱形基础技术规范》(JGJ6-2011)</w:t>
            </w:r>
          </w:p>
        </w:tc>
      </w:tr>
      <w:tr w14:paraId="1B5A810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9922" w:type="dxa"/>
            <w:shd w:val="clear" w:color="auto" w:fill="FFFFFF"/>
          </w:tcPr>
          <w:p w14:paraId="13044137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9.《高压喷射扩大头锚杆技术规程》(JGJT282-2012)</w:t>
            </w:r>
          </w:p>
        </w:tc>
      </w:tr>
      <w:tr w14:paraId="5900652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9922" w:type="dxa"/>
            <w:shd w:val="clear" w:color="auto" w:fill="FFFFFF"/>
          </w:tcPr>
          <w:p w14:paraId="3688F147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10.《工程结构通用规范》(GB55001-2021)</w:t>
            </w:r>
          </w:p>
        </w:tc>
      </w:tr>
      <w:tr w14:paraId="37EF04F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9922" w:type="dxa"/>
            <w:shd w:val="clear" w:color="auto" w:fill="FFFFFF"/>
          </w:tcPr>
          <w:p w14:paraId="0EDC5E53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11.《混凝土结构通用规范》(GB55008-2021)</w:t>
            </w:r>
          </w:p>
        </w:tc>
      </w:tr>
      <w:tr w14:paraId="7B0EB96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9922" w:type="dxa"/>
            <w:shd w:val="clear" w:color="auto" w:fill="FFFFFF"/>
          </w:tcPr>
          <w:p w14:paraId="65CC194B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12.《建筑与市政地基基础通用规范》(GB55003-2021)</w:t>
            </w:r>
          </w:p>
        </w:tc>
      </w:tr>
    </w:tbl>
    <w:p w14:paraId="7ECAA992">
      <w:pPr>
        <w:pStyle w:val="16"/>
        <w:jc w:val="left"/>
      </w:pPr>
      <w:bookmarkStart w:id="1" w:name="_Toc1"/>
      <w:r>
        <w:rPr>
          <w:rFonts w:hint="eastAsia" w:ascii="宋体" w:eastAsia="宋体"/>
          <w:b/>
          <w:color w:val="000000"/>
          <w:sz w:val="32"/>
          <w:szCs w:val="32"/>
          <w:shd w:val="clear" w:color="auto" w:fill="FFFFFF"/>
        </w:rPr>
        <w:t>2. 计算软件信息</w:t>
      </w:r>
      <w:bookmarkEnd w:id="1"/>
    </w:p>
    <w:p w14:paraId="4370A218">
      <w:pPr>
        <w:spacing w:beforeLines="283" w:afterLines="283" w:line="113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30"/>
          <w:szCs w:val="30"/>
          <w:shd w:val="clear" w:color="auto" w:fill="FFFFFF"/>
        </w:rPr>
        <w:t>本工程计算软件为PKPM2021-V2.2.0.1 JCCAD</w:t>
      </w:r>
    </w:p>
    <w:p w14:paraId="0D0FEFFB">
      <w:pPr>
        <w:pStyle w:val="16"/>
        <w:jc w:val="left"/>
      </w:pPr>
      <w:bookmarkStart w:id="2" w:name="_Toc2"/>
      <w:r>
        <w:rPr>
          <w:rFonts w:hint="eastAsia" w:ascii="宋体" w:eastAsia="宋体"/>
          <w:b/>
          <w:color w:val="000000"/>
          <w:sz w:val="32"/>
          <w:szCs w:val="32"/>
          <w:shd w:val="clear" w:color="auto" w:fill="FFFFFF"/>
        </w:rPr>
        <w:t>3. 计算参数</w:t>
      </w:r>
      <w:bookmarkEnd w:id="2"/>
    </w:p>
    <w:p w14:paraId="0DA7DBD2">
      <w:pPr>
        <w:pStyle w:val="3"/>
      </w:pPr>
      <w:bookmarkStart w:id="3" w:name="_Toc3"/>
      <w:r>
        <w:t>1总信息</w:t>
      </w:r>
      <w:bookmarkEnd w:id="3"/>
    </w:p>
    <w:tbl>
      <w:tblPr>
        <w:tblStyle w:val="42"/>
        <w:tblW w:w="9922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6"/>
        <w:gridCol w:w="5386"/>
      </w:tblGrid>
      <w:tr w14:paraId="7C1DED8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 w14:paraId="795525E2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结构重要性系数</w:t>
            </w:r>
          </w:p>
        </w:tc>
        <w:tc>
          <w:tcPr>
            <w:tcW w:w="5386" w:type="dxa"/>
            <w:shd w:val="clear" w:color="auto" w:fill="FFFFFF"/>
          </w:tcPr>
          <w:p w14:paraId="6C79E99A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</w:t>
            </w:r>
          </w:p>
        </w:tc>
      </w:tr>
      <w:tr w14:paraId="3DA6AB3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 w14:paraId="4EBD4142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拉梁承担弯矩比例</w:t>
            </w:r>
          </w:p>
        </w:tc>
        <w:tc>
          <w:tcPr>
            <w:tcW w:w="5386" w:type="dxa"/>
            <w:shd w:val="clear" w:color="auto" w:fill="FFFFFF"/>
          </w:tcPr>
          <w:p w14:paraId="33076918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</w:tr>
      <w:tr w14:paraId="26E83E8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 w14:paraId="7C22401E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自动按楼层折减活荷载</w:t>
            </w:r>
          </w:p>
        </w:tc>
        <w:tc>
          <w:tcPr>
            <w:tcW w:w="5386" w:type="dxa"/>
            <w:shd w:val="clear" w:color="auto" w:fill="FFFFFF"/>
          </w:tcPr>
          <w:p w14:paraId="613F8488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否</w:t>
            </w:r>
          </w:p>
        </w:tc>
      </w:tr>
      <w:tr w14:paraId="3C51962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 w14:paraId="4F5927AD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活荷载按楼层折减系数</w:t>
            </w:r>
          </w:p>
        </w:tc>
        <w:tc>
          <w:tcPr>
            <w:tcW w:w="5386" w:type="dxa"/>
            <w:shd w:val="clear" w:color="auto" w:fill="FFFFFF"/>
          </w:tcPr>
          <w:p w14:paraId="01143866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</w:t>
            </w:r>
          </w:p>
        </w:tc>
      </w:tr>
      <w:tr w14:paraId="3E41E1B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 w14:paraId="5EA3EF56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平面荷载按轴线平均(适于砌体结构)</w:t>
            </w:r>
          </w:p>
        </w:tc>
        <w:tc>
          <w:tcPr>
            <w:tcW w:w="5386" w:type="dxa"/>
            <w:shd w:val="clear" w:color="auto" w:fill="FFFFFF"/>
          </w:tcPr>
          <w:p w14:paraId="663BB7A9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否</w:t>
            </w:r>
          </w:p>
        </w:tc>
      </w:tr>
      <w:tr w14:paraId="7478AEA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 w14:paraId="2C4C9619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考虑墙洞</w:t>
            </w:r>
          </w:p>
        </w:tc>
        <w:tc>
          <w:tcPr>
            <w:tcW w:w="5386" w:type="dxa"/>
            <w:shd w:val="clear" w:color="auto" w:fill="FFFFFF"/>
          </w:tcPr>
          <w:p w14:paraId="0B300EDE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否</w:t>
            </w:r>
          </w:p>
        </w:tc>
      </w:tr>
      <w:tr w14:paraId="7E59418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 w14:paraId="3CD104CD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分配无柱节点荷载</w:t>
            </w:r>
          </w:p>
        </w:tc>
        <w:tc>
          <w:tcPr>
            <w:tcW w:w="5386" w:type="dxa"/>
            <w:shd w:val="clear" w:color="auto" w:fill="FFFFFF"/>
          </w:tcPr>
          <w:p w14:paraId="27C32C8B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是</w:t>
            </w:r>
          </w:p>
        </w:tc>
      </w:tr>
      <w:tr w14:paraId="285BE14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 w14:paraId="77DFA766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独基、承台计算考虑防水板面荷载</w:t>
            </w:r>
          </w:p>
        </w:tc>
        <w:tc>
          <w:tcPr>
            <w:tcW w:w="5386" w:type="dxa"/>
            <w:shd w:val="clear" w:color="auto" w:fill="FFFFFF"/>
          </w:tcPr>
          <w:p w14:paraId="70634990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是</w:t>
            </w:r>
          </w:p>
        </w:tc>
      </w:tr>
      <w:tr w14:paraId="0057280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 w14:paraId="60FDF00A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计算时考虑独基、承台底面范围内的线荷载</w:t>
            </w:r>
          </w:p>
        </w:tc>
        <w:tc>
          <w:tcPr>
            <w:tcW w:w="5386" w:type="dxa"/>
            <w:shd w:val="clear" w:color="auto" w:fill="FFFFFF"/>
          </w:tcPr>
          <w:p w14:paraId="32F6F0FF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是</w:t>
            </w:r>
          </w:p>
        </w:tc>
      </w:tr>
      <w:tr w14:paraId="06C861F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 w14:paraId="467B736B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混凝土容重(kN/m3)</w:t>
            </w:r>
          </w:p>
        </w:tc>
        <w:tc>
          <w:tcPr>
            <w:tcW w:w="5386" w:type="dxa"/>
            <w:shd w:val="clear" w:color="auto" w:fill="FFFFFF"/>
          </w:tcPr>
          <w:p w14:paraId="6FE8A97C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25.0</w:t>
            </w:r>
          </w:p>
        </w:tc>
      </w:tr>
      <w:tr w14:paraId="005BC39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 w14:paraId="76CC9B44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覆土平均容重(kN/m3)</w:t>
            </w:r>
          </w:p>
        </w:tc>
        <w:tc>
          <w:tcPr>
            <w:tcW w:w="5386" w:type="dxa"/>
            <w:shd w:val="clear" w:color="auto" w:fill="FFFFFF"/>
          </w:tcPr>
          <w:p w14:paraId="39489396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20.0</w:t>
            </w:r>
          </w:p>
        </w:tc>
      </w:tr>
      <w:tr w14:paraId="645D5A8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 w14:paraId="6C73F60C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《建筑抗震规范》6.2.3</w:t>
            </w:r>
          </w:p>
        </w:tc>
        <w:tc>
          <w:tcPr>
            <w:tcW w:w="5386" w:type="dxa"/>
            <w:shd w:val="clear" w:color="auto" w:fill="FFFFFF"/>
          </w:tcPr>
          <w:p w14:paraId="03072BBE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</w:t>
            </w:r>
          </w:p>
        </w:tc>
      </w:tr>
      <w:tr w14:paraId="43F392D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 w14:paraId="1A826DC7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室外地面标高</w:t>
            </w:r>
          </w:p>
        </w:tc>
        <w:tc>
          <w:tcPr>
            <w:tcW w:w="5386" w:type="dxa"/>
            <w:shd w:val="clear" w:color="auto" w:fill="FFFFFF"/>
          </w:tcPr>
          <w:p w14:paraId="13D05A24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</w:tr>
      <w:tr w14:paraId="1A8368D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 w14:paraId="0792E623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室内地面标高</w:t>
            </w:r>
          </w:p>
        </w:tc>
        <w:tc>
          <w:tcPr>
            <w:tcW w:w="5386" w:type="dxa"/>
            <w:shd w:val="clear" w:color="auto" w:fill="FFFFFF"/>
          </w:tcPr>
          <w:p w14:paraId="69FA5AB2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</w:tr>
      <w:tr w14:paraId="23A0943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 w14:paraId="027E2770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地区选择</w:t>
            </w:r>
          </w:p>
        </w:tc>
        <w:tc>
          <w:tcPr>
            <w:tcW w:w="5386" w:type="dxa"/>
            <w:shd w:val="clear" w:color="auto" w:fill="FFFFFF"/>
          </w:tcPr>
          <w:p w14:paraId="6CAB5BEF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国家</w:t>
            </w:r>
          </w:p>
        </w:tc>
      </w:tr>
      <w:tr w14:paraId="164CB27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 w14:paraId="50D9C501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执行2021版广东高规</w:t>
            </w:r>
          </w:p>
        </w:tc>
        <w:tc>
          <w:tcPr>
            <w:tcW w:w="5386" w:type="dxa"/>
            <w:shd w:val="clear" w:color="auto" w:fill="FFFFFF"/>
          </w:tcPr>
          <w:p w14:paraId="547E159D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否</w:t>
            </w:r>
          </w:p>
        </w:tc>
      </w:tr>
      <w:tr w14:paraId="2A053A3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 w14:paraId="23058B4E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执行规范</w:t>
            </w:r>
          </w:p>
        </w:tc>
        <w:tc>
          <w:tcPr>
            <w:tcW w:w="5386" w:type="dxa"/>
            <w:shd w:val="clear" w:color="auto" w:fill="FFFFFF"/>
          </w:tcPr>
          <w:p w14:paraId="1F40E535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通用规范(2021版)</w:t>
            </w:r>
          </w:p>
        </w:tc>
      </w:tr>
    </w:tbl>
    <w:p w14:paraId="4D324835">
      <w:pPr>
        <w:pStyle w:val="3"/>
      </w:pPr>
      <w:bookmarkStart w:id="4" w:name="_Toc4"/>
      <w:r>
        <w:t>2荷载信息</w:t>
      </w:r>
      <w:bookmarkEnd w:id="4"/>
    </w:p>
    <w:tbl>
      <w:tblPr>
        <w:tblStyle w:val="42"/>
        <w:tblW w:w="9922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6"/>
        <w:gridCol w:w="5386"/>
      </w:tblGrid>
      <w:tr w14:paraId="3464057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 w14:paraId="27EC4B6F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历史最低水位(m)</w:t>
            </w:r>
          </w:p>
        </w:tc>
        <w:tc>
          <w:tcPr>
            <w:tcW w:w="5386" w:type="dxa"/>
            <w:shd w:val="clear" w:color="auto" w:fill="FFFFFF"/>
          </w:tcPr>
          <w:p w14:paraId="6F5FF196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不考虑</w:t>
            </w:r>
          </w:p>
        </w:tc>
      </w:tr>
      <w:tr w14:paraId="7033C61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 w14:paraId="272A2D44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历史最高水位(m)</w:t>
            </w:r>
          </w:p>
        </w:tc>
        <w:tc>
          <w:tcPr>
            <w:tcW w:w="5386" w:type="dxa"/>
            <w:shd w:val="clear" w:color="auto" w:fill="FFFFFF"/>
          </w:tcPr>
          <w:p w14:paraId="0A4B6225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</w:t>
            </w:r>
          </w:p>
        </w:tc>
      </w:tr>
      <w:tr w14:paraId="6F54F9D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 w14:paraId="7E59CEC5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抗浮工程设计等级</w:t>
            </w:r>
          </w:p>
        </w:tc>
        <w:tc>
          <w:tcPr>
            <w:tcW w:w="5386" w:type="dxa"/>
            <w:shd w:val="clear" w:color="auto" w:fill="FFFFFF"/>
          </w:tcPr>
          <w:p w14:paraId="14448D27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乙级</w:t>
            </w:r>
          </w:p>
        </w:tc>
      </w:tr>
      <w:tr w14:paraId="6670F7B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 w14:paraId="0494B6CC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抗浮重要性系数</w:t>
            </w:r>
          </w:p>
        </w:tc>
        <w:tc>
          <w:tcPr>
            <w:tcW w:w="5386" w:type="dxa"/>
            <w:shd w:val="clear" w:color="auto" w:fill="FFFFFF"/>
          </w:tcPr>
          <w:p w14:paraId="5265BEFB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1.05</w:t>
            </w:r>
          </w:p>
        </w:tc>
      </w:tr>
      <w:tr w14:paraId="2BBDB45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 w14:paraId="5A032C06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抗浮稳定安全系数</w:t>
            </w:r>
          </w:p>
        </w:tc>
        <w:tc>
          <w:tcPr>
            <w:tcW w:w="5386" w:type="dxa"/>
            <w:shd w:val="clear" w:color="auto" w:fill="FFFFFF"/>
          </w:tcPr>
          <w:p w14:paraId="2C605619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1.05</w:t>
            </w:r>
          </w:p>
        </w:tc>
      </w:tr>
      <w:tr w14:paraId="69168F2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 w14:paraId="345255EF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水浮力的基本组合分项系数</w:t>
            </w:r>
          </w:p>
        </w:tc>
        <w:tc>
          <w:tcPr>
            <w:tcW w:w="5386" w:type="dxa"/>
            <w:shd w:val="clear" w:color="auto" w:fill="FFFFFF"/>
          </w:tcPr>
          <w:p w14:paraId="4A01FEEE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1.35</w:t>
            </w:r>
          </w:p>
        </w:tc>
      </w:tr>
      <w:tr w14:paraId="2C9EF74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 w14:paraId="2D9484A6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水浮力的标准组合分项系数</w:t>
            </w:r>
          </w:p>
        </w:tc>
        <w:tc>
          <w:tcPr>
            <w:tcW w:w="5386" w:type="dxa"/>
            <w:shd w:val="clear" w:color="auto" w:fill="FFFFFF"/>
          </w:tcPr>
          <w:p w14:paraId="64504B61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</w:t>
            </w:r>
          </w:p>
        </w:tc>
      </w:tr>
      <w:tr w14:paraId="02C58DA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 w14:paraId="30B6ED43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执行《建筑结构可靠性设计统一标准》</w:t>
            </w:r>
          </w:p>
        </w:tc>
        <w:tc>
          <w:tcPr>
            <w:tcW w:w="5386" w:type="dxa"/>
            <w:shd w:val="clear" w:color="auto" w:fill="FFFFFF"/>
          </w:tcPr>
          <w:p w14:paraId="6F43C5FC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是</w:t>
            </w:r>
          </w:p>
        </w:tc>
      </w:tr>
      <w:tr w14:paraId="05630DF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 w14:paraId="0AB01840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人防等级</w:t>
            </w:r>
          </w:p>
        </w:tc>
        <w:tc>
          <w:tcPr>
            <w:tcW w:w="5386" w:type="dxa"/>
            <w:shd w:val="clear" w:color="auto" w:fill="FFFFFF"/>
          </w:tcPr>
          <w:p w14:paraId="66756B58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无</w:t>
            </w:r>
          </w:p>
        </w:tc>
      </w:tr>
      <w:tr w14:paraId="59BF7F4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 w14:paraId="46D0DD64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底板等效静荷载(kPa)</w:t>
            </w:r>
          </w:p>
        </w:tc>
        <w:tc>
          <w:tcPr>
            <w:tcW w:w="5386" w:type="dxa"/>
            <w:shd w:val="clear" w:color="auto" w:fill="FFFFFF"/>
          </w:tcPr>
          <w:p w14:paraId="0E634B38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</w:t>
            </w:r>
          </w:p>
        </w:tc>
      </w:tr>
    </w:tbl>
    <w:p w14:paraId="5DFC9EC5">
      <w:pPr>
        <w:pStyle w:val="3"/>
      </w:pPr>
      <w:bookmarkStart w:id="5" w:name="_Toc5"/>
      <w:r>
        <w:t>3地基承载力参数</w:t>
      </w:r>
      <w:bookmarkEnd w:id="5"/>
    </w:p>
    <w:tbl>
      <w:tblPr>
        <w:tblStyle w:val="42"/>
        <w:tblW w:w="9922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6"/>
        <w:gridCol w:w="5386"/>
      </w:tblGrid>
      <w:tr w14:paraId="69B11F5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 w14:paraId="72521566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确定地基承载力时采用的规范</w:t>
            </w:r>
          </w:p>
        </w:tc>
        <w:tc>
          <w:tcPr>
            <w:tcW w:w="5386" w:type="dxa"/>
            <w:shd w:val="clear" w:color="auto" w:fill="FFFFFF"/>
          </w:tcPr>
          <w:p w14:paraId="73E8AB48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中华人民共和国国家标准 地基规范GB50007-2011 5.2.4 综合法</w:t>
            </w:r>
          </w:p>
        </w:tc>
      </w:tr>
      <w:tr w14:paraId="5F878FA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 w14:paraId="015853F6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地基承载力特征值</w:t>
            </w:r>
          </w:p>
        </w:tc>
        <w:tc>
          <w:tcPr>
            <w:tcW w:w="5386" w:type="dxa"/>
            <w:shd w:val="clear" w:color="auto" w:fill="FFFFFF"/>
          </w:tcPr>
          <w:p w14:paraId="5FDB4167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160.0</w:t>
            </w:r>
          </w:p>
        </w:tc>
      </w:tr>
      <w:tr w14:paraId="3F62AFF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 w14:paraId="3217EA7F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基础宽度的地基承载力修正系数</w:t>
            </w:r>
          </w:p>
        </w:tc>
        <w:tc>
          <w:tcPr>
            <w:tcW w:w="5386" w:type="dxa"/>
            <w:shd w:val="clear" w:color="auto" w:fill="FFFFFF"/>
          </w:tcPr>
          <w:p w14:paraId="7DD78757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</w:tr>
      <w:tr w14:paraId="179DF48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 w14:paraId="0D081870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基础埋深的地基承载力修正系数</w:t>
            </w:r>
          </w:p>
        </w:tc>
        <w:tc>
          <w:tcPr>
            <w:tcW w:w="5386" w:type="dxa"/>
            <w:shd w:val="clear" w:color="auto" w:fill="FFFFFF"/>
          </w:tcPr>
          <w:p w14:paraId="2C109A0C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</w:tr>
      <w:tr w14:paraId="65BDDAA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 w14:paraId="0506CD25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基础底面以下土的重度(或浮重度)</w:t>
            </w:r>
          </w:p>
        </w:tc>
        <w:tc>
          <w:tcPr>
            <w:tcW w:w="5386" w:type="dxa"/>
            <w:shd w:val="clear" w:color="auto" w:fill="FFFFFF"/>
          </w:tcPr>
          <w:p w14:paraId="6ECE08E2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20.0</w:t>
            </w:r>
          </w:p>
        </w:tc>
      </w:tr>
      <w:tr w14:paraId="7AA1DDC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 w14:paraId="2D96B17A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基础底面以上土的加权平均重度</w:t>
            </w:r>
          </w:p>
        </w:tc>
        <w:tc>
          <w:tcPr>
            <w:tcW w:w="5386" w:type="dxa"/>
            <w:shd w:val="clear" w:color="auto" w:fill="FFFFFF"/>
          </w:tcPr>
          <w:p w14:paraId="08E30D55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20.0</w:t>
            </w:r>
          </w:p>
        </w:tc>
      </w:tr>
      <w:tr w14:paraId="041EA60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 w14:paraId="5DFDCFF1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地基抗震承载力调整系数:</w:t>
            </w:r>
          </w:p>
        </w:tc>
        <w:tc>
          <w:tcPr>
            <w:tcW w:w="5386" w:type="dxa"/>
            <w:shd w:val="clear" w:color="auto" w:fill="FFFFFF"/>
          </w:tcPr>
          <w:p w14:paraId="3CFF85FA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1.300</w:t>
            </w:r>
          </w:p>
        </w:tc>
      </w:tr>
    </w:tbl>
    <w:p w14:paraId="0A0B5045">
      <w:pPr>
        <w:pStyle w:val="3"/>
      </w:pPr>
      <w:bookmarkStart w:id="6" w:name="_Toc6"/>
      <w:r>
        <w:t>4独基自动布置参数</w:t>
      </w:r>
      <w:bookmarkEnd w:id="6"/>
    </w:p>
    <w:tbl>
      <w:tblPr>
        <w:tblStyle w:val="42"/>
        <w:tblW w:w="9922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6"/>
        <w:gridCol w:w="5386"/>
      </w:tblGrid>
      <w:tr w14:paraId="38ADC8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 w14:paraId="7A17C76E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独基类型</w:t>
            </w:r>
          </w:p>
        </w:tc>
        <w:tc>
          <w:tcPr>
            <w:tcW w:w="5386" w:type="dxa"/>
            <w:shd w:val="clear" w:color="auto" w:fill="FFFFFF"/>
          </w:tcPr>
          <w:p w14:paraId="75508EC7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阶形现浇</w:t>
            </w:r>
          </w:p>
        </w:tc>
      </w:tr>
      <w:tr w14:paraId="43DAFB3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 w14:paraId="6A396EB4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独立基础最小高度</w:t>
            </w:r>
          </w:p>
        </w:tc>
        <w:tc>
          <w:tcPr>
            <w:tcW w:w="5386" w:type="dxa"/>
            <w:shd w:val="clear" w:color="auto" w:fill="FFFFFF"/>
          </w:tcPr>
          <w:p w14:paraId="6E3E46F0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600</w:t>
            </w:r>
          </w:p>
        </w:tc>
      </w:tr>
      <w:tr w14:paraId="560401E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 w14:paraId="38E222D9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允许零应力区比值(%)</w:t>
            </w:r>
          </w:p>
        </w:tc>
        <w:tc>
          <w:tcPr>
            <w:tcW w:w="5386" w:type="dxa"/>
            <w:shd w:val="clear" w:color="auto" w:fill="FFFFFF"/>
          </w:tcPr>
          <w:p w14:paraId="3E67388A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0.15</w:t>
            </w:r>
          </w:p>
        </w:tc>
      </w:tr>
      <w:tr w14:paraId="0E54EE1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 w14:paraId="1750C87D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受剪承载力计算公式</w:t>
            </w:r>
          </w:p>
        </w:tc>
        <w:tc>
          <w:tcPr>
            <w:tcW w:w="5386" w:type="dxa"/>
            <w:shd w:val="clear" w:color="auto" w:fill="FFFFFF"/>
          </w:tcPr>
          <w:p w14:paraId="1C693A12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0.7*βhs*ft*A0</w:t>
            </w:r>
          </w:p>
        </w:tc>
      </w:tr>
      <w:tr w14:paraId="4450197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 w14:paraId="49F8FA31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刚性独基进行抗剪计算</w:t>
            </w:r>
          </w:p>
        </w:tc>
        <w:tc>
          <w:tcPr>
            <w:tcW w:w="5386" w:type="dxa"/>
            <w:shd w:val="clear" w:color="auto" w:fill="FFFFFF"/>
          </w:tcPr>
          <w:p w14:paraId="01558960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否</w:t>
            </w:r>
          </w:p>
        </w:tc>
      </w:tr>
      <w:tr w14:paraId="483E901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 w14:paraId="04AF19D5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独基自动生成时做碰撞检查</w:t>
            </w:r>
          </w:p>
        </w:tc>
        <w:tc>
          <w:tcPr>
            <w:tcW w:w="5386" w:type="dxa"/>
            <w:shd w:val="clear" w:color="auto" w:fill="FFFFFF"/>
          </w:tcPr>
          <w:p w14:paraId="78D28E8F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是</w:t>
            </w:r>
          </w:p>
        </w:tc>
      </w:tr>
      <w:tr w14:paraId="6390C31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 w14:paraId="1916478C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自动调整不满足的独立基础</w:t>
            </w:r>
          </w:p>
        </w:tc>
        <w:tc>
          <w:tcPr>
            <w:tcW w:w="5386" w:type="dxa"/>
            <w:shd w:val="clear" w:color="auto" w:fill="FFFFFF"/>
          </w:tcPr>
          <w:p w14:paraId="5EEBACE1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是</w:t>
            </w:r>
          </w:p>
        </w:tc>
      </w:tr>
    </w:tbl>
    <w:p w14:paraId="0405CAD6">
      <w:pPr>
        <w:pStyle w:val="3"/>
      </w:pPr>
      <w:bookmarkStart w:id="7" w:name="_Toc7"/>
      <w:r>
        <w:t>5沉降参数</w:t>
      </w:r>
      <w:bookmarkEnd w:id="7"/>
    </w:p>
    <w:tbl>
      <w:tblPr>
        <w:tblStyle w:val="42"/>
        <w:tblW w:w="9922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6"/>
        <w:gridCol w:w="5386"/>
      </w:tblGrid>
      <w:tr w14:paraId="6150277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 w14:paraId="3CD36893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是否进行沉降计算</w:t>
            </w:r>
          </w:p>
        </w:tc>
        <w:tc>
          <w:tcPr>
            <w:tcW w:w="5386" w:type="dxa"/>
            <w:shd w:val="clear" w:color="auto" w:fill="FFFFFF"/>
          </w:tcPr>
          <w:p w14:paraId="1C76C8F3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是</w:t>
            </w:r>
          </w:p>
        </w:tc>
      </w:tr>
      <w:tr w14:paraId="7453425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 w14:paraId="2D6CDD82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根据迭代确定沉降</w:t>
            </w:r>
          </w:p>
        </w:tc>
        <w:tc>
          <w:tcPr>
            <w:tcW w:w="5386" w:type="dxa"/>
            <w:shd w:val="clear" w:color="auto" w:fill="FFFFFF"/>
          </w:tcPr>
          <w:p w14:paraId="72E7D6EB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否</w:t>
            </w:r>
          </w:p>
        </w:tc>
      </w:tr>
      <w:tr w14:paraId="6D1F387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 w14:paraId="73C15837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根据迭代确定施工步沉降</w:t>
            </w:r>
          </w:p>
        </w:tc>
        <w:tc>
          <w:tcPr>
            <w:tcW w:w="5386" w:type="dxa"/>
            <w:shd w:val="clear" w:color="auto" w:fill="FFFFFF"/>
          </w:tcPr>
          <w:p w14:paraId="7CFE2C45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否</w:t>
            </w:r>
          </w:p>
        </w:tc>
      </w:tr>
      <w:tr w14:paraId="6DC5E26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 w14:paraId="785CDD38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独基沉降计算方法</w:t>
            </w:r>
          </w:p>
        </w:tc>
        <w:tc>
          <w:tcPr>
            <w:tcW w:w="5386" w:type="dxa"/>
            <w:shd w:val="clear" w:color="auto" w:fill="FFFFFF"/>
          </w:tcPr>
          <w:p w14:paraId="0761020F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分层总和法</w:t>
            </w:r>
          </w:p>
        </w:tc>
      </w:tr>
      <w:tr w14:paraId="0A1CD16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 w14:paraId="0D02D82D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土的(平均)泊松比</w:t>
            </w:r>
          </w:p>
        </w:tc>
        <w:tc>
          <w:tcPr>
            <w:tcW w:w="5386" w:type="dxa"/>
            <w:shd w:val="clear" w:color="auto" w:fill="FFFFFF"/>
          </w:tcPr>
          <w:p w14:paraId="6BDB0F0E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0.35</w:t>
            </w:r>
          </w:p>
        </w:tc>
      </w:tr>
      <w:tr w14:paraId="7598881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 w14:paraId="5D7B1334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单元沉降计算方法</w:t>
            </w:r>
          </w:p>
        </w:tc>
        <w:tc>
          <w:tcPr>
            <w:tcW w:w="5386" w:type="dxa"/>
            <w:shd w:val="clear" w:color="auto" w:fill="FFFFFF"/>
          </w:tcPr>
          <w:p w14:paraId="19BFC9D9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完全柔性算法</w:t>
            </w:r>
          </w:p>
        </w:tc>
      </w:tr>
      <w:tr w14:paraId="7FE4954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 w14:paraId="54432557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考虑相邻荷载的水平面影响范围(m)</w:t>
            </w:r>
          </w:p>
        </w:tc>
        <w:tc>
          <w:tcPr>
            <w:tcW w:w="5386" w:type="dxa"/>
            <w:shd w:val="clear" w:color="auto" w:fill="FFFFFF"/>
          </w:tcPr>
          <w:p w14:paraId="2C6A5BEE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10.00</w:t>
            </w:r>
          </w:p>
        </w:tc>
      </w:tr>
      <w:tr w14:paraId="185E57B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 w14:paraId="74012861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考虑相邻桩基的水平面影响范围(几倍桩长)</w:t>
            </w:r>
          </w:p>
        </w:tc>
        <w:tc>
          <w:tcPr>
            <w:tcW w:w="5386" w:type="dxa"/>
            <w:shd w:val="clear" w:color="auto" w:fill="FFFFFF"/>
          </w:tcPr>
          <w:p w14:paraId="3445B953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0.60</w:t>
            </w:r>
          </w:p>
        </w:tc>
      </w:tr>
      <w:tr w14:paraId="2B32838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 w14:paraId="2D21116A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明德林沉降桩顶荷载效应</w:t>
            </w:r>
          </w:p>
        </w:tc>
        <w:tc>
          <w:tcPr>
            <w:tcW w:w="5386" w:type="dxa"/>
            <w:shd w:val="clear" w:color="auto" w:fill="FFFFFF"/>
          </w:tcPr>
          <w:p w14:paraId="769AF782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总荷载</w:t>
            </w:r>
          </w:p>
        </w:tc>
      </w:tr>
      <w:tr w14:paraId="7928954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 w14:paraId="7FFB3374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自动计算桩端阻力比</w:t>
            </w:r>
          </w:p>
        </w:tc>
        <w:tc>
          <w:tcPr>
            <w:tcW w:w="5386" w:type="dxa"/>
            <w:shd w:val="clear" w:color="auto" w:fill="FFFFFF"/>
          </w:tcPr>
          <w:p w14:paraId="56062780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0.20</w:t>
            </w:r>
          </w:p>
        </w:tc>
      </w:tr>
      <w:tr w14:paraId="5860313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 w14:paraId="5D783980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均匀分布侧阻力比</w:t>
            </w:r>
          </w:p>
        </w:tc>
        <w:tc>
          <w:tcPr>
            <w:tcW w:w="5386" w:type="dxa"/>
            <w:shd w:val="clear" w:color="auto" w:fill="FFFFFF"/>
          </w:tcPr>
          <w:p w14:paraId="55C85012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</w:tr>
      <w:tr w14:paraId="0262F18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 w14:paraId="7ED06BB5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沉降计算深度Zn(m)</w:t>
            </w:r>
          </w:p>
        </w:tc>
        <w:tc>
          <w:tcPr>
            <w:tcW w:w="5386" w:type="dxa"/>
            <w:shd w:val="clear" w:color="auto" w:fill="FFFFFF"/>
          </w:tcPr>
          <w:p w14:paraId="5ACF7955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10.00</w:t>
            </w:r>
          </w:p>
        </w:tc>
      </w:tr>
      <w:tr w14:paraId="7DFA21D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 w14:paraId="24330EF6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计算土层厚度△z(m)</w:t>
            </w:r>
          </w:p>
        </w:tc>
        <w:tc>
          <w:tcPr>
            <w:tcW w:w="5386" w:type="dxa"/>
            <w:shd w:val="clear" w:color="auto" w:fill="FFFFFF"/>
          </w:tcPr>
          <w:p w14:paraId="409C0D26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</w:tr>
      <w:tr w14:paraId="064C527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 w14:paraId="117B63DD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沉降计算调整系数</w:t>
            </w:r>
          </w:p>
        </w:tc>
        <w:tc>
          <w:tcPr>
            <w:tcW w:w="5386" w:type="dxa"/>
            <w:shd w:val="clear" w:color="auto" w:fill="FFFFFF"/>
          </w:tcPr>
          <w:p w14:paraId="528415C5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</w:t>
            </w:r>
          </w:p>
        </w:tc>
      </w:tr>
      <w:tr w14:paraId="50DC9F1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 w14:paraId="3CAC67BD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桩基沉降计算调整系数</w:t>
            </w:r>
          </w:p>
        </w:tc>
        <w:tc>
          <w:tcPr>
            <w:tcW w:w="5386" w:type="dxa"/>
            <w:shd w:val="clear" w:color="auto" w:fill="FFFFFF"/>
          </w:tcPr>
          <w:p w14:paraId="766D4155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</w:t>
            </w:r>
          </w:p>
        </w:tc>
      </w:tr>
      <w:tr w14:paraId="162D8D2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 w14:paraId="39851929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考虑回弹再压缩</w:t>
            </w:r>
          </w:p>
        </w:tc>
        <w:tc>
          <w:tcPr>
            <w:tcW w:w="5386" w:type="dxa"/>
            <w:shd w:val="clear" w:color="auto" w:fill="FFFFFF"/>
          </w:tcPr>
          <w:p w14:paraId="0F59E5B0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否</w:t>
            </w:r>
          </w:p>
        </w:tc>
      </w:tr>
    </w:tbl>
    <w:p w14:paraId="461BBDF6">
      <w:pPr>
        <w:pStyle w:val="3"/>
      </w:pPr>
      <w:bookmarkStart w:id="8" w:name="_Toc8"/>
      <w:r>
        <w:t>6计算设计参数</w:t>
      </w:r>
      <w:bookmarkEnd w:id="8"/>
    </w:p>
    <w:tbl>
      <w:tblPr>
        <w:tblStyle w:val="42"/>
        <w:tblW w:w="9922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6"/>
        <w:gridCol w:w="5386"/>
      </w:tblGrid>
      <w:tr w14:paraId="7CC02B0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 w14:paraId="4EC0D7AE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计算模型</w:t>
            </w:r>
          </w:p>
        </w:tc>
        <w:tc>
          <w:tcPr>
            <w:tcW w:w="5386" w:type="dxa"/>
            <w:shd w:val="clear" w:color="auto" w:fill="FFFFFF"/>
          </w:tcPr>
          <w:p w14:paraId="422B2C75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Winkler模型</w:t>
            </w:r>
          </w:p>
        </w:tc>
      </w:tr>
      <w:tr w14:paraId="1F6C248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 w14:paraId="07A7753E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梁元法</w:t>
            </w:r>
          </w:p>
        </w:tc>
        <w:tc>
          <w:tcPr>
            <w:tcW w:w="5386" w:type="dxa"/>
            <w:shd w:val="clear" w:color="auto" w:fill="FFFFFF"/>
          </w:tcPr>
          <w:p w14:paraId="60EE75E5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否</w:t>
            </w:r>
          </w:p>
        </w:tc>
      </w:tr>
      <w:tr w14:paraId="1D6ED78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 w14:paraId="7545B6DE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地基类型</w:t>
            </w:r>
          </w:p>
        </w:tc>
        <w:tc>
          <w:tcPr>
            <w:tcW w:w="5386" w:type="dxa"/>
            <w:shd w:val="clear" w:color="auto" w:fill="FFFFFF"/>
          </w:tcPr>
          <w:p w14:paraId="6D080919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天然地基、常规桩基</w:t>
            </w:r>
          </w:p>
        </w:tc>
      </w:tr>
      <w:tr w14:paraId="4A21B0B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 w14:paraId="30388AA4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上部结构刚度影响</w:t>
            </w:r>
          </w:p>
        </w:tc>
        <w:tc>
          <w:tcPr>
            <w:tcW w:w="5386" w:type="dxa"/>
            <w:shd w:val="clear" w:color="auto" w:fill="FFFFFF"/>
          </w:tcPr>
          <w:p w14:paraId="4B716F89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SATWE刚度</w:t>
            </w:r>
          </w:p>
        </w:tc>
      </w:tr>
      <w:tr w14:paraId="4DF9D09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 w14:paraId="292B41D2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剪力墙考虑高度(m)</w:t>
            </w:r>
          </w:p>
        </w:tc>
        <w:tc>
          <w:tcPr>
            <w:tcW w:w="5386" w:type="dxa"/>
            <w:shd w:val="clear" w:color="auto" w:fill="FFFFFF"/>
          </w:tcPr>
          <w:p w14:paraId="45A9DDE0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10.00</w:t>
            </w:r>
          </w:p>
        </w:tc>
      </w:tr>
      <w:tr w14:paraId="4CB5BB0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 w14:paraId="02E61DBE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自动将防水板外边缘按固端处理</w:t>
            </w:r>
          </w:p>
        </w:tc>
        <w:tc>
          <w:tcPr>
            <w:tcW w:w="5386" w:type="dxa"/>
            <w:shd w:val="clear" w:color="auto" w:fill="FFFFFF"/>
          </w:tcPr>
          <w:p w14:paraId="0F3665C8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否</w:t>
            </w:r>
          </w:p>
        </w:tc>
      </w:tr>
      <w:tr w14:paraId="1723C73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 w14:paraId="533F953C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有限元网格控制边长(m)</w:t>
            </w:r>
          </w:p>
        </w:tc>
        <w:tc>
          <w:tcPr>
            <w:tcW w:w="5386" w:type="dxa"/>
            <w:shd w:val="clear" w:color="auto" w:fill="FFFFFF"/>
          </w:tcPr>
          <w:p w14:paraId="0A285A04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</w:t>
            </w:r>
          </w:p>
        </w:tc>
      </w:tr>
      <w:tr w14:paraId="6482029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 w14:paraId="25E21077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网格划分方法</w:t>
            </w:r>
          </w:p>
        </w:tc>
        <w:tc>
          <w:tcPr>
            <w:tcW w:w="5386" w:type="dxa"/>
            <w:shd w:val="clear" w:color="auto" w:fill="FFFFFF"/>
          </w:tcPr>
          <w:p w14:paraId="35E313F9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铺砌法</w:t>
            </w:r>
          </w:p>
        </w:tc>
      </w:tr>
      <w:tr w14:paraId="14A7A8E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 w14:paraId="2E3D07EC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考虑罚单元</w:t>
            </w:r>
          </w:p>
        </w:tc>
        <w:tc>
          <w:tcPr>
            <w:tcW w:w="5386" w:type="dxa"/>
            <w:shd w:val="clear" w:color="auto" w:fill="FFFFFF"/>
          </w:tcPr>
          <w:p w14:paraId="2FE8407F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否</w:t>
            </w:r>
          </w:p>
        </w:tc>
      </w:tr>
      <w:tr w14:paraId="6625578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 w14:paraId="7822EF05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使用边交换算法</w:t>
            </w:r>
          </w:p>
        </w:tc>
        <w:tc>
          <w:tcPr>
            <w:tcW w:w="5386" w:type="dxa"/>
            <w:shd w:val="clear" w:color="auto" w:fill="FFFFFF"/>
          </w:tcPr>
          <w:p w14:paraId="1D3F4911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否</w:t>
            </w:r>
          </w:p>
        </w:tc>
      </w:tr>
      <w:tr w14:paraId="42162EC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 w14:paraId="4F9CBC42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锚杆杆件弹性模量(kN/mm2)</w:t>
            </w:r>
          </w:p>
        </w:tc>
        <w:tc>
          <w:tcPr>
            <w:tcW w:w="5386" w:type="dxa"/>
            <w:shd w:val="clear" w:color="auto" w:fill="FFFFFF"/>
          </w:tcPr>
          <w:p w14:paraId="1D57E1AE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200.00</w:t>
            </w:r>
          </w:p>
        </w:tc>
      </w:tr>
      <w:tr w14:paraId="652797F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 w14:paraId="1234399B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桩的嵌固系数</w:t>
            </w:r>
          </w:p>
        </w:tc>
        <w:tc>
          <w:tcPr>
            <w:tcW w:w="5386" w:type="dxa"/>
            <w:shd w:val="clear" w:color="auto" w:fill="FFFFFF"/>
          </w:tcPr>
          <w:p w14:paraId="4C478CC0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</w:tr>
      <w:tr w14:paraId="05ECA16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 w14:paraId="37D8C8CA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防水板模型是否考虑桩锚作用</w:t>
            </w:r>
          </w:p>
        </w:tc>
        <w:tc>
          <w:tcPr>
            <w:tcW w:w="5386" w:type="dxa"/>
            <w:shd w:val="clear" w:color="auto" w:fill="FFFFFF"/>
          </w:tcPr>
          <w:p w14:paraId="6459F0A5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否</w:t>
            </w:r>
          </w:p>
        </w:tc>
      </w:tr>
      <w:tr w14:paraId="62AD241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 w14:paraId="5B62979B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基床系数</w:t>
            </w:r>
          </w:p>
        </w:tc>
        <w:tc>
          <w:tcPr>
            <w:tcW w:w="5386" w:type="dxa"/>
            <w:shd w:val="clear" w:color="auto" w:fill="FFFFFF"/>
          </w:tcPr>
          <w:p w14:paraId="30C6794D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基于构件沉降反推</w:t>
            </w:r>
          </w:p>
        </w:tc>
      </w:tr>
      <w:tr w14:paraId="7C53927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 w14:paraId="2DFEE9DC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桩刚度</w:t>
            </w:r>
          </w:p>
        </w:tc>
        <w:tc>
          <w:tcPr>
            <w:tcW w:w="5386" w:type="dxa"/>
            <w:shd w:val="clear" w:color="auto" w:fill="FFFFFF"/>
          </w:tcPr>
          <w:p w14:paraId="4B352563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桩基规范附录C</w:t>
            </w:r>
          </w:p>
        </w:tc>
      </w:tr>
      <w:tr w14:paraId="6DFBCC2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 w14:paraId="7081E2AB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计算考虑板自重</w:t>
            </w:r>
          </w:p>
        </w:tc>
        <w:tc>
          <w:tcPr>
            <w:tcW w:w="5386" w:type="dxa"/>
            <w:shd w:val="clear" w:color="auto" w:fill="FFFFFF"/>
          </w:tcPr>
          <w:p w14:paraId="4B196AD4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是</w:t>
            </w:r>
          </w:p>
        </w:tc>
      </w:tr>
      <w:tr w14:paraId="3448526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 w14:paraId="0DD3C15A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荷载施加考虑柱墙实际尺寸</w:t>
            </w:r>
          </w:p>
        </w:tc>
        <w:tc>
          <w:tcPr>
            <w:tcW w:w="5386" w:type="dxa"/>
            <w:shd w:val="clear" w:color="auto" w:fill="FFFFFF"/>
          </w:tcPr>
          <w:p w14:paraId="5B4DBDE2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是</w:t>
            </w:r>
          </w:p>
        </w:tc>
      </w:tr>
      <w:tr w14:paraId="0D0541A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 w14:paraId="5F5324D7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后浇带施工前加载比例</w:t>
            </w:r>
          </w:p>
        </w:tc>
        <w:tc>
          <w:tcPr>
            <w:tcW w:w="5386" w:type="dxa"/>
            <w:shd w:val="clear" w:color="auto" w:fill="FFFFFF"/>
          </w:tcPr>
          <w:p w14:paraId="4F500E81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0.50</w:t>
            </w:r>
          </w:p>
        </w:tc>
      </w:tr>
      <w:tr w14:paraId="6FB0F81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 w14:paraId="45B86892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后浇带系数只影响恒载</w:t>
            </w:r>
          </w:p>
        </w:tc>
        <w:tc>
          <w:tcPr>
            <w:tcW w:w="5386" w:type="dxa"/>
            <w:shd w:val="clear" w:color="auto" w:fill="FFFFFF"/>
          </w:tcPr>
          <w:p w14:paraId="33CE926D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是</w:t>
            </w:r>
          </w:p>
        </w:tc>
      </w:tr>
      <w:tr w14:paraId="2F278F3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 w14:paraId="1A77C768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线性方程组解法</w:t>
            </w:r>
          </w:p>
        </w:tc>
        <w:tc>
          <w:tcPr>
            <w:tcW w:w="5386" w:type="dxa"/>
            <w:shd w:val="clear" w:color="auto" w:fill="FFFFFF"/>
          </w:tcPr>
          <w:p w14:paraId="44F7725A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Mumps</w:t>
            </w:r>
          </w:p>
        </w:tc>
      </w:tr>
      <w:tr w14:paraId="45D3963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 w14:paraId="5B3DAC18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非线性迭代最大次数</w:t>
            </w:r>
          </w:p>
        </w:tc>
        <w:tc>
          <w:tcPr>
            <w:tcW w:w="5386" w:type="dxa"/>
            <w:shd w:val="clear" w:color="auto" w:fill="FFFFFF"/>
          </w:tcPr>
          <w:p w14:paraId="4736E8D7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10</w:t>
            </w:r>
          </w:p>
        </w:tc>
      </w:tr>
      <w:tr w14:paraId="3B8756A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 w14:paraId="730A58B9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迭代误差控制参数(mm)</w:t>
            </w:r>
          </w:p>
        </w:tc>
        <w:tc>
          <w:tcPr>
            <w:tcW w:w="5386" w:type="dxa"/>
            <w:shd w:val="clear" w:color="auto" w:fill="FFFFFF"/>
          </w:tcPr>
          <w:p w14:paraId="04956332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2</w:t>
            </w:r>
          </w:p>
        </w:tc>
      </w:tr>
      <w:tr w14:paraId="09ABD82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 w14:paraId="06517A6D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非线性荷载加载步数</w:t>
            </w:r>
          </w:p>
        </w:tc>
        <w:tc>
          <w:tcPr>
            <w:tcW w:w="5386" w:type="dxa"/>
            <w:shd w:val="clear" w:color="auto" w:fill="FFFFFF"/>
          </w:tcPr>
          <w:p w14:paraId="07F31111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</w:t>
            </w:r>
          </w:p>
        </w:tc>
      </w:tr>
      <w:tr w14:paraId="4B74B22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 w14:paraId="55F31DB5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板单元内设计弯矩统计依据</w:t>
            </w:r>
          </w:p>
        </w:tc>
        <w:tc>
          <w:tcPr>
            <w:tcW w:w="5386" w:type="dxa"/>
            <w:shd w:val="clear" w:color="auto" w:fill="FFFFFF"/>
          </w:tcPr>
          <w:p w14:paraId="0F1B6183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平均值</w:t>
            </w:r>
          </w:p>
        </w:tc>
      </w:tr>
      <w:tr w14:paraId="65B042C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 w14:paraId="69BE854C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箍筋间距(mm)</w:t>
            </w:r>
          </w:p>
        </w:tc>
        <w:tc>
          <w:tcPr>
            <w:tcW w:w="5386" w:type="dxa"/>
            <w:shd w:val="clear" w:color="auto" w:fill="FFFFFF"/>
          </w:tcPr>
          <w:p w14:paraId="3BE909A4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200</w:t>
            </w:r>
          </w:p>
        </w:tc>
      </w:tr>
      <w:tr w14:paraId="0BCA4EC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 w14:paraId="30EE2883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配筋到柱墙边</w:t>
            </w:r>
          </w:p>
        </w:tc>
        <w:tc>
          <w:tcPr>
            <w:tcW w:w="5386" w:type="dxa"/>
            <w:shd w:val="clear" w:color="auto" w:fill="FFFFFF"/>
          </w:tcPr>
          <w:p w14:paraId="26CFF04F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是</w:t>
            </w:r>
          </w:p>
        </w:tc>
      </w:tr>
      <w:tr w14:paraId="075705D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 w14:paraId="0E99DC61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基础设计采用沉降模型的桩土刚度</w:t>
            </w:r>
          </w:p>
        </w:tc>
        <w:tc>
          <w:tcPr>
            <w:tcW w:w="5386" w:type="dxa"/>
            <w:shd w:val="clear" w:color="auto" w:fill="FFFFFF"/>
          </w:tcPr>
          <w:p w14:paraId="583D84C0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否</w:t>
            </w:r>
          </w:p>
        </w:tc>
      </w:tr>
      <w:tr w14:paraId="7B3215F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 w14:paraId="5DC23C9C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柱底设计弯矩折减系数</w:t>
            </w:r>
          </w:p>
        </w:tc>
        <w:tc>
          <w:tcPr>
            <w:tcW w:w="5386" w:type="dxa"/>
            <w:shd w:val="clear" w:color="auto" w:fill="FFFFFF"/>
          </w:tcPr>
          <w:p w14:paraId="62DC6C79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</w:t>
            </w:r>
          </w:p>
        </w:tc>
      </w:tr>
      <w:tr w14:paraId="396D794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 w14:paraId="677A1476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墙底设计弯矩折减系数</w:t>
            </w:r>
          </w:p>
        </w:tc>
        <w:tc>
          <w:tcPr>
            <w:tcW w:w="5386" w:type="dxa"/>
            <w:shd w:val="clear" w:color="auto" w:fill="FFFFFF"/>
          </w:tcPr>
          <w:p w14:paraId="2508057F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</w:t>
            </w:r>
          </w:p>
        </w:tc>
      </w:tr>
    </w:tbl>
    <w:p w14:paraId="56A40B4B">
      <w:pPr>
        <w:pStyle w:val="16"/>
        <w:jc w:val="left"/>
      </w:pPr>
      <w:bookmarkStart w:id="9" w:name="_Toc9"/>
      <w:r>
        <w:rPr>
          <w:rFonts w:hint="eastAsia" w:ascii="宋体" w:eastAsia="宋体"/>
          <w:b/>
          <w:color w:val="000000"/>
          <w:sz w:val="32"/>
          <w:szCs w:val="32"/>
          <w:shd w:val="clear" w:color="auto" w:fill="FFFFFF"/>
        </w:rPr>
        <w:t>4. 模型概况</w:t>
      </w:r>
      <w:bookmarkEnd w:id="9"/>
    </w:p>
    <w:p w14:paraId="2DB6CE76">
      <w:pPr>
        <w:spacing w:beforeLines="113" w:afterLines="113" w:line="113" w:lineRule="auto"/>
        <w:jc w:val="center"/>
      </w:pPr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表4-2构件数目统计</w:t>
      </w:r>
    </w:p>
    <w:tbl>
      <w:tblPr>
        <w:tblStyle w:val="33"/>
        <w:tblW w:w="9922" w:type="dxa"/>
        <w:jc w:val="center"/>
        <w:tblBorders>
          <w:top w:val="single" w:color="auto" w:sz="4" w:space="0"/>
          <w:left w:val="single" w:color="auto" w:sz="14" w:space="0"/>
          <w:bottom w:val="single" w:color="auto" w:sz="14" w:space="0"/>
          <w:right w:val="single" w:color="auto" w:sz="1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402"/>
        <w:gridCol w:w="6520"/>
      </w:tblGrid>
      <w:tr w14:paraId="61254141"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3402" w:type="dxa"/>
            <w:tcBorders>
              <w:top w:val="single" w:color="auto" w:sz="14" w:space="0"/>
              <w:left w:val="single" w:color="auto" w:sz="1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 w14:paraId="0E3FB8E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构件类型</w:t>
            </w:r>
          </w:p>
        </w:tc>
        <w:tc>
          <w:tcPr>
            <w:tcW w:w="6520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14" w:space="0"/>
            </w:tcBorders>
            <w:shd w:val="clear" w:color="auto" w:fill="FFFFFF"/>
            <w:vAlign w:val="center"/>
          </w:tcPr>
          <w:p w14:paraId="6F98EC7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构件数目</w:t>
            </w:r>
          </w:p>
        </w:tc>
      </w:tr>
      <w:tr w14:paraId="52C2CA38"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402" w:type="dxa"/>
            <w:shd w:val="clear" w:color="auto" w:fill="FFFFFF"/>
            <w:vAlign w:val="center"/>
          </w:tcPr>
          <w:p w14:paraId="099DC71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独基</w:t>
            </w:r>
          </w:p>
        </w:tc>
        <w:tc>
          <w:tcPr>
            <w:tcW w:w="6520" w:type="dxa"/>
            <w:shd w:val="clear" w:color="auto" w:fill="FFFFFF"/>
            <w:vAlign w:val="center"/>
          </w:tcPr>
          <w:p w14:paraId="2CE4C34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50</w:t>
            </w:r>
          </w:p>
        </w:tc>
      </w:tr>
    </w:tbl>
    <w:p w14:paraId="6BE526CA">
      <w:pPr>
        <w:pStyle w:val="16"/>
        <w:jc w:val="left"/>
      </w:pPr>
      <w:bookmarkStart w:id="10" w:name="_Toc10"/>
      <w:r>
        <w:rPr>
          <w:rFonts w:hint="eastAsia" w:ascii="宋体" w:eastAsia="宋体"/>
          <w:b/>
          <w:color w:val="000000"/>
          <w:sz w:val="32"/>
          <w:szCs w:val="32"/>
          <w:shd w:val="clear" w:color="auto" w:fill="FFFFFF"/>
        </w:rPr>
        <w:t>5. 工况和组合</w:t>
      </w:r>
      <w:bookmarkEnd w:id="10"/>
    </w:p>
    <w:p w14:paraId="60AA5741">
      <w:pPr>
        <w:pStyle w:val="3"/>
        <w:jc w:val="left"/>
      </w:pPr>
      <w:bookmarkStart w:id="11" w:name="_Toc11"/>
      <w:r>
        <w:rPr>
          <w:rFonts w:hint="eastAsia" w:ascii="宋体" w:eastAsia="宋体"/>
          <w:b/>
          <w:color w:val="000000"/>
          <w:sz w:val="28"/>
          <w:szCs w:val="28"/>
          <w:shd w:val="clear" w:color="auto" w:fill="FFFFFF"/>
        </w:rPr>
        <w:t>1. 工况信息</w:t>
      </w:r>
      <w:bookmarkEnd w:id="11"/>
    </w:p>
    <w:p w14:paraId="6A9C8282">
      <w:pPr>
        <w:spacing w:beforeLines="113" w:afterLines="113" w:line="113" w:lineRule="auto"/>
        <w:jc w:val="center"/>
      </w:pPr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表5-5工况荷载统计</w:t>
      </w:r>
    </w:p>
    <w:tbl>
      <w:tblPr>
        <w:tblStyle w:val="33"/>
        <w:tblW w:w="10206" w:type="dxa"/>
        <w:jc w:val="center"/>
        <w:tblBorders>
          <w:top w:val="single" w:color="auto" w:sz="4" w:space="0"/>
          <w:left w:val="single" w:color="auto" w:sz="14" w:space="0"/>
          <w:bottom w:val="single" w:color="auto" w:sz="14" w:space="0"/>
          <w:right w:val="single" w:color="auto" w:sz="1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1"/>
        <w:gridCol w:w="2551"/>
        <w:gridCol w:w="2552"/>
        <w:gridCol w:w="2552"/>
      </w:tblGrid>
      <w:tr w14:paraId="1C5D1B61"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2551" w:type="dxa"/>
            <w:tcBorders>
              <w:top w:val="single" w:color="auto" w:sz="14" w:space="0"/>
              <w:left w:val="single" w:color="auto" w:sz="1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 w14:paraId="6DF501F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工况</w:t>
            </w:r>
          </w:p>
        </w:tc>
        <w:tc>
          <w:tcPr>
            <w:tcW w:w="2551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 w14:paraId="38FD232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竖向力(kN)</w:t>
            </w:r>
          </w:p>
        </w:tc>
        <w:tc>
          <w:tcPr>
            <w:tcW w:w="2551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 w14:paraId="030E178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X向水平力(kN)</w:t>
            </w:r>
          </w:p>
        </w:tc>
        <w:tc>
          <w:tcPr>
            <w:tcW w:w="2551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14" w:space="0"/>
            </w:tcBorders>
            <w:shd w:val="clear" w:color="auto" w:fill="FFFFFF"/>
            <w:vAlign w:val="center"/>
          </w:tcPr>
          <w:p w14:paraId="4FB9115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Y向水平力(kN)</w:t>
            </w:r>
          </w:p>
        </w:tc>
      </w:tr>
      <w:tr w14:paraId="2FDE9E06"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51" w:type="dxa"/>
            <w:shd w:val="clear" w:color="auto" w:fill="FFFFFF"/>
            <w:vAlign w:val="center"/>
          </w:tcPr>
          <w:p w14:paraId="068A251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SATWE恒</w:t>
            </w:r>
          </w:p>
        </w:tc>
        <w:tc>
          <w:tcPr>
            <w:tcW w:w="2551" w:type="dxa"/>
            <w:shd w:val="clear" w:color="auto" w:fill="FFFFFF"/>
            <w:vAlign w:val="center"/>
          </w:tcPr>
          <w:p w14:paraId="033D825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85199.55</w:t>
            </w:r>
          </w:p>
        </w:tc>
        <w:tc>
          <w:tcPr>
            <w:tcW w:w="2551" w:type="dxa"/>
            <w:shd w:val="clear" w:color="auto" w:fill="FFFFFF"/>
            <w:vAlign w:val="center"/>
          </w:tcPr>
          <w:p w14:paraId="3E4BBDC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-0.32</w:t>
            </w:r>
          </w:p>
        </w:tc>
        <w:tc>
          <w:tcPr>
            <w:tcW w:w="2551" w:type="dxa"/>
            <w:shd w:val="clear" w:color="auto" w:fill="FFFFFF"/>
            <w:vAlign w:val="center"/>
          </w:tcPr>
          <w:p w14:paraId="6294846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1.79</w:t>
            </w:r>
          </w:p>
        </w:tc>
      </w:tr>
      <w:tr w14:paraId="1CEB8009"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51" w:type="dxa"/>
            <w:shd w:val="clear" w:color="auto" w:fill="FFFFFF"/>
            <w:vAlign w:val="center"/>
          </w:tcPr>
          <w:p w14:paraId="7508F30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SATWE活</w:t>
            </w:r>
          </w:p>
        </w:tc>
        <w:tc>
          <w:tcPr>
            <w:tcW w:w="2551" w:type="dxa"/>
            <w:shd w:val="clear" w:color="auto" w:fill="FFFFFF"/>
            <w:vAlign w:val="center"/>
          </w:tcPr>
          <w:p w14:paraId="402A286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12959.52</w:t>
            </w:r>
          </w:p>
        </w:tc>
        <w:tc>
          <w:tcPr>
            <w:tcW w:w="2551" w:type="dxa"/>
            <w:shd w:val="clear" w:color="auto" w:fill="FFFFFF"/>
            <w:vAlign w:val="center"/>
          </w:tcPr>
          <w:p w14:paraId="40DBE45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-0.12</w:t>
            </w:r>
          </w:p>
        </w:tc>
        <w:tc>
          <w:tcPr>
            <w:tcW w:w="2551" w:type="dxa"/>
            <w:shd w:val="clear" w:color="auto" w:fill="FFFFFF"/>
            <w:vAlign w:val="center"/>
          </w:tcPr>
          <w:p w14:paraId="5C892C5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0.20</w:t>
            </w:r>
          </w:p>
        </w:tc>
      </w:tr>
      <w:tr w14:paraId="1D9D3E62"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51" w:type="dxa"/>
            <w:shd w:val="clear" w:color="auto" w:fill="FFFFFF"/>
            <w:vAlign w:val="center"/>
          </w:tcPr>
          <w:p w14:paraId="42BE2AE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SATWE风x</w:t>
            </w:r>
          </w:p>
        </w:tc>
        <w:tc>
          <w:tcPr>
            <w:tcW w:w="2551" w:type="dxa"/>
            <w:shd w:val="clear" w:color="auto" w:fill="FFFFFF"/>
            <w:vAlign w:val="center"/>
          </w:tcPr>
          <w:p w14:paraId="2EBD8D5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  <w:tc>
          <w:tcPr>
            <w:tcW w:w="2551" w:type="dxa"/>
            <w:shd w:val="clear" w:color="auto" w:fill="FFFFFF"/>
            <w:vAlign w:val="center"/>
          </w:tcPr>
          <w:p w14:paraId="369C68D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442.27</w:t>
            </w:r>
          </w:p>
        </w:tc>
        <w:tc>
          <w:tcPr>
            <w:tcW w:w="2551" w:type="dxa"/>
            <w:shd w:val="clear" w:color="auto" w:fill="FFFFFF"/>
            <w:vAlign w:val="center"/>
          </w:tcPr>
          <w:p w14:paraId="2ED584C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-0.15</w:t>
            </w:r>
          </w:p>
        </w:tc>
      </w:tr>
      <w:tr w14:paraId="1B227809"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51" w:type="dxa"/>
            <w:shd w:val="clear" w:color="auto" w:fill="FFFFFF"/>
            <w:vAlign w:val="center"/>
          </w:tcPr>
          <w:p w14:paraId="54E8194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SATWE风y</w:t>
            </w:r>
          </w:p>
        </w:tc>
        <w:tc>
          <w:tcPr>
            <w:tcW w:w="2551" w:type="dxa"/>
            <w:shd w:val="clear" w:color="auto" w:fill="FFFFFF"/>
            <w:vAlign w:val="center"/>
          </w:tcPr>
          <w:p w14:paraId="0A533E0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  <w:tc>
          <w:tcPr>
            <w:tcW w:w="2551" w:type="dxa"/>
            <w:shd w:val="clear" w:color="auto" w:fill="FFFFFF"/>
            <w:vAlign w:val="center"/>
          </w:tcPr>
          <w:p w14:paraId="2F4D9AF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-0.10</w:t>
            </w:r>
          </w:p>
        </w:tc>
        <w:tc>
          <w:tcPr>
            <w:tcW w:w="2551" w:type="dxa"/>
            <w:shd w:val="clear" w:color="auto" w:fill="FFFFFF"/>
            <w:vAlign w:val="center"/>
          </w:tcPr>
          <w:p w14:paraId="7264EAB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1465.66</w:t>
            </w:r>
          </w:p>
        </w:tc>
      </w:tr>
      <w:tr w14:paraId="10C61223"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51" w:type="dxa"/>
            <w:shd w:val="clear" w:color="auto" w:fill="FFFFFF"/>
            <w:vAlign w:val="center"/>
          </w:tcPr>
          <w:p w14:paraId="4CC9EBD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SATWE地x</w:t>
            </w:r>
          </w:p>
        </w:tc>
        <w:tc>
          <w:tcPr>
            <w:tcW w:w="2551" w:type="dxa"/>
            <w:shd w:val="clear" w:color="auto" w:fill="FFFFFF"/>
            <w:vAlign w:val="center"/>
          </w:tcPr>
          <w:p w14:paraId="2C682C8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-335.90</w:t>
            </w:r>
          </w:p>
        </w:tc>
        <w:tc>
          <w:tcPr>
            <w:tcW w:w="2551" w:type="dxa"/>
            <w:shd w:val="clear" w:color="auto" w:fill="FFFFFF"/>
            <w:vAlign w:val="center"/>
          </w:tcPr>
          <w:p w14:paraId="44FEDED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1345.79</w:t>
            </w:r>
          </w:p>
        </w:tc>
        <w:tc>
          <w:tcPr>
            <w:tcW w:w="2551" w:type="dxa"/>
            <w:shd w:val="clear" w:color="auto" w:fill="FFFFFF"/>
            <w:vAlign w:val="center"/>
          </w:tcPr>
          <w:p w14:paraId="0124F07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-144.25</w:t>
            </w:r>
          </w:p>
        </w:tc>
      </w:tr>
      <w:tr w14:paraId="5C23FC60"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51" w:type="dxa"/>
            <w:shd w:val="clear" w:color="auto" w:fill="FFFFFF"/>
            <w:vAlign w:val="center"/>
          </w:tcPr>
          <w:p w14:paraId="516A78B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SATWE地y</w:t>
            </w:r>
          </w:p>
        </w:tc>
        <w:tc>
          <w:tcPr>
            <w:tcW w:w="2551" w:type="dxa"/>
            <w:shd w:val="clear" w:color="auto" w:fill="FFFFFF"/>
            <w:vAlign w:val="center"/>
          </w:tcPr>
          <w:p w14:paraId="745770D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15.41</w:t>
            </w:r>
          </w:p>
        </w:tc>
        <w:tc>
          <w:tcPr>
            <w:tcW w:w="2551" w:type="dxa"/>
            <w:shd w:val="clear" w:color="auto" w:fill="FFFFFF"/>
            <w:vAlign w:val="center"/>
          </w:tcPr>
          <w:p w14:paraId="33E17C5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130.32</w:t>
            </w:r>
          </w:p>
        </w:tc>
        <w:tc>
          <w:tcPr>
            <w:tcW w:w="2551" w:type="dxa"/>
            <w:shd w:val="clear" w:color="auto" w:fill="FFFFFF"/>
            <w:vAlign w:val="center"/>
          </w:tcPr>
          <w:p w14:paraId="5042492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1431.21</w:t>
            </w:r>
          </w:p>
        </w:tc>
      </w:tr>
      <w:tr w14:paraId="06B315A3"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51" w:type="dxa"/>
            <w:shd w:val="clear" w:color="auto" w:fill="FFFFFF"/>
            <w:vAlign w:val="center"/>
          </w:tcPr>
          <w:p w14:paraId="33BE0C3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SATWE土压力</w:t>
            </w:r>
          </w:p>
        </w:tc>
        <w:tc>
          <w:tcPr>
            <w:tcW w:w="2551" w:type="dxa"/>
            <w:shd w:val="clear" w:color="auto" w:fill="FFFFFF"/>
            <w:vAlign w:val="center"/>
          </w:tcPr>
          <w:p w14:paraId="1D41768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  <w:tc>
          <w:tcPr>
            <w:tcW w:w="2551" w:type="dxa"/>
            <w:shd w:val="clear" w:color="auto" w:fill="FFFFFF"/>
            <w:vAlign w:val="center"/>
          </w:tcPr>
          <w:p w14:paraId="667378D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  <w:tc>
          <w:tcPr>
            <w:tcW w:w="2551" w:type="dxa"/>
            <w:shd w:val="clear" w:color="auto" w:fill="FFFFFF"/>
            <w:vAlign w:val="center"/>
          </w:tcPr>
          <w:p w14:paraId="2F35A09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</w:tr>
      <w:tr w14:paraId="2D576E0D"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51" w:type="dxa"/>
            <w:shd w:val="clear" w:color="auto" w:fill="FFFFFF"/>
            <w:vAlign w:val="center"/>
          </w:tcPr>
          <w:p w14:paraId="1E2969A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抗浮水</w:t>
            </w:r>
          </w:p>
        </w:tc>
        <w:tc>
          <w:tcPr>
            <w:tcW w:w="2551" w:type="dxa"/>
            <w:shd w:val="clear" w:color="auto" w:fill="FFFFFF"/>
            <w:vAlign w:val="center"/>
          </w:tcPr>
          <w:p w14:paraId="0294696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  <w:tc>
          <w:tcPr>
            <w:tcW w:w="2551" w:type="dxa"/>
            <w:shd w:val="clear" w:color="auto" w:fill="FFFFFF"/>
            <w:vAlign w:val="center"/>
          </w:tcPr>
          <w:p w14:paraId="2A7CF65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  <w:tc>
          <w:tcPr>
            <w:tcW w:w="2551" w:type="dxa"/>
            <w:shd w:val="clear" w:color="auto" w:fill="FFFFFF"/>
            <w:vAlign w:val="center"/>
          </w:tcPr>
          <w:p w14:paraId="3E26411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</w:tr>
    </w:tbl>
    <w:p w14:paraId="58F01584">
      <w:pPr>
        <w:pStyle w:val="3"/>
        <w:jc w:val="left"/>
      </w:pPr>
      <w:bookmarkStart w:id="12" w:name="_Toc12"/>
      <w:r>
        <w:rPr>
          <w:rFonts w:hint="eastAsia" w:ascii="宋体" w:eastAsia="宋体"/>
          <w:b/>
          <w:color w:val="000000"/>
          <w:sz w:val="28"/>
          <w:szCs w:val="28"/>
          <w:shd w:val="clear" w:color="auto" w:fill="FFFFFF"/>
        </w:rPr>
        <w:t>2. 构件内力基本组合信息</w:t>
      </w:r>
      <w:bookmarkEnd w:id="12"/>
    </w:p>
    <w:p w14:paraId="5FE235CE">
      <w:pPr>
        <w:spacing w:beforeLines="113" w:afterLines="113" w:line="113" w:lineRule="auto"/>
        <w:jc w:val="center"/>
      </w:pPr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表5-6标准组合</w:t>
      </w:r>
    </w:p>
    <w:tbl>
      <w:tblPr>
        <w:tblStyle w:val="33"/>
        <w:tblW w:w="10206" w:type="dxa"/>
        <w:jc w:val="center"/>
        <w:tblBorders>
          <w:top w:val="single" w:color="auto" w:sz="4" w:space="0"/>
          <w:left w:val="single" w:color="auto" w:sz="14" w:space="0"/>
          <w:bottom w:val="single" w:color="auto" w:sz="14" w:space="0"/>
          <w:right w:val="single" w:color="auto" w:sz="1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1"/>
        <w:gridCol w:w="8505"/>
      </w:tblGrid>
      <w:tr w14:paraId="33F85A3B"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701" w:type="dxa"/>
            <w:tcBorders>
              <w:top w:val="single" w:color="auto" w:sz="14" w:space="0"/>
              <w:left w:val="single" w:color="auto" w:sz="1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 w14:paraId="28ABF2D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编号</w:t>
            </w:r>
          </w:p>
        </w:tc>
        <w:tc>
          <w:tcPr>
            <w:tcW w:w="8505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14" w:space="0"/>
            </w:tcBorders>
            <w:shd w:val="clear" w:color="auto" w:fill="FFFFFF"/>
            <w:vAlign w:val="center"/>
          </w:tcPr>
          <w:p w14:paraId="62A6938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组合</w:t>
            </w:r>
          </w:p>
        </w:tc>
      </w:tr>
      <w:tr w14:paraId="4464F0AC"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 w14:paraId="7F36FC9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1(1)</w:t>
            </w:r>
          </w:p>
        </w:tc>
        <w:tc>
          <w:tcPr>
            <w:tcW w:w="8505" w:type="dxa"/>
            <w:shd w:val="clear" w:color="auto" w:fill="FFFFFF"/>
            <w:vAlign w:val="center"/>
          </w:tcPr>
          <w:p w14:paraId="4F6A34E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1.00*SATWE恒+1.00*SATWE活</w:t>
            </w:r>
          </w:p>
        </w:tc>
      </w:tr>
      <w:tr w14:paraId="5E85645B"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 w14:paraId="0FAEF3F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2(2)</w:t>
            </w:r>
          </w:p>
        </w:tc>
        <w:tc>
          <w:tcPr>
            <w:tcW w:w="8505" w:type="dxa"/>
            <w:shd w:val="clear" w:color="auto" w:fill="FFFFFF"/>
            <w:vAlign w:val="center"/>
          </w:tcPr>
          <w:p w14:paraId="108B876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1.00*SATWE恒+1.00*SATWE风x</w:t>
            </w:r>
          </w:p>
        </w:tc>
      </w:tr>
      <w:tr w14:paraId="15465131"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 w14:paraId="7719D9B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3(3)</w:t>
            </w:r>
          </w:p>
        </w:tc>
        <w:tc>
          <w:tcPr>
            <w:tcW w:w="8505" w:type="dxa"/>
            <w:shd w:val="clear" w:color="auto" w:fill="FFFFFF"/>
            <w:vAlign w:val="center"/>
          </w:tcPr>
          <w:p w14:paraId="4CD9126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1.00*SATWE恒-1.00*SATWE风x</w:t>
            </w:r>
          </w:p>
        </w:tc>
      </w:tr>
      <w:tr w14:paraId="4263B7BF"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 w14:paraId="3BFDD3D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4(4)</w:t>
            </w:r>
          </w:p>
        </w:tc>
        <w:tc>
          <w:tcPr>
            <w:tcW w:w="8505" w:type="dxa"/>
            <w:shd w:val="clear" w:color="auto" w:fill="FFFFFF"/>
            <w:vAlign w:val="center"/>
          </w:tcPr>
          <w:p w14:paraId="39BD538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1.00*SATWE恒+1.00*SATWE风y</w:t>
            </w:r>
          </w:p>
        </w:tc>
      </w:tr>
      <w:tr w14:paraId="36061258"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 w14:paraId="2DB10C2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5(5)</w:t>
            </w:r>
          </w:p>
        </w:tc>
        <w:tc>
          <w:tcPr>
            <w:tcW w:w="8505" w:type="dxa"/>
            <w:shd w:val="clear" w:color="auto" w:fill="FFFFFF"/>
            <w:vAlign w:val="center"/>
          </w:tcPr>
          <w:p w14:paraId="401E9DB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1.00*SATWE恒-1.00*SATWE风y</w:t>
            </w:r>
          </w:p>
        </w:tc>
      </w:tr>
      <w:tr w14:paraId="38D9F2EC"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 w14:paraId="3F08853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6(6)</w:t>
            </w:r>
          </w:p>
        </w:tc>
        <w:tc>
          <w:tcPr>
            <w:tcW w:w="8505" w:type="dxa"/>
            <w:shd w:val="clear" w:color="auto" w:fill="FFFFFF"/>
            <w:vAlign w:val="center"/>
          </w:tcPr>
          <w:p w14:paraId="03D5FF4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1.00*SATWE恒+1.00*SATWE活+0.60*SATWE风x</w:t>
            </w:r>
          </w:p>
        </w:tc>
      </w:tr>
      <w:tr w14:paraId="243BA18A"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 w14:paraId="6AA9E14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7(7)</w:t>
            </w:r>
          </w:p>
        </w:tc>
        <w:tc>
          <w:tcPr>
            <w:tcW w:w="8505" w:type="dxa"/>
            <w:shd w:val="clear" w:color="auto" w:fill="FFFFFF"/>
            <w:vAlign w:val="center"/>
          </w:tcPr>
          <w:p w14:paraId="71BA140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1.00*SATWE恒+1.00*SATWE活-0.60*SATWE风x</w:t>
            </w:r>
          </w:p>
        </w:tc>
      </w:tr>
      <w:tr w14:paraId="1E3715D1"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 w14:paraId="54CDDCC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8(8)</w:t>
            </w:r>
          </w:p>
        </w:tc>
        <w:tc>
          <w:tcPr>
            <w:tcW w:w="8505" w:type="dxa"/>
            <w:shd w:val="clear" w:color="auto" w:fill="FFFFFF"/>
            <w:vAlign w:val="center"/>
          </w:tcPr>
          <w:p w14:paraId="29E335C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1.00*SATWE恒+1.00*SATWE活+0.60*SATWE风y</w:t>
            </w:r>
          </w:p>
        </w:tc>
      </w:tr>
      <w:tr w14:paraId="1756FEFD"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 w14:paraId="4E32A03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9(9)</w:t>
            </w:r>
          </w:p>
        </w:tc>
        <w:tc>
          <w:tcPr>
            <w:tcW w:w="8505" w:type="dxa"/>
            <w:shd w:val="clear" w:color="auto" w:fill="FFFFFF"/>
            <w:vAlign w:val="center"/>
          </w:tcPr>
          <w:p w14:paraId="20B1AB4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1.00*SATWE恒+1.00*SATWE活-0.60*SATWE风y</w:t>
            </w:r>
          </w:p>
        </w:tc>
      </w:tr>
      <w:tr w14:paraId="2A150187"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 w14:paraId="23723DB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10(10)</w:t>
            </w:r>
          </w:p>
        </w:tc>
        <w:tc>
          <w:tcPr>
            <w:tcW w:w="8505" w:type="dxa"/>
            <w:shd w:val="clear" w:color="auto" w:fill="FFFFFF"/>
            <w:vAlign w:val="center"/>
          </w:tcPr>
          <w:p w14:paraId="3F06772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1.00*SATWE恒+0.70*SATWE活+1.00*SATWE风x</w:t>
            </w:r>
          </w:p>
        </w:tc>
      </w:tr>
      <w:tr w14:paraId="5157EAE3"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 w14:paraId="6DD91AA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11(11)</w:t>
            </w:r>
          </w:p>
        </w:tc>
        <w:tc>
          <w:tcPr>
            <w:tcW w:w="8505" w:type="dxa"/>
            <w:shd w:val="clear" w:color="auto" w:fill="FFFFFF"/>
            <w:vAlign w:val="center"/>
          </w:tcPr>
          <w:p w14:paraId="5CF3B2B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1.00*SATWE恒+0.70*SATWE活-1.00*SATWE风x</w:t>
            </w:r>
          </w:p>
        </w:tc>
      </w:tr>
      <w:tr w14:paraId="567C3F2E"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 w14:paraId="7FE5A6E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12(12)</w:t>
            </w:r>
          </w:p>
        </w:tc>
        <w:tc>
          <w:tcPr>
            <w:tcW w:w="8505" w:type="dxa"/>
            <w:shd w:val="clear" w:color="auto" w:fill="FFFFFF"/>
            <w:vAlign w:val="center"/>
          </w:tcPr>
          <w:p w14:paraId="0D27023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1.00*SATWE恒+0.70*SATWE活+1.00*SATWE风y</w:t>
            </w:r>
          </w:p>
        </w:tc>
      </w:tr>
      <w:tr w14:paraId="41E88743"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 w14:paraId="5AED033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13(13)</w:t>
            </w:r>
          </w:p>
        </w:tc>
        <w:tc>
          <w:tcPr>
            <w:tcW w:w="8505" w:type="dxa"/>
            <w:shd w:val="clear" w:color="auto" w:fill="FFFFFF"/>
            <w:vAlign w:val="center"/>
          </w:tcPr>
          <w:p w14:paraId="55A124B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1.00*SATWE恒+0.70*SATWE活-1.00*SATWE风y</w:t>
            </w:r>
          </w:p>
        </w:tc>
      </w:tr>
      <w:tr w14:paraId="1269ADAE"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 w14:paraId="497D804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14(14)</w:t>
            </w:r>
          </w:p>
        </w:tc>
        <w:tc>
          <w:tcPr>
            <w:tcW w:w="8505" w:type="dxa"/>
            <w:shd w:val="clear" w:color="auto" w:fill="FFFFFF"/>
            <w:vAlign w:val="center"/>
          </w:tcPr>
          <w:p w14:paraId="1D8EB3D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1.00*SATWE恒+0.50*SATWE活+1.00*SATWE地x</w:t>
            </w:r>
          </w:p>
        </w:tc>
      </w:tr>
      <w:tr w14:paraId="714C03CD"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 w14:paraId="7BE9541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15(15)</w:t>
            </w:r>
          </w:p>
        </w:tc>
        <w:tc>
          <w:tcPr>
            <w:tcW w:w="8505" w:type="dxa"/>
            <w:shd w:val="clear" w:color="auto" w:fill="FFFFFF"/>
            <w:vAlign w:val="center"/>
          </w:tcPr>
          <w:p w14:paraId="0CE1F16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1.00*SATWE恒+0.50*SATWE活-1.00*SATWE地x</w:t>
            </w:r>
          </w:p>
        </w:tc>
      </w:tr>
      <w:tr w14:paraId="5656612C"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 w14:paraId="2570D09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16(16)</w:t>
            </w:r>
          </w:p>
        </w:tc>
        <w:tc>
          <w:tcPr>
            <w:tcW w:w="8505" w:type="dxa"/>
            <w:shd w:val="clear" w:color="auto" w:fill="FFFFFF"/>
            <w:vAlign w:val="center"/>
          </w:tcPr>
          <w:p w14:paraId="4128489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1.00*SATWE恒+0.50*SATWE活+1.00*SATWE地y</w:t>
            </w:r>
          </w:p>
        </w:tc>
      </w:tr>
      <w:tr w14:paraId="66D95580"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 w14:paraId="40434A3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17(17)</w:t>
            </w:r>
          </w:p>
        </w:tc>
        <w:tc>
          <w:tcPr>
            <w:tcW w:w="8505" w:type="dxa"/>
            <w:shd w:val="clear" w:color="auto" w:fill="FFFFFF"/>
            <w:vAlign w:val="center"/>
          </w:tcPr>
          <w:p w14:paraId="04B45E2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1.00*SATWE恒+0.50*SATWE活-1.00*SATWE地y</w:t>
            </w:r>
          </w:p>
        </w:tc>
      </w:tr>
      <w:tr w14:paraId="7E2358DA"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 w14:paraId="3E88220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18(18)</w:t>
            </w:r>
          </w:p>
        </w:tc>
        <w:tc>
          <w:tcPr>
            <w:tcW w:w="8505" w:type="dxa"/>
            <w:shd w:val="clear" w:color="auto" w:fill="FFFFFF"/>
            <w:vAlign w:val="center"/>
          </w:tcPr>
          <w:p w14:paraId="230F277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1.00*SATWE恒+1.00*SATWE活+1.00*SATWE土压力</w:t>
            </w:r>
          </w:p>
        </w:tc>
      </w:tr>
      <w:tr w14:paraId="2288A41B"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 w14:paraId="037D790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19(19)</w:t>
            </w:r>
          </w:p>
        </w:tc>
        <w:tc>
          <w:tcPr>
            <w:tcW w:w="8505" w:type="dxa"/>
            <w:shd w:val="clear" w:color="auto" w:fill="FFFFFF"/>
            <w:vAlign w:val="center"/>
          </w:tcPr>
          <w:p w14:paraId="71A9F3C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1.00*SATWE恒+1.00*抗浮水</w:t>
            </w:r>
          </w:p>
        </w:tc>
      </w:tr>
      <w:tr w14:paraId="20704E45"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206" w:type="dxa"/>
            <w:gridSpan w:val="2"/>
            <w:shd w:val="clear" w:color="auto" w:fill="FFFFFF"/>
          </w:tcPr>
          <w:p w14:paraId="1063BAE1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*括号内的编号为组合总的编号</w:t>
            </w:r>
          </w:p>
        </w:tc>
      </w:tr>
    </w:tbl>
    <w:p w14:paraId="23C5C13D">
      <w:pPr>
        <w:spacing w:beforeLines="113" w:afterLines="113" w:line="113" w:lineRule="auto"/>
        <w:jc w:val="center"/>
      </w:pPr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表5-7准永久组合</w:t>
      </w:r>
    </w:p>
    <w:tbl>
      <w:tblPr>
        <w:tblStyle w:val="33"/>
        <w:tblW w:w="10206" w:type="dxa"/>
        <w:jc w:val="center"/>
        <w:tblBorders>
          <w:top w:val="single" w:color="auto" w:sz="4" w:space="0"/>
          <w:left w:val="single" w:color="auto" w:sz="14" w:space="0"/>
          <w:bottom w:val="single" w:color="auto" w:sz="14" w:space="0"/>
          <w:right w:val="single" w:color="auto" w:sz="1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1"/>
        <w:gridCol w:w="8505"/>
      </w:tblGrid>
      <w:tr w14:paraId="759E4A2F"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701" w:type="dxa"/>
            <w:tcBorders>
              <w:top w:val="single" w:color="auto" w:sz="14" w:space="0"/>
              <w:left w:val="single" w:color="auto" w:sz="1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 w14:paraId="09187E9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编号</w:t>
            </w:r>
          </w:p>
        </w:tc>
        <w:tc>
          <w:tcPr>
            <w:tcW w:w="8505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14" w:space="0"/>
            </w:tcBorders>
            <w:shd w:val="clear" w:color="auto" w:fill="FFFFFF"/>
            <w:vAlign w:val="center"/>
          </w:tcPr>
          <w:p w14:paraId="0910320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组合</w:t>
            </w:r>
          </w:p>
        </w:tc>
      </w:tr>
      <w:tr w14:paraId="0DE21DDA"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 w14:paraId="6FC6500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1(20)</w:t>
            </w:r>
          </w:p>
        </w:tc>
        <w:tc>
          <w:tcPr>
            <w:tcW w:w="8505" w:type="dxa"/>
            <w:shd w:val="clear" w:color="auto" w:fill="FFFFFF"/>
            <w:vAlign w:val="center"/>
          </w:tcPr>
          <w:p w14:paraId="2C6B700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1.00*SATWE恒+0.50*SATWE活</w:t>
            </w:r>
          </w:p>
        </w:tc>
      </w:tr>
      <w:tr w14:paraId="586837E4"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0206" w:type="dxa"/>
            <w:gridSpan w:val="2"/>
            <w:shd w:val="clear" w:color="auto" w:fill="FFFFFF"/>
          </w:tcPr>
          <w:p w14:paraId="003BDBA3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*括号内的编号为组合总的编号</w:t>
            </w:r>
          </w:p>
        </w:tc>
      </w:tr>
    </w:tbl>
    <w:p w14:paraId="4CB51836">
      <w:pPr>
        <w:spacing w:beforeLines="113" w:afterLines="113" w:line="113" w:lineRule="auto"/>
        <w:jc w:val="center"/>
      </w:pPr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表5-8基本组合</w:t>
      </w:r>
    </w:p>
    <w:tbl>
      <w:tblPr>
        <w:tblStyle w:val="33"/>
        <w:tblW w:w="10206" w:type="dxa"/>
        <w:jc w:val="center"/>
        <w:tblBorders>
          <w:top w:val="single" w:color="auto" w:sz="4" w:space="0"/>
          <w:left w:val="single" w:color="auto" w:sz="14" w:space="0"/>
          <w:bottom w:val="single" w:color="auto" w:sz="14" w:space="0"/>
          <w:right w:val="single" w:color="auto" w:sz="1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1"/>
        <w:gridCol w:w="8505"/>
      </w:tblGrid>
      <w:tr w14:paraId="12FB1B03"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701" w:type="dxa"/>
            <w:tcBorders>
              <w:top w:val="single" w:color="auto" w:sz="14" w:space="0"/>
              <w:left w:val="single" w:color="auto" w:sz="1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 w14:paraId="2D0A15C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编号</w:t>
            </w:r>
          </w:p>
        </w:tc>
        <w:tc>
          <w:tcPr>
            <w:tcW w:w="8505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14" w:space="0"/>
            </w:tcBorders>
            <w:shd w:val="clear" w:color="auto" w:fill="FFFFFF"/>
            <w:vAlign w:val="center"/>
          </w:tcPr>
          <w:p w14:paraId="259B8EE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组合</w:t>
            </w:r>
          </w:p>
        </w:tc>
      </w:tr>
      <w:tr w14:paraId="39C12819"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 w14:paraId="0D5440E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1(21)</w:t>
            </w:r>
          </w:p>
        </w:tc>
        <w:tc>
          <w:tcPr>
            <w:tcW w:w="8505" w:type="dxa"/>
            <w:shd w:val="clear" w:color="auto" w:fill="FFFFFF"/>
            <w:vAlign w:val="center"/>
          </w:tcPr>
          <w:p w14:paraId="2A136A8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1.30*SATWE恒+1.50*SATWE活</w:t>
            </w:r>
          </w:p>
        </w:tc>
      </w:tr>
      <w:tr w14:paraId="247858BC"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 w14:paraId="299F19F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2(22)</w:t>
            </w:r>
          </w:p>
        </w:tc>
        <w:tc>
          <w:tcPr>
            <w:tcW w:w="8505" w:type="dxa"/>
            <w:shd w:val="clear" w:color="auto" w:fill="FFFFFF"/>
            <w:vAlign w:val="center"/>
          </w:tcPr>
          <w:p w14:paraId="5229FAB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1.30*SATWE恒+1.50*SATWE风x</w:t>
            </w:r>
          </w:p>
        </w:tc>
      </w:tr>
      <w:tr w14:paraId="2AC3E571"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 w14:paraId="5C7A51A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3(23)</w:t>
            </w:r>
          </w:p>
        </w:tc>
        <w:tc>
          <w:tcPr>
            <w:tcW w:w="8505" w:type="dxa"/>
            <w:shd w:val="clear" w:color="auto" w:fill="FFFFFF"/>
            <w:vAlign w:val="center"/>
          </w:tcPr>
          <w:p w14:paraId="055692A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1.30*SATWE恒-1.50*SATWE风x</w:t>
            </w:r>
          </w:p>
        </w:tc>
      </w:tr>
      <w:tr w14:paraId="4FE056C3"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 w14:paraId="3B2A8B8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4(24)</w:t>
            </w:r>
          </w:p>
        </w:tc>
        <w:tc>
          <w:tcPr>
            <w:tcW w:w="8505" w:type="dxa"/>
            <w:shd w:val="clear" w:color="auto" w:fill="FFFFFF"/>
            <w:vAlign w:val="center"/>
          </w:tcPr>
          <w:p w14:paraId="7512E95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1.30*SATWE恒+1.50*SATWE风y</w:t>
            </w:r>
          </w:p>
        </w:tc>
      </w:tr>
      <w:tr w14:paraId="7603E6EF"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 w14:paraId="6725B63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5(25)</w:t>
            </w:r>
          </w:p>
        </w:tc>
        <w:tc>
          <w:tcPr>
            <w:tcW w:w="8505" w:type="dxa"/>
            <w:shd w:val="clear" w:color="auto" w:fill="FFFFFF"/>
            <w:vAlign w:val="center"/>
          </w:tcPr>
          <w:p w14:paraId="2C57317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1.30*SATWE恒-1.50*SATWE风y</w:t>
            </w:r>
          </w:p>
        </w:tc>
      </w:tr>
      <w:tr w14:paraId="32E5681D"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 w14:paraId="3E77BAF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6(26)</w:t>
            </w:r>
          </w:p>
        </w:tc>
        <w:tc>
          <w:tcPr>
            <w:tcW w:w="8505" w:type="dxa"/>
            <w:shd w:val="clear" w:color="auto" w:fill="FFFFFF"/>
            <w:vAlign w:val="center"/>
          </w:tcPr>
          <w:p w14:paraId="14BA948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1.30*SATWE恒+1.50*SATWE活+0.90*SATWE风x</w:t>
            </w:r>
          </w:p>
        </w:tc>
      </w:tr>
      <w:tr w14:paraId="07E4A827"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 w14:paraId="44EB324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7(27)</w:t>
            </w:r>
          </w:p>
        </w:tc>
        <w:tc>
          <w:tcPr>
            <w:tcW w:w="8505" w:type="dxa"/>
            <w:shd w:val="clear" w:color="auto" w:fill="FFFFFF"/>
            <w:vAlign w:val="center"/>
          </w:tcPr>
          <w:p w14:paraId="321B26E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1.30*SATWE恒+1.50*SATWE活-0.90*SATWE风x</w:t>
            </w:r>
          </w:p>
        </w:tc>
      </w:tr>
      <w:tr w14:paraId="59E9055B"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 w14:paraId="64C903C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8(28)</w:t>
            </w:r>
          </w:p>
        </w:tc>
        <w:tc>
          <w:tcPr>
            <w:tcW w:w="8505" w:type="dxa"/>
            <w:shd w:val="clear" w:color="auto" w:fill="FFFFFF"/>
            <w:vAlign w:val="center"/>
          </w:tcPr>
          <w:p w14:paraId="178DD4A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1.30*SATWE恒+1.50*SATWE活+0.90*SATWE风y</w:t>
            </w:r>
          </w:p>
        </w:tc>
      </w:tr>
      <w:tr w14:paraId="205C977A"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 w14:paraId="5F113BC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9(29)</w:t>
            </w:r>
          </w:p>
        </w:tc>
        <w:tc>
          <w:tcPr>
            <w:tcW w:w="8505" w:type="dxa"/>
            <w:shd w:val="clear" w:color="auto" w:fill="FFFFFF"/>
            <w:vAlign w:val="center"/>
          </w:tcPr>
          <w:p w14:paraId="36AA957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1.30*SATWE恒+1.50*SATWE活-0.90*SATWE风y</w:t>
            </w:r>
          </w:p>
        </w:tc>
      </w:tr>
      <w:tr w14:paraId="26D8140B"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 w14:paraId="7FC336D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10(30)</w:t>
            </w:r>
          </w:p>
        </w:tc>
        <w:tc>
          <w:tcPr>
            <w:tcW w:w="8505" w:type="dxa"/>
            <w:shd w:val="clear" w:color="auto" w:fill="FFFFFF"/>
            <w:vAlign w:val="center"/>
          </w:tcPr>
          <w:p w14:paraId="6C89F22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1.30*SATWE恒+1.05*SATWE活+1.50*SATWE风x</w:t>
            </w:r>
          </w:p>
        </w:tc>
      </w:tr>
      <w:tr w14:paraId="2FFB9C65"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 w14:paraId="3EBAA03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11(31)</w:t>
            </w:r>
          </w:p>
        </w:tc>
        <w:tc>
          <w:tcPr>
            <w:tcW w:w="8505" w:type="dxa"/>
            <w:shd w:val="clear" w:color="auto" w:fill="FFFFFF"/>
            <w:vAlign w:val="center"/>
          </w:tcPr>
          <w:p w14:paraId="6D9D5D0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1.30*SATWE恒+1.05*SATWE活-1.50*SATWE风x</w:t>
            </w:r>
          </w:p>
        </w:tc>
      </w:tr>
      <w:tr w14:paraId="025FACF9"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 w14:paraId="616B9A1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12(32)</w:t>
            </w:r>
          </w:p>
        </w:tc>
        <w:tc>
          <w:tcPr>
            <w:tcW w:w="8505" w:type="dxa"/>
            <w:shd w:val="clear" w:color="auto" w:fill="FFFFFF"/>
            <w:vAlign w:val="center"/>
          </w:tcPr>
          <w:p w14:paraId="2F4ABB1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1.30*SATWE恒+1.05*SATWE活+1.50*SATWE风y</w:t>
            </w:r>
          </w:p>
        </w:tc>
      </w:tr>
      <w:tr w14:paraId="1D44EE3F"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 w14:paraId="251143E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13(33)</w:t>
            </w:r>
          </w:p>
        </w:tc>
        <w:tc>
          <w:tcPr>
            <w:tcW w:w="8505" w:type="dxa"/>
            <w:shd w:val="clear" w:color="auto" w:fill="FFFFFF"/>
            <w:vAlign w:val="center"/>
          </w:tcPr>
          <w:p w14:paraId="47B3E3A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1.30*SATWE恒+1.05*SATWE活-1.50*SATWE风y</w:t>
            </w:r>
          </w:p>
        </w:tc>
      </w:tr>
      <w:tr w14:paraId="43DFF5FD"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 w14:paraId="3C55335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14(34)</w:t>
            </w:r>
          </w:p>
        </w:tc>
        <w:tc>
          <w:tcPr>
            <w:tcW w:w="8505" w:type="dxa"/>
            <w:shd w:val="clear" w:color="auto" w:fill="FFFFFF"/>
            <w:vAlign w:val="center"/>
          </w:tcPr>
          <w:p w14:paraId="75A8BEB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1.30*SATWE恒+0.65*SATWE活+1.40*SATWE地x</w:t>
            </w:r>
          </w:p>
        </w:tc>
      </w:tr>
      <w:tr w14:paraId="2E2CE3AF"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 w14:paraId="2E449B1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15(35)</w:t>
            </w:r>
          </w:p>
        </w:tc>
        <w:tc>
          <w:tcPr>
            <w:tcW w:w="8505" w:type="dxa"/>
            <w:shd w:val="clear" w:color="auto" w:fill="FFFFFF"/>
            <w:vAlign w:val="center"/>
          </w:tcPr>
          <w:p w14:paraId="26928E8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1.30*SATWE恒+0.65*SATWE活-1.40*SATWE地x</w:t>
            </w:r>
          </w:p>
        </w:tc>
      </w:tr>
      <w:tr w14:paraId="020CEB00"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 w14:paraId="5925CF3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16(36)</w:t>
            </w:r>
          </w:p>
        </w:tc>
        <w:tc>
          <w:tcPr>
            <w:tcW w:w="8505" w:type="dxa"/>
            <w:shd w:val="clear" w:color="auto" w:fill="FFFFFF"/>
            <w:vAlign w:val="center"/>
          </w:tcPr>
          <w:p w14:paraId="0894A0B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1.30*SATWE恒+0.65*SATWE活+1.40*SATWE地y</w:t>
            </w:r>
          </w:p>
        </w:tc>
      </w:tr>
      <w:tr w14:paraId="01C34051"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 w14:paraId="2ACD53E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17(37)</w:t>
            </w:r>
          </w:p>
        </w:tc>
        <w:tc>
          <w:tcPr>
            <w:tcW w:w="8505" w:type="dxa"/>
            <w:shd w:val="clear" w:color="auto" w:fill="FFFFFF"/>
            <w:vAlign w:val="center"/>
          </w:tcPr>
          <w:p w14:paraId="2FC90DA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1.30*SATWE恒+0.65*SATWE活-1.40*SATWE地y</w:t>
            </w:r>
          </w:p>
        </w:tc>
      </w:tr>
      <w:tr w14:paraId="0E70566F"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 w14:paraId="76CA331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18(38)</w:t>
            </w:r>
          </w:p>
        </w:tc>
        <w:tc>
          <w:tcPr>
            <w:tcW w:w="8505" w:type="dxa"/>
            <w:shd w:val="clear" w:color="auto" w:fill="FFFFFF"/>
            <w:vAlign w:val="center"/>
          </w:tcPr>
          <w:p w14:paraId="273EF89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1.30*SATWE恒+1.50*SATWE活+1.30*SATWE土压力</w:t>
            </w:r>
          </w:p>
        </w:tc>
      </w:tr>
      <w:tr w14:paraId="1F0D509C"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 w14:paraId="2652CB1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19(39)</w:t>
            </w:r>
          </w:p>
        </w:tc>
        <w:tc>
          <w:tcPr>
            <w:tcW w:w="8505" w:type="dxa"/>
            <w:shd w:val="clear" w:color="auto" w:fill="FFFFFF"/>
            <w:vAlign w:val="center"/>
          </w:tcPr>
          <w:p w14:paraId="72A8F7A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1.00*SATWE恒+1.35*抗浮水</w:t>
            </w:r>
          </w:p>
        </w:tc>
      </w:tr>
      <w:tr w14:paraId="134A7C1C"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206" w:type="dxa"/>
            <w:gridSpan w:val="2"/>
            <w:shd w:val="clear" w:color="auto" w:fill="FFFFFF"/>
          </w:tcPr>
          <w:p w14:paraId="15111993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*括号内的编号为组合总的编号</w:t>
            </w:r>
          </w:p>
        </w:tc>
      </w:tr>
    </w:tbl>
    <w:p w14:paraId="6C570455">
      <w:pPr>
        <w:pStyle w:val="16"/>
        <w:jc w:val="left"/>
      </w:pPr>
      <w:bookmarkStart w:id="13" w:name="_Toc13"/>
      <w:r>
        <w:rPr>
          <w:rFonts w:hint="eastAsia" w:ascii="宋体" w:eastAsia="宋体"/>
          <w:b/>
          <w:color w:val="000000"/>
          <w:sz w:val="32"/>
          <w:szCs w:val="32"/>
          <w:shd w:val="clear" w:color="auto" w:fill="FFFFFF"/>
        </w:rPr>
        <w:t>6. 材料</w:t>
      </w:r>
      <w:bookmarkEnd w:id="13"/>
    </w:p>
    <w:p w14:paraId="0E098D02">
      <w:pPr>
        <w:spacing w:beforeLines="113" w:afterLines="113" w:line="113" w:lineRule="auto"/>
        <w:jc w:val="center"/>
      </w:pPr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表6-2构件材料信息</w:t>
      </w:r>
    </w:p>
    <w:tbl>
      <w:tblPr>
        <w:tblStyle w:val="33"/>
        <w:tblW w:w="11056" w:type="dxa"/>
        <w:jc w:val="center"/>
        <w:tblBorders>
          <w:top w:val="single" w:color="auto" w:sz="4" w:space="0"/>
          <w:left w:val="single" w:color="auto" w:sz="14" w:space="0"/>
          <w:bottom w:val="single" w:color="auto" w:sz="14" w:space="0"/>
          <w:right w:val="single" w:color="auto" w:sz="1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7"/>
        <w:gridCol w:w="1417"/>
        <w:gridCol w:w="1417"/>
        <w:gridCol w:w="1417"/>
        <w:gridCol w:w="1417"/>
        <w:gridCol w:w="1417"/>
        <w:gridCol w:w="850"/>
        <w:gridCol w:w="850"/>
        <w:gridCol w:w="854"/>
      </w:tblGrid>
      <w:tr w14:paraId="1DB4CD26"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417" w:type="dxa"/>
            <w:tcBorders>
              <w:top w:val="single" w:color="auto" w:sz="14" w:space="0"/>
              <w:left w:val="single" w:color="auto" w:sz="1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 w14:paraId="521A75F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构件类型</w:t>
            </w:r>
          </w:p>
        </w:tc>
        <w:tc>
          <w:tcPr>
            <w:tcW w:w="1417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 w14:paraId="5EFC20C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混凝土级别</w:t>
            </w:r>
          </w:p>
        </w:tc>
        <w:tc>
          <w:tcPr>
            <w:tcW w:w="1417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 w14:paraId="75D5C44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钢筋级别</w:t>
            </w:r>
          </w:p>
        </w:tc>
        <w:tc>
          <w:tcPr>
            <w:tcW w:w="1417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 w14:paraId="4ED2DE2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箍筋级别</w:t>
            </w:r>
          </w:p>
        </w:tc>
        <w:tc>
          <w:tcPr>
            <w:tcW w:w="1417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 w14:paraId="675903F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顶层保护层厚度(mm)</w:t>
            </w:r>
          </w:p>
        </w:tc>
        <w:tc>
          <w:tcPr>
            <w:tcW w:w="1417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 w14:paraId="5CFA6E8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底层保护层厚度(mm)</w:t>
            </w:r>
          </w:p>
        </w:tc>
        <w:tc>
          <w:tcPr>
            <w:tcW w:w="2551" w:type="dxa"/>
            <w:gridSpan w:val="3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14" w:space="0"/>
            </w:tcBorders>
            <w:shd w:val="clear" w:color="auto" w:fill="FFFFFF"/>
            <w:vAlign w:val="center"/>
          </w:tcPr>
          <w:p w14:paraId="46099D1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最小配筋率(%)</w:t>
            </w:r>
          </w:p>
        </w:tc>
      </w:tr>
      <w:tr w14:paraId="5617FFC3"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7" w:type="dxa"/>
            <w:shd w:val="clear" w:color="auto" w:fill="FFFFFF"/>
            <w:vAlign w:val="center"/>
          </w:tcPr>
          <w:p w14:paraId="7B6014A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独基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2BAA902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C30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60F6BB1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HRB400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5669A8D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--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7F36C6C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--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0E5F2CA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 xml:space="preserve"> 40</w:t>
            </w:r>
          </w:p>
        </w:tc>
        <w:tc>
          <w:tcPr>
            <w:tcW w:w="2551" w:type="dxa"/>
            <w:gridSpan w:val="3"/>
            <w:shd w:val="clear" w:color="auto" w:fill="FFFFFF"/>
            <w:vAlign w:val="center"/>
          </w:tcPr>
          <w:p w14:paraId="58D45E0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0.15</w:t>
            </w:r>
          </w:p>
        </w:tc>
      </w:tr>
      <w:tr w14:paraId="3CFD9E48"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7" w:type="dxa"/>
            <w:shd w:val="clear" w:color="auto" w:fill="FFFFFF"/>
            <w:vAlign w:val="center"/>
          </w:tcPr>
          <w:p w14:paraId="366257D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承台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6E2295D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C30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6A6AAB5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HRB400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56E5132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HRB400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62D5B52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--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6E55C8F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 xml:space="preserve"> 40</w:t>
            </w:r>
          </w:p>
        </w:tc>
        <w:tc>
          <w:tcPr>
            <w:tcW w:w="2551" w:type="dxa"/>
            <w:gridSpan w:val="3"/>
            <w:shd w:val="clear" w:color="auto" w:fill="FFFFFF"/>
            <w:vAlign w:val="center"/>
          </w:tcPr>
          <w:p w14:paraId="5207B11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0.15</w:t>
            </w:r>
          </w:p>
        </w:tc>
      </w:tr>
      <w:tr w14:paraId="35DAAB93"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7" w:type="dxa"/>
            <w:shd w:val="clear" w:color="auto" w:fill="FFFFFF"/>
            <w:vAlign w:val="center"/>
          </w:tcPr>
          <w:p w14:paraId="3C8AAA3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承台桩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02DCF01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C30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0107133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HRB400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382101D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--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20357C0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--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7C2FCAA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 xml:space="preserve"> 40</w:t>
            </w:r>
          </w:p>
        </w:tc>
        <w:tc>
          <w:tcPr>
            <w:tcW w:w="2551" w:type="dxa"/>
            <w:gridSpan w:val="3"/>
            <w:shd w:val="clear" w:color="auto" w:fill="FFFFFF"/>
            <w:vAlign w:val="center"/>
          </w:tcPr>
          <w:p w14:paraId="6A0C4F2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--</w:t>
            </w:r>
          </w:p>
        </w:tc>
      </w:tr>
      <w:tr w14:paraId="47EC2D66"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7" w:type="dxa"/>
            <w:shd w:val="clear" w:color="auto" w:fill="FFFFFF"/>
            <w:vAlign w:val="center"/>
          </w:tcPr>
          <w:p w14:paraId="603B78D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地基梁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7B271D7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C30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786312C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HRB400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45BF845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HRB400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599525B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 xml:space="preserve"> 20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79A0EA4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 xml:space="preserve"> 40</w:t>
            </w:r>
          </w:p>
        </w:tc>
        <w:tc>
          <w:tcPr>
            <w:tcW w:w="850" w:type="dxa"/>
            <w:shd w:val="clear" w:color="auto" w:fill="FFFFFF"/>
            <w:vAlign w:val="center"/>
          </w:tcPr>
          <w:p w14:paraId="14B7FD8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  <w:tc>
          <w:tcPr>
            <w:tcW w:w="850" w:type="dxa"/>
            <w:shd w:val="clear" w:color="auto" w:fill="FFFFFF"/>
            <w:vAlign w:val="center"/>
          </w:tcPr>
          <w:p w14:paraId="0CC88F6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  <w:tc>
          <w:tcPr>
            <w:tcW w:w="850" w:type="dxa"/>
            <w:shd w:val="clear" w:color="auto" w:fill="FFFFFF"/>
            <w:vAlign w:val="center"/>
          </w:tcPr>
          <w:p w14:paraId="78420EF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</w:tr>
      <w:tr w14:paraId="1CF8B762"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7" w:type="dxa"/>
            <w:shd w:val="clear" w:color="auto" w:fill="FFFFFF"/>
            <w:vAlign w:val="center"/>
          </w:tcPr>
          <w:p w14:paraId="2A443D1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筏板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4B57B08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C30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5EB46E5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HRB400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725E3A4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--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1780E3A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 xml:space="preserve"> 20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142FE85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 xml:space="preserve"> 40</w:t>
            </w:r>
          </w:p>
        </w:tc>
        <w:tc>
          <w:tcPr>
            <w:tcW w:w="850" w:type="dxa"/>
            <w:shd w:val="clear" w:color="auto" w:fill="FFFFFF"/>
            <w:vAlign w:val="center"/>
          </w:tcPr>
          <w:p w14:paraId="76B8871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0.15</w:t>
            </w:r>
          </w:p>
        </w:tc>
        <w:tc>
          <w:tcPr>
            <w:tcW w:w="1701" w:type="dxa"/>
            <w:gridSpan w:val="2"/>
            <w:shd w:val="clear" w:color="auto" w:fill="FFFFFF"/>
            <w:vAlign w:val="center"/>
          </w:tcPr>
          <w:p w14:paraId="0722A0A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0.15</w:t>
            </w:r>
          </w:p>
        </w:tc>
      </w:tr>
      <w:tr w14:paraId="01CA40DD"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7" w:type="dxa"/>
            <w:shd w:val="clear" w:color="auto" w:fill="FFFFFF"/>
            <w:vAlign w:val="center"/>
          </w:tcPr>
          <w:p w14:paraId="086DBED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桩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3CD46B6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C30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44CCCAA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HRB400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7812FB7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--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1ADE853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--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1B26DC0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 xml:space="preserve"> 40</w:t>
            </w:r>
          </w:p>
        </w:tc>
        <w:tc>
          <w:tcPr>
            <w:tcW w:w="2551" w:type="dxa"/>
            <w:gridSpan w:val="3"/>
            <w:shd w:val="clear" w:color="auto" w:fill="FFFFFF"/>
            <w:vAlign w:val="center"/>
          </w:tcPr>
          <w:p w14:paraId="35F64FE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--</w:t>
            </w:r>
          </w:p>
        </w:tc>
      </w:tr>
      <w:tr w14:paraId="047A244C"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7" w:type="dxa"/>
            <w:shd w:val="clear" w:color="auto" w:fill="FFFFFF"/>
            <w:vAlign w:val="center"/>
          </w:tcPr>
          <w:p w14:paraId="12F741D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拉梁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3B1C910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C30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364082D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HRB400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084EE09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HRB400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6C6FF97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--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48C7022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 xml:space="preserve"> 40</w:t>
            </w:r>
          </w:p>
        </w:tc>
        <w:tc>
          <w:tcPr>
            <w:tcW w:w="2551" w:type="dxa"/>
            <w:gridSpan w:val="3"/>
            <w:shd w:val="clear" w:color="auto" w:fill="FFFFFF"/>
            <w:vAlign w:val="center"/>
          </w:tcPr>
          <w:p w14:paraId="533164F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</w:tr>
      <w:tr w14:paraId="1FFBB6C1"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7" w:type="dxa"/>
            <w:shd w:val="clear" w:color="auto" w:fill="FFFFFF"/>
            <w:vAlign w:val="center"/>
          </w:tcPr>
          <w:p w14:paraId="24CAF04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条基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512FCA6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C30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24C34D5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HRB400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21D41AE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HRB400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6CC3905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--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14BDA3E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 xml:space="preserve"> 40</w:t>
            </w:r>
          </w:p>
        </w:tc>
        <w:tc>
          <w:tcPr>
            <w:tcW w:w="2551" w:type="dxa"/>
            <w:gridSpan w:val="3"/>
            <w:shd w:val="clear" w:color="auto" w:fill="FFFFFF"/>
            <w:vAlign w:val="center"/>
          </w:tcPr>
          <w:p w14:paraId="5DD5C28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0.15</w:t>
            </w:r>
          </w:p>
        </w:tc>
      </w:tr>
      <w:tr w14:paraId="7ED96DC2"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7" w:type="dxa"/>
            <w:shd w:val="clear" w:color="auto" w:fill="FFFFFF"/>
            <w:vAlign w:val="center"/>
          </w:tcPr>
          <w:p w14:paraId="773F3DC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独基短柱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357937C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C30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576A2C5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HRB400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005F037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HPB300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22B6EE3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--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06AEAA6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 xml:space="preserve"> 40</w:t>
            </w:r>
          </w:p>
        </w:tc>
        <w:tc>
          <w:tcPr>
            <w:tcW w:w="2551" w:type="dxa"/>
            <w:gridSpan w:val="3"/>
            <w:shd w:val="clear" w:color="auto" w:fill="FFFFFF"/>
            <w:vAlign w:val="center"/>
          </w:tcPr>
          <w:p w14:paraId="2584F87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</w:tr>
      <w:tr w14:paraId="6E4F6659"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056" w:type="dxa"/>
            <w:gridSpan w:val="9"/>
            <w:shd w:val="clear" w:color="auto" w:fill="FFFFFF"/>
          </w:tcPr>
          <w:p w14:paraId="0122C2B7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 xml:space="preserve">    注：1.地基梁最小配筋率三项分别为：梁肋、翼缘受力筋最小配筋率。2.筏板最小配筋率两项分别为：常规筏板、防水板的最小配筋率。3.最小配筋率填 0 时，表示该构件的最小配筋率按规范构造要求执行。</w:t>
            </w:r>
          </w:p>
        </w:tc>
      </w:tr>
    </w:tbl>
    <w:p w14:paraId="32674F29">
      <w:bookmarkStart w:id="14" w:name="_GoBack"/>
      <w:bookmarkEnd w:id="14"/>
    </w:p>
    <w:sectPr>
      <w:headerReference r:id="rId5" w:type="default"/>
      <w:footerReference r:id="rId6" w:type="default"/>
      <w:pgSz w:w="23814" w:h="16839" w:orient="landscape"/>
      <w:pgMar w:top="1814" w:right="1417" w:bottom="1814" w:left="1417" w:header="120" w:footer="200" w:gutter="0"/>
      <w:cols w:space="1134" w:num="2"/>
      <w:titlePg/>
      <w:docGrid w:type="lines" w:linePitch="113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978683747"/>
      <w:docPartObj>
        <w:docPartGallery w:val="AutoText"/>
      </w:docPartObj>
    </w:sdtPr>
    <w:sdtContent>
      <w:p w14:paraId="3BB9DA5D">
        <w:pPr>
          <w:pStyle w:val="10"/>
          <w:jc w:val="center"/>
        </w:pPr>
        <w:r>
          <w:t xml:space="preserve">- </w:t>
        </w: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fldChar w:fldCharType="end"/>
        </w:r>
        <w:r>
          <w:t xml:space="preserve"> -</w:t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47466323"/>
      <w:docPartObj>
        <w:docPartGallery w:val="AutoText"/>
      </w:docPartObj>
    </w:sdtPr>
    <w:sdtContent>
      <w:p w14:paraId="4570194F">
        <w:pPr>
          <w:pStyle w:val="10"/>
          <w:jc w:val="center"/>
        </w:pPr>
        <w:r>
          <w:t xml:space="preserve">- </w:t>
        </w: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fldChar w:fldCharType="end"/>
        </w:r>
        <w:r>
          <w:t xml:space="preserve"> -</w:t>
        </w:r>
      </w:p>
    </w:sdtContent>
  </w:sdt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C85DC3C">
    <w:pPr>
      <w:pStyle w:val="11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C85DC3C">
    <w:pPr>
      <w:pStyle w:val="11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258A3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semiHidden="0" w:name="heading 5"/>
    <w:lsdException w:qFormat="1" w:uiPriority="9" w:semiHidden="0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qFormat="1" w:uiPriority="39" w:semiHidden="0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46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48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link w:val="49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link w:val="50"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paragraph" w:styleId="6">
    <w:name w:val="heading 5"/>
    <w:basedOn w:val="1"/>
    <w:next w:val="1"/>
    <w:link w:val="51"/>
    <w:unhideWhenUsed/>
    <w:qFormat/>
    <w:uiPriority w:val="9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7">
    <w:name w:val="heading 6"/>
    <w:basedOn w:val="1"/>
    <w:next w:val="1"/>
    <w:link w:val="52"/>
    <w:unhideWhenUsed/>
    <w:qFormat/>
    <w:uiPriority w:val="9"/>
    <w:pPr>
      <w:keepNext/>
      <w:keepLines/>
      <w:spacing w:before="240" w:after="64" w:line="320" w:lineRule="auto"/>
      <w:outlineLvl w:val="5"/>
    </w:pPr>
    <w:rPr>
      <w:rFonts w:asciiTheme="majorHAnsi" w:hAnsiTheme="majorHAnsi" w:eastAsiaTheme="majorEastAsia" w:cstheme="majorBidi"/>
      <w:b/>
      <w:bCs/>
      <w:sz w:val="24"/>
      <w:szCs w:val="24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toc 3"/>
    <w:basedOn w:val="1"/>
    <w:next w:val="1"/>
    <w:autoRedefine/>
    <w:unhideWhenUsed/>
    <w:qFormat/>
    <w:uiPriority w:val="39"/>
    <w:pPr>
      <w:ind w:left="840" w:leftChars="400"/>
    </w:pPr>
  </w:style>
  <w:style w:type="paragraph" w:styleId="9">
    <w:name w:val="Balloon Text"/>
    <w:basedOn w:val="1"/>
    <w:link w:val="44"/>
    <w:semiHidden/>
    <w:unhideWhenUsed/>
    <w:qFormat/>
    <w:uiPriority w:val="99"/>
    <w:rPr>
      <w:sz w:val="18"/>
      <w:szCs w:val="18"/>
    </w:rPr>
  </w:style>
  <w:style w:type="paragraph" w:styleId="10">
    <w:name w:val="footer"/>
    <w:basedOn w:val="1"/>
    <w:link w:val="4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1">
    <w:name w:val="header"/>
    <w:basedOn w:val="1"/>
    <w:link w:val="2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2">
    <w:name w:val="toc 1"/>
    <w:basedOn w:val="1"/>
    <w:next w:val="1"/>
    <w:autoRedefine/>
    <w:unhideWhenUsed/>
    <w:qFormat/>
    <w:uiPriority w:val="39"/>
  </w:style>
  <w:style w:type="paragraph" w:styleId="13">
    <w:name w:val="toc 4"/>
    <w:basedOn w:val="1"/>
    <w:next w:val="1"/>
    <w:autoRedefine/>
    <w:unhideWhenUsed/>
    <w:qFormat/>
    <w:uiPriority w:val="39"/>
    <w:pPr>
      <w:ind w:left="1260" w:leftChars="600"/>
    </w:pPr>
  </w:style>
  <w:style w:type="paragraph" w:styleId="14">
    <w:name w:val="Subtitle"/>
    <w:basedOn w:val="1"/>
    <w:next w:val="1"/>
    <w:link w:val="47"/>
    <w:qFormat/>
    <w:uiPriority w:val="11"/>
    <w:pPr>
      <w:spacing w:before="240" w:after="60" w:line="312" w:lineRule="auto"/>
      <w:jc w:val="center"/>
      <w:outlineLvl w:val="1"/>
    </w:pPr>
    <w:rPr>
      <w:rFonts w:eastAsia="宋体" w:asciiTheme="majorHAnsi" w:hAnsiTheme="majorHAnsi" w:cstheme="majorBidi"/>
      <w:b/>
      <w:bCs/>
      <w:kern w:val="28"/>
      <w:sz w:val="32"/>
      <w:szCs w:val="32"/>
    </w:rPr>
  </w:style>
  <w:style w:type="paragraph" w:styleId="15">
    <w:name w:val="toc 2"/>
    <w:basedOn w:val="1"/>
    <w:next w:val="1"/>
    <w:autoRedefine/>
    <w:unhideWhenUsed/>
    <w:qFormat/>
    <w:uiPriority w:val="39"/>
    <w:pPr>
      <w:ind w:left="420" w:leftChars="200"/>
    </w:pPr>
  </w:style>
  <w:style w:type="paragraph" w:styleId="16">
    <w:name w:val="Title"/>
    <w:basedOn w:val="1"/>
    <w:next w:val="1"/>
    <w:link w:val="45"/>
    <w:qFormat/>
    <w:uiPriority w:val="10"/>
    <w:pPr>
      <w:spacing w:before="240" w:after="60"/>
      <w:jc w:val="center"/>
      <w:outlineLvl w:val="0"/>
    </w:pPr>
    <w:rPr>
      <w:rFonts w:eastAsia="宋体" w:asciiTheme="majorHAnsi" w:hAnsiTheme="majorHAnsi" w:cstheme="majorBidi"/>
      <w:b/>
      <w:bCs/>
      <w:sz w:val="32"/>
      <w:szCs w:val="32"/>
    </w:rPr>
  </w:style>
  <w:style w:type="table" w:styleId="18">
    <w:name w:val="Table Grid"/>
    <w:basedOn w:val="17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页眉 Char"/>
    <w:basedOn w:val="19"/>
    <w:link w:val="11"/>
    <w:qFormat/>
    <w:uiPriority w:val="99"/>
    <w:rPr>
      <w:sz w:val="18"/>
      <w:szCs w:val="18"/>
    </w:rPr>
  </w:style>
  <w:style w:type="table" w:customStyle="1" w:styleId="21">
    <w:name w:val="三线式表格(三条线都为细线)"/>
    <w:basedOn w:val="17"/>
    <w:qFormat/>
    <w:uiPriority w:val="99"/>
    <w:tblPr>
      <w:tblBorders>
        <w:bottom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4" w:space="0"/>
          <w:left w:val="nil"/>
          <w:bottom w:val="single" w:color="auto" w:sz="4" w:space="0"/>
          <w:right w:val="nil"/>
          <w:insideH w:val="nil"/>
          <w:insideV w:val="nil"/>
        </w:tcBorders>
      </w:tcPr>
    </w:tblStylePr>
  </w:style>
  <w:style w:type="table" w:customStyle="1" w:styleId="22">
    <w:name w:val="三线式表格(三条线都为细线)_表头为0"/>
    <w:basedOn w:val="17"/>
    <w:qFormat/>
    <w:uiPriority w:val="99"/>
    <w:tblPr>
      <w:tblBorders>
        <w:bottom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4" w:space="0"/>
        </w:tcBorders>
      </w:tcPr>
    </w:tblStylePr>
  </w:style>
  <w:style w:type="table" w:customStyle="1" w:styleId="23">
    <w:name w:val="三线式表格(三条线都为细线)_表头为2"/>
    <w:basedOn w:val="17"/>
    <w:qFormat/>
    <w:uiPriority w:val="99"/>
    <w:tblPr>
      <w:tblBorders>
        <w:bottom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4" w:space="0"/>
          <w:bottom w:val="single" w:color="auto" w:sz="4" w:space="0"/>
        </w:tcBorders>
      </w:tcPr>
    </w:tblStylePr>
  </w:style>
  <w:style w:type="table" w:customStyle="1" w:styleId="24">
    <w:name w:val="三线式表格(三条线都为细线)_表头为3"/>
    <w:basedOn w:val="17"/>
    <w:qFormat/>
    <w:uiPriority w:val="99"/>
    <w:tblPr>
      <w:tblBorders>
        <w:bottom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4" w:space="0"/>
          <w:bottom w:val="single" w:color="auto" w:sz="4" w:space="0"/>
        </w:tcBorders>
      </w:tcPr>
    </w:tblStylePr>
  </w:style>
  <w:style w:type="table" w:customStyle="1" w:styleId="25">
    <w:name w:val="三线式表格(顶底线粗，中线细)"/>
    <w:basedOn w:val="17"/>
    <w:qFormat/>
    <w:uiPriority w:val="99"/>
    <w:tblPr>
      <w:tblBorders>
        <w:bottom w:val="single" w:color="auto" w:sz="1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  <w:bottom w:val="single" w:color="auto" w:sz="4" w:space="0"/>
        </w:tcBorders>
      </w:tcPr>
    </w:tblStylePr>
  </w:style>
  <w:style w:type="table" w:customStyle="1" w:styleId="26">
    <w:name w:val="三线式表格(顶底线粗，中线细)_表头为0"/>
    <w:basedOn w:val="17"/>
    <w:qFormat/>
    <w:uiPriority w:val="99"/>
    <w:tblPr>
      <w:tblBorders>
        <w:bottom w:val="single" w:color="auto" w:sz="1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</w:tcBorders>
      </w:tcPr>
    </w:tblStylePr>
  </w:style>
  <w:style w:type="table" w:customStyle="1" w:styleId="27">
    <w:name w:val="三线式表格(顶底线粗，中线细)_表头为2"/>
    <w:basedOn w:val="17"/>
    <w:qFormat/>
    <w:uiPriority w:val="99"/>
    <w:tblPr>
      <w:tblBorders>
        <w:bottom w:val="single" w:color="auto" w:sz="1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  <w:bottom w:val="single" w:color="auto" w:sz="4" w:space="0"/>
        </w:tcBorders>
      </w:tcPr>
    </w:tblStylePr>
  </w:style>
  <w:style w:type="table" w:customStyle="1" w:styleId="28">
    <w:name w:val="三线式表格(顶底线粗，中线细)_表头为3"/>
    <w:basedOn w:val="17"/>
    <w:qFormat/>
    <w:uiPriority w:val="99"/>
    <w:tblPr>
      <w:tblBorders>
        <w:bottom w:val="single" w:color="auto" w:sz="1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  <w:bottom w:val="single" w:color="auto" w:sz="4" w:space="0"/>
        </w:tcBorders>
      </w:tcPr>
    </w:tblStylePr>
  </w:style>
  <w:style w:type="table" w:customStyle="1" w:styleId="29">
    <w:name w:val="表头及底线粗，内线细，无两侧边框"/>
    <w:basedOn w:val="17"/>
    <w:qFormat/>
    <w:uiPriority w:val="99"/>
    <w:tblPr>
      <w:tblBorders>
        <w:top w:val="single" w:color="auto" w:sz="14" w:space="0"/>
        <w:bottom w:val="single" w:color="auto" w:sz="1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  <w:bottom w:val="single" w:color="auto" w:sz="14" w:space="0"/>
        </w:tcBorders>
      </w:tcPr>
    </w:tblStylePr>
  </w:style>
  <w:style w:type="table" w:customStyle="1" w:styleId="30">
    <w:name w:val="表头及底线粗，内线细，无两侧边框_表头为0"/>
    <w:basedOn w:val="17"/>
    <w:qFormat/>
    <w:uiPriority w:val="99"/>
    <w:tblPr>
      <w:tblBorders>
        <w:top w:val="single" w:color="auto" w:sz="14" w:space="0"/>
        <w:bottom w:val="single" w:color="auto" w:sz="1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</w:tcBorders>
      </w:tcPr>
    </w:tblStylePr>
  </w:style>
  <w:style w:type="table" w:customStyle="1" w:styleId="31">
    <w:name w:val="表头及底线粗，内线细，无两侧边框_表头为2"/>
    <w:basedOn w:val="17"/>
    <w:qFormat/>
    <w:uiPriority w:val="99"/>
    <w:tblPr>
      <w:tblBorders>
        <w:top w:val="single" w:color="auto" w:sz="14" w:space="0"/>
        <w:bottom w:val="single" w:color="auto" w:sz="1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  <w:bottom w:val="single" w:color="auto" w:sz="14" w:space="0"/>
        </w:tcBorders>
      </w:tcPr>
    </w:tblStylePr>
  </w:style>
  <w:style w:type="table" w:customStyle="1" w:styleId="32">
    <w:name w:val="表头及底线粗，内线细，无两侧边框_表头为3"/>
    <w:basedOn w:val="17"/>
    <w:qFormat/>
    <w:uiPriority w:val="99"/>
    <w:tblPr>
      <w:tblBorders>
        <w:top w:val="single" w:color="auto" w:sz="14" w:space="0"/>
        <w:bottom w:val="single" w:color="auto" w:sz="1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  <w:bottom w:val="single" w:color="auto" w:sz="14" w:space="0"/>
        </w:tcBorders>
      </w:tcPr>
    </w:tblStylePr>
  </w:style>
  <w:style w:type="table" w:customStyle="1" w:styleId="33">
    <w:name w:val="表头及边框粗，内线细"/>
    <w:basedOn w:val="17"/>
    <w:qFormat/>
    <w:uiPriority w:val="99"/>
    <w:tblPr>
      <w:tblBorders>
        <w:top w:val="single" w:color="auto" w:sz="4" w:space="0"/>
        <w:left w:val="single" w:color="auto" w:sz="14" w:space="0"/>
        <w:bottom w:val="single" w:color="auto" w:sz="14" w:space="0"/>
        <w:right w:val="single" w:color="auto" w:sz="1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  <w:left w:val="single" w:color="auto" w:sz="14" w:space="0"/>
          <w:bottom w:val="single" w:color="auto" w:sz="14" w:space="0"/>
          <w:right w:val="single" w:color="auto" w:sz="14" w:space="0"/>
          <w:insideH w:val="single" w:sz="6" w:space="0"/>
          <w:insideV w:val="single" w:sz="6" w:space="0"/>
          <w:tl2br w:val="nil"/>
          <w:tr2bl w:val="nil"/>
        </w:tcBorders>
      </w:tcPr>
    </w:tblStylePr>
  </w:style>
  <w:style w:type="table" w:customStyle="1" w:styleId="34">
    <w:name w:val="表头及边框粗，内线细_表头为0"/>
    <w:basedOn w:val="17"/>
    <w:qFormat/>
    <w:uiPriority w:val="99"/>
    <w:tblPr>
      <w:tblBorders>
        <w:top w:val="single" w:color="auto" w:sz="14" w:space="0"/>
        <w:left w:val="single" w:color="auto" w:sz="14" w:space="0"/>
        <w:bottom w:val="single" w:color="auto" w:sz="14" w:space="0"/>
        <w:right w:val="single" w:color="auto" w:sz="1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  <w:left w:val="single" w:color="auto" w:sz="14" w:space="0"/>
          <w:bottom w:val="single" w:color="auto" w:sz="14" w:space="0"/>
          <w:right w:val="single" w:color="auto" w:sz="14" w:space="0"/>
        </w:tcBorders>
      </w:tcPr>
    </w:tblStylePr>
  </w:style>
  <w:style w:type="table" w:customStyle="1" w:styleId="35">
    <w:name w:val="表头及边框粗，内线细_表头为2"/>
    <w:basedOn w:val="17"/>
    <w:qFormat/>
    <w:uiPriority w:val="99"/>
    <w:tblPr>
      <w:tblBorders>
        <w:top w:val="single" w:color="auto" w:sz="14" w:space="0"/>
        <w:left w:val="single" w:color="auto" w:sz="14" w:space="0"/>
        <w:bottom w:val="single" w:color="auto" w:sz="14" w:space="0"/>
        <w:right w:val="single" w:color="auto" w:sz="1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  <w:left w:val="single" w:color="auto" w:sz="14" w:space="0"/>
          <w:bottom w:val="single" w:color="auto" w:sz="14" w:space="0"/>
          <w:right w:val="single" w:color="auto" w:sz="14" w:space="0"/>
          <w:insideH w:val="single" w:sz="4" w:space="0"/>
          <w:insideV w:val="single" w:sz="4" w:space="0"/>
        </w:tcBorders>
      </w:tcPr>
    </w:tblStylePr>
  </w:style>
  <w:style w:type="table" w:customStyle="1" w:styleId="36">
    <w:name w:val="表头及边框粗，内线细_表头为3"/>
    <w:basedOn w:val="17"/>
    <w:qFormat/>
    <w:uiPriority w:val="99"/>
    <w:tblPr>
      <w:tblBorders>
        <w:top w:val="single" w:color="auto" w:sz="14" w:space="0"/>
        <w:left w:val="single" w:color="auto" w:sz="14" w:space="0"/>
        <w:bottom w:val="single" w:color="auto" w:sz="14" w:space="0"/>
        <w:right w:val="single" w:color="auto" w:sz="1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  <w:left w:val="single" w:color="auto" w:sz="14" w:space="0"/>
          <w:bottom w:val="single" w:color="auto" w:sz="14" w:space="0"/>
          <w:right w:val="single" w:color="auto" w:sz="14" w:space="0"/>
          <w:insideH w:val="single" w:sz="4" w:space="0"/>
          <w:insideV w:val="single" w:sz="4" w:space="0"/>
        </w:tcBorders>
      </w:tcPr>
    </w:tblStylePr>
  </w:style>
  <w:style w:type="table" w:customStyle="1" w:styleId="37">
    <w:name w:val="双外轮廓线式，外粗，内细 (表格内部线细)"/>
    <w:basedOn w:val="17"/>
    <w:qFormat/>
    <w:uiPriority w:val="99"/>
    <w:tblPr>
      <w:tblBorders>
        <w:top w:val="thinThickSmallGap" w:color="auto" w:sz="24" w:space="0"/>
        <w:left w:val="thinThickSmallGap" w:color="auto" w:sz="24" w:space="0"/>
        <w:bottom w:val="thickThinSmallGap" w:color="auto" w:sz="24" w:space="0"/>
        <w:right w:val="thickThinSmallGap" w:color="auto" w:sz="24" w:space="0"/>
        <w:insideH w:val="single" w:color="auto" w:sz="6" w:space="0"/>
        <w:insideV w:val="single" w:color="auto" w:sz="6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tcPr>
        <w:tcBorders>
          <w:insideH w:val="single" w:sz="6" w:space="0"/>
          <w:insideV w:val="single" w:sz="6" w:space="0"/>
        </w:tcBorders>
      </w:tcPr>
    </w:tblStylePr>
  </w:style>
  <w:style w:type="table" w:customStyle="1" w:styleId="38">
    <w:name w:val="双外轮廓线式，外细，内粗 (表格内部线细)"/>
    <w:basedOn w:val="17"/>
    <w:qFormat/>
    <w:uiPriority w:val="99"/>
    <w:tblPr>
      <w:tblBorders>
        <w:top w:val="thickThinSmallGap" w:color="auto" w:sz="24" w:space="0"/>
        <w:left w:val="thickThinSmallGap" w:color="auto" w:sz="24" w:space="0"/>
        <w:bottom w:val="thinThickSmallGap" w:color="auto" w:sz="24" w:space="0"/>
        <w:right w:val="thinThickSmallGap" w:color="auto" w:sz="24" w:space="0"/>
        <w:insideH w:val="single" w:color="auto" w:sz="6" w:space="0"/>
        <w:insideV w:val="single" w:color="auto" w:sz="6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tcPr>
        <w:tcBorders>
          <w:insideH w:val="single" w:sz="6" w:space="0"/>
          <w:insideV w:val="single" w:sz="6" w:space="0"/>
        </w:tcBorders>
      </w:tcPr>
    </w:tblStylePr>
  </w:style>
  <w:style w:type="table" w:customStyle="1" w:styleId="39">
    <w:name w:val="双外轮廓线式，外细，内细 (表格内部线细)"/>
    <w:basedOn w:val="17"/>
    <w:qFormat/>
    <w:uiPriority w:val="99"/>
    <w:tblPr>
      <w:tblBorders>
        <w:top w:val="double" w:color="auto" w:sz="6" w:space="0"/>
        <w:left w:val="double" w:color="auto" w:sz="6" w:space="0"/>
        <w:bottom w:val="double" w:color="auto" w:sz="6" w:space="0"/>
        <w:right w:val="double" w:color="auto" w:sz="6" w:space="0"/>
        <w:insideH w:val="single" w:color="auto" w:sz="6" w:space="0"/>
        <w:insideV w:val="single" w:color="auto" w:sz="6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">
    <w:name w:val="三外轮廓线式，外细，中粗，内细 (表格内部线细)"/>
    <w:basedOn w:val="17"/>
    <w:qFormat/>
    <w:uiPriority w:val="99"/>
    <w:tblPr>
      <w:tblBorders>
        <w:top w:val="thinThickThinSmallGap" w:color="auto" w:sz="24" w:space="0"/>
        <w:left w:val="thinThickThinSmallGap" w:color="auto" w:sz="24" w:space="0"/>
        <w:bottom w:val="thinThickThinSmallGap" w:color="auto" w:sz="24" w:space="0"/>
        <w:right w:val="thinThickThinSmallGap" w:color="auto" w:sz="24" w:space="0"/>
        <w:insideH w:val="single" w:color="auto" w:sz="6" w:space="0"/>
        <w:insideV w:val="single" w:color="auto" w:sz="6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">
    <w:name w:val="三维式外轮廓线(表格内部线细)"/>
    <w:basedOn w:val="17"/>
    <w:qFormat/>
    <w:uiPriority w:val="99"/>
    <w:tblPr>
      <w:tblBorders>
        <w:top w:val="threeDEmboss" w:color="auto" w:sz="24" w:space="0"/>
        <w:left w:val="threeDEmboss" w:color="auto" w:sz="24" w:space="0"/>
        <w:bottom w:val="threeDEngrave" w:color="auto" w:sz="24" w:space="0"/>
        <w:right w:val="threeDEngrave" w:color="auto" w:sz="24" w:space="0"/>
        <w:insideH w:val="single" w:color="auto" w:sz="6" w:space="0"/>
        <w:insideV w:val="single" w:color="auto" w:sz="6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">
    <w:name w:val="无线条"/>
    <w:basedOn w:val="17"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3">
    <w:name w:val="页脚 Char"/>
    <w:basedOn w:val="19"/>
    <w:link w:val="10"/>
    <w:qFormat/>
    <w:uiPriority w:val="99"/>
    <w:rPr>
      <w:sz w:val="18"/>
      <w:szCs w:val="18"/>
    </w:rPr>
  </w:style>
  <w:style w:type="character" w:customStyle="1" w:styleId="44">
    <w:name w:val="批注框文本 Char"/>
    <w:basedOn w:val="19"/>
    <w:link w:val="9"/>
    <w:semiHidden/>
    <w:qFormat/>
    <w:uiPriority w:val="99"/>
    <w:rPr>
      <w:sz w:val="18"/>
      <w:szCs w:val="18"/>
    </w:rPr>
  </w:style>
  <w:style w:type="character" w:customStyle="1" w:styleId="45">
    <w:name w:val="标题 Char"/>
    <w:basedOn w:val="19"/>
    <w:link w:val="16"/>
    <w:qFormat/>
    <w:uiPriority w:val="10"/>
    <w:rPr>
      <w:rFonts w:eastAsia="宋体" w:asciiTheme="majorHAnsi" w:hAnsiTheme="majorHAnsi" w:cstheme="majorBidi"/>
      <w:b/>
      <w:bCs/>
      <w:sz w:val="32"/>
      <w:szCs w:val="32"/>
    </w:rPr>
  </w:style>
  <w:style w:type="character" w:customStyle="1" w:styleId="46">
    <w:name w:val="标题 1 Char"/>
    <w:basedOn w:val="19"/>
    <w:link w:val="2"/>
    <w:qFormat/>
    <w:uiPriority w:val="9"/>
    <w:rPr>
      <w:b/>
      <w:bCs/>
      <w:kern w:val="44"/>
      <w:sz w:val="44"/>
      <w:szCs w:val="44"/>
    </w:rPr>
  </w:style>
  <w:style w:type="character" w:customStyle="1" w:styleId="47">
    <w:name w:val="副标题 Char"/>
    <w:basedOn w:val="19"/>
    <w:link w:val="14"/>
    <w:qFormat/>
    <w:uiPriority w:val="11"/>
    <w:rPr>
      <w:rFonts w:eastAsia="宋体" w:asciiTheme="majorHAnsi" w:hAnsiTheme="majorHAnsi" w:cstheme="majorBidi"/>
      <w:b/>
      <w:bCs/>
      <w:kern w:val="28"/>
      <w:sz w:val="32"/>
      <w:szCs w:val="32"/>
    </w:rPr>
  </w:style>
  <w:style w:type="character" w:customStyle="1" w:styleId="48">
    <w:name w:val="标题 2 Char"/>
    <w:basedOn w:val="19"/>
    <w:link w:val="3"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49">
    <w:name w:val="标题 3 Char"/>
    <w:basedOn w:val="19"/>
    <w:link w:val="4"/>
    <w:qFormat/>
    <w:uiPriority w:val="9"/>
    <w:rPr>
      <w:b/>
      <w:bCs/>
      <w:sz w:val="32"/>
      <w:szCs w:val="32"/>
    </w:rPr>
  </w:style>
  <w:style w:type="character" w:customStyle="1" w:styleId="50">
    <w:name w:val="标题 4 Char"/>
    <w:basedOn w:val="19"/>
    <w:link w:val="5"/>
    <w:qFormat/>
    <w:uiPriority w:val="9"/>
    <w:rPr>
      <w:rFonts w:asciiTheme="majorHAnsi" w:hAnsiTheme="majorHAnsi" w:eastAsiaTheme="majorEastAsia" w:cstheme="majorBidi"/>
      <w:b/>
      <w:bCs/>
      <w:sz w:val="28"/>
      <w:szCs w:val="28"/>
    </w:rPr>
  </w:style>
  <w:style w:type="character" w:customStyle="1" w:styleId="51">
    <w:name w:val="标题 5 Char"/>
    <w:basedOn w:val="19"/>
    <w:link w:val="6"/>
    <w:qFormat/>
    <w:uiPriority w:val="9"/>
    <w:rPr>
      <w:b/>
      <w:bCs/>
      <w:sz w:val="28"/>
      <w:szCs w:val="28"/>
    </w:rPr>
  </w:style>
  <w:style w:type="character" w:customStyle="1" w:styleId="52">
    <w:name w:val="标题 6 Char"/>
    <w:basedOn w:val="19"/>
    <w:link w:val="7"/>
    <w:qFormat/>
    <w:uiPriority w:val="9"/>
    <w:rPr>
      <w:rFonts w:asciiTheme="majorHAnsi" w:hAnsiTheme="majorHAnsi" w:eastAsiaTheme="majorEastAsia" w:cstheme="majorBidi"/>
      <w:b/>
      <w:bCs/>
      <w:sz w:val="24"/>
      <w:szCs w:val="24"/>
    </w:rPr>
  </w:style>
  <w:style w:type="paragraph" w:customStyle="1" w:styleId="53">
    <w:name w:val="TOC Heading"/>
    <w:basedOn w:val="2"/>
    <w:next w:val="1"/>
    <w:semiHidden/>
    <w:unhideWhenUsed/>
    <w:qFormat/>
    <w:uiPriority w:val="39"/>
    <w:pPr>
      <w:widowControl/>
      <w:spacing w:before="480" w:after="0" w:line="276" w:lineRule="auto"/>
      <w:jc w:val="left"/>
      <w:outlineLvl w:val="9"/>
    </w:pPr>
    <w:rPr>
      <w:rFonts w:asciiTheme="majorHAnsi" w:hAnsiTheme="majorHAnsi" w:eastAsiaTheme="majorEastAsia" w:cstheme="majorBidi"/>
      <w:color w:val="2E75B6" w:themeColor="accent1" w:themeShade="BF"/>
      <w:kern w:val="0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header" Target="head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6</Pages>
  <Words>1348</Words>
  <Characters>1801</Characters>
  <Lines>1</Lines>
  <Paragraphs>1</Paragraphs>
  <TotalTime>5</TotalTime>
  <ScaleCrop>false</ScaleCrop>
  <LinksUpToDate>false</LinksUpToDate>
  <CharactersWithSpaces>1867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2015-03-16T03:08:00Z</dcterms:created>
  <dc:creator>Admin</dc:creator>
  <cp:lastModifiedBy>白翎如风</cp:lastModifiedBy>
  <dcterms:modified xsi:type="dcterms:W3CDTF">2025-03-12T10:52:34Z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D9497748DDC7427FA0FC676E96B24244_13</vt:lpwstr>
  </property>
</Properties>
</file>