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C2A570">
      <w:pPr>
        <w:bidi w:val="0"/>
        <w:jc w:val="center"/>
        <w:rPr>
          <w:rFonts w:hint="eastAsia"/>
        </w:rPr>
      </w:pPr>
      <w:r>
        <w:rPr>
          <w:rFonts w:hint="eastAsia"/>
          <w:sz w:val="22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974725</wp:posOffset>
            </wp:positionH>
            <wp:positionV relativeFrom="paragraph">
              <wp:posOffset>-303530</wp:posOffset>
            </wp:positionV>
            <wp:extent cx="3466465" cy="1764030"/>
            <wp:effectExtent l="0" t="0" r="8255" b="3810"/>
            <wp:wrapSquare wrapText="bothSides"/>
            <wp:docPr id="35" name="图片 2" descr="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" descr="小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66465" cy="176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67216E">
      <w:pPr>
        <w:ind w:firstLine="0" w:firstLineChars="0"/>
      </w:pPr>
      <w:r>
        <w:rPr>
          <w:rFonts w:hint="eastAsia" w:ascii="思源宋体 CN ExtraLight" w:hAnsi="思源宋体 CN ExtraLight" w:eastAsia="思源宋体 CN ExtraLight" w:cs="思源宋体 CN ExtraLight"/>
        </w:rPr>
        <mc:AlternateContent>
          <mc:Choice Requires="wpc">
            <w:drawing>
              <wp:inline distT="0" distB="0" distL="114300" distR="114300">
                <wp:extent cx="5574665" cy="3352800"/>
                <wp:effectExtent l="0" t="0" r="0" b="0"/>
                <wp:docPr id="32" name="画布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8" name="文本框 28"/>
                        <wps:cNvSpPr txBox="1"/>
                        <wps:spPr>
                          <a:xfrm>
                            <a:off x="0" y="2869586"/>
                            <a:ext cx="5316857" cy="261608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2B20E4C">
                              <w:pPr>
                                <w:spacing w:before="120" w:after="120"/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29" name="文本框 29"/>
                        <wps:cNvSpPr txBox="1"/>
                        <wps:spPr>
                          <a:xfrm>
                            <a:off x="80002" y="1082632"/>
                            <a:ext cx="4455832" cy="1057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931C6AF">
                              <w:pPr>
                                <w:jc w:val="center"/>
                                <w:rPr>
                                  <w:rFonts w:hint="eastAsia" w:ascii="思源宋体 CN" w:hAnsi="思源宋体 CN" w:eastAsia="思源宋体 CN" w:cs="思源宋体 C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思源宋体 CN" w:hAnsi="思源宋体 CN" w:eastAsia="思源宋体 CN" w:cs="思源宋体 CN"/>
                                  <w:sz w:val="28"/>
                                  <w:szCs w:val="28"/>
                                </w:rPr>
                                <w:t>国泰新点软件</w:t>
                              </w:r>
                              <w:r>
                                <w:rPr>
                                  <w:rFonts w:hint="eastAsia" w:ascii="思源宋体 CN" w:hAnsi="思源宋体 CN" w:eastAsia="思源宋体 CN" w:cs="思源宋体 CN"/>
                                  <w:sz w:val="28"/>
                                  <w:szCs w:val="28"/>
                                  <w:lang w:eastAsia="zh-CN"/>
                                </w:rPr>
                                <w:t>股份</w:t>
                              </w:r>
                              <w:r>
                                <w:rPr>
                                  <w:rFonts w:hint="eastAsia" w:ascii="思源宋体 CN" w:hAnsi="思源宋体 CN" w:eastAsia="思源宋体 CN" w:cs="思源宋体 CN"/>
                                  <w:sz w:val="28"/>
                                  <w:szCs w:val="28"/>
                                </w:rPr>
                                <w:t>有限公司</w:t>
                              </w:r>
                            </w:p>
                            <w:p w14:paraId="6C16632C">
                              <w:pPr>
                                <w:spacing w:line="360" w:lineRule="auto"/>
                                <w:jc w:val="center"/>
                                <w:rPr>
                                  <w:rFonts w:hint="eastAsia" w:ascii="思源宋体 CN" w:hAnsi="思源宋体 CN" w:eastAsia="思源宋体 CN" w:cs="思源宋体 CN"/>
                                  <w:b/>
                                  <w:color w:val="0000FF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思源宋体 CN" w:hAnsi="思源宋体 CN" w:eastAsia="思源宋体 CN" w:cs="思源宋体 CN"/>
                                  <w:szCs w:val="21"/>
                                </w:rPr>
                                <w:t>地址：张家港市杨舍镇江帆路8号</w:t>
                              </w:r>
                              <w:r>
                                <w:rPr>
                                  <w:rFonts w:hint="eastAsia" w:ascii="思源宋体 CN" w:hAnsi="思源宋体 CN" w:eastAsia="思源宋体 CN" w:cs="思源宋体 CN"/>
                                  <w:b/>
                                  <w:color w:val="0000FF"/>
                                  <w:szCs w:val="21"/>
                                </w:rPr>
                                <w:t>(http://www.epoint.com.cn)</w:t>
                              </w:r>
                            </w:p>
                            <w:p w14:paraId="200F9062">
                              <w:pPr>
                                <w:spacing w:line="360" w:lineRule="auto"/>
                                <w:jc w:val="center"/>
                                <w:rPr>
                                  <w:rFonts w:hint="eastAsia" w:ascii="思源宋体 CN" w:hAnsi="思源宋体 CN" w:eastAsia="思源宋体 CN" w:cs="思源宋体 CN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思源宋体 CN" w:hAnsi="思源宋体 CN" w:eastAsia="思源宋体 CN" w:cs="思源宋体 CN"/>
                                  <w:szCs w:val="21"/>
                                </w:rPr>
                                <w:t>电话：0512-58188000传真：0512-58132373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264pt;width:438.95pt;" coordsize="5574665,3352800" editas="canvas" o:gfxdata="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BqCSQX1wAAAAUBAAAPAAAAAAAAAAEAIAAA&#10;ACIAAABkcnMvZG93bnJldi54bWxQSwECFAAUAAAACACHTuJAv/BrfH8CAABTBgAADgAAAAAAAAAB&#10;ACAAAAAmAQAAZHJzL2Uyb0RvYy54bWxQSwUGAAAAAAYABgBZAQAAFwYAAAAA&#10;">
                <o:lock v:ext="edit" aspectratio="f"/>
                <v:shape id="_x0000_s1026" o:spid="_x0000_s1026" style="position:absolute;left:0;top:0;height:3352800;width:5574665;" filled="f" stroked="f" coordsize="21600,21600" o:gfxdata="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GoJJBfXAAAABQEAAA8AAAAAAAAAAQAgAAAAIgAAAGRy&#10;cy9kb3ducmV2LnhtbFBLAQIUABQAAAAIAIdO4kAtIvtnPwIAAM4FAAAOAAAAAAAAAAEAIAAAACYB&#10;AABkcnMvZTJvRG9jLnhtbFBLBQYAAAAABgAGAFkBAADXBQAAAAA=&#10;">
                  <v:fill on="f" focussize="0,0"/>
                  <v:stroke on="f"/>
                  <v:imagedata o:title=""/>
                  <o:lock v:ext="edit" aspectratio="t"/>
                </v:shape>
                <v:shape id="_x0000_s1026" o:spid="_x0000_s1026" o:spt="202" type="#_x0000_t202" style="position:absolute;left:0;top:2869586;height:261608;width:5316857;" fillcolor="#C0C0C0" filled="t" stroked="f" coordsize="21600,21600" o:gfxdata="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GLDElDUAAAABQEAAA8AAAAAAAAAAQAgAAAAIgAAAGRycy9kb3du&#10;cmV2LnhtbFBLAQIUABQAAAAIAIdO4kD80GcfygEAAH8DAAAOAAAAAAAAAAEAIAAAACMBAABkcnMv&#10;ZTJvRG9jLnhtbFBLBQYAAAAABgAGAFkBAABfBQAAAAA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 w14:paraId="72B20E4C">
                        <w:pPr>
                          <w:spacing w:before="120" w:after="120"/>
                        </w:pPr>
                      </w:p>
                    </w:txbxContent>
                  </v:textbox>
                </v:shape>
                <v:shape id="_x0000_s1026" o:spid="_x0000_s1026" o:spt="202" type="#_x0000_t202" style="position:absolute;left:80002;top:1082632;height:1057232;width:4455832;" filled="f" stroked="f" coordsize="21600,21600" o:gfxdata="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62sdU9YAAAAFAQAADwAAAAAAAAABACAAAAAiAAAAZHJzL2Rvd25yZXYu&#10;eG1sUEsBAhQAFAAAAAgAh07iQObTpGjEAQAAfwMAAA4AAAAAAAAAAQAgAAAAJQEAAGRycy9lMm9E&#10;b2MueG1sUEsFBgAAAAAGAAYAWQEAAFsF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931C6AF">
                        <w:pPr>
                          <w:jc w:val="center"/>
                          <w:rPr>
                            <w:rFonts w:hint="eastAsia" w:ascii="思源宋体 CN" w:hAnsi="思源宋体 CN" w:eastAsia="思源宋体 CN" w:cs="思源宋体 CN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思源宋体 CN" w:hAnsi="思源宋体 CN" w:eastAsia="思源宋体 CN" w:cs="思源宋体 CN"/>
                            <w:sz w:val="28"/>
                            <w:szCs w:val="28"/>
                          </w:rPr>
                          <w:t>国泰新点软件</w:t>
                        </w:r>
                        <w:r>
                          <w:rPr>
                            <w:rFonts w:hint="eastAsia" w:ascii="思源宋体 CN" w:hAnsi="思源宋体 CN" w:eastAsia="思源宋体 CN" w:cs="思源宋体 CN"/>
                            <w:sz w:val="28"/>
                            <w:szCs w:val="28"/>
                            <w:lang w:eastAsia="zh-CN"/>
                          </w:rPr>
                          <w:t>股份</w:t>
                        </w:r>
                        <w:r>
                          <w:rPr>
                            <w:rFonts w:hint="eastAsia" w:ascii="思源宋体 CN" w:hAnsi="思源宋体 CN" w:eastAsia="思源宋体 CN" w:cs="思源宋体 CN"/>
                            <w:sz w:val="28"/>
                            <w:szCs w:val="28"/>
                          </w:rPr>
                          <w:t>有限公司</w:t>
                        </w:r>
                      </w:p>
                      <w:p w14:paraId="6C16632C">
                        <w:pPr>
                          <w:spacing w:line="360" w:lineRule="auto"/>
                          <w:jc w:val="center"/>
                          <w:rPr>
                            <w:rFonts w:hint="eastAsia" w:ascii="思源宋体 CN" w:hAnsi="思源宋体 CN" w:eastAsia="思源宋体 CN" w:cs="思源宋体 CN"/>
                            <w:b/>
                            <w:color w:val="0000FF"/>
                            <w:szCs w:val="21"/>
                          </w:rPr>
                        </w:pPr>
                        <w:r>
                          <w:rPr>
                            <w:rFonts w:hint="eastAsia" w:ascii="思源宋体 CN" w:hAnsi="思源宋体 CN" w:eastAsia="思源宋体 CN" w:cs="思源宋体 CN"/>
                            <w:szCs w:val="21"/>
                          </w:rPr>
                          <w:t>地址：张家港市杨舍镇江帆路8号</w:t>
                        </w:r>
                        <w:r>
                          <w:rPr>
                            <w:rFonts w:hint="eastAsia" w:ascii="思源宋体 CN" w:hAnsi="思源宋体 CN" w:eastAsia="思源宋体 CN" w:cs="思源宋体 CN"/>
                            <w:b/>
                            <w:color w:val="0000FF"/>
                            <w:szCs w:val="21"/>
                          </w:rPr>
                          <w:t>(http://www.epoint.com.cn)</w:t>
                        </w:r>
                      </w:p>
                      <w:p w14:paraId="200F9062">
                        <w:pPr>
                          <w:spacing w:line="360" w:lineRule="auto"/>
                          <w:jc w:val="center"/>
                          <w:rPr>
                            <w:rFonts w:hint="eastAsia" w:ascii="思源宋体 CN" w:hAnsi="思源宋体 CN" w:eastAsia="思源宋体 CN" w:cs="思源宋体 CN"/>
                            <w:szCs w:val="21"/>
                          </w:rPr>
                        </w:pPr>
                        <w:r>
                          <w:rPr>
                            <w:rFonts w:hint="eastAsia" w:ascii="思源宋体 CN" w:hAnsi="思源宋体 CN" w:eastAsia="思源宋体 CN" w:cs="思源宋体 CN"/>
                            <w:szCs w:val="21"/>
                          </w:rPr>
                          <w:t>电话：0512-58188000传真：0512-58132373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200F0F50">
      <w:pPr>
        <w:ind w:firstLine="0" w:firstLineChars="0"/>
      </w:pPr>
    </w:p>
    <w:p w14:paraId="4AB50360">
      <w:pPr>
        <w:spacing w:line="600" w:lineRule="auto"/>
        <w:ind w:firstLine="0" w:firstLineChars="0"/>
        <w:jc w:val="distribute"/>
        <w:rPr>
          <w:b/>
          <w:sz w:val="52"/>
          <w:szCs w:val="52"/>
        </w:rPr>
      </w:pPr>
      <w:r>
        <w:rPr>
          <w:rFonts w:hint="eastAsia" w:cs="Times New Roman"/>
          <w:b/>
          <w:sz w:val="52"/>
          <w:szCs w:val="52"/>
          <w:lang w:val="en-US" w:eastAsia="zh-CN"/>
        </w:rPr>
        <w:t>大田县</w:t>
      </w:r>
      <w:r>
        <w:rPr>
          <w:rFonts w:hint="eastAsia" w:ascii="Times New Roman" w:hAnsi="Times New Roman" w:eastAsia="思源宋体 CN ExtraLight" w:cs="Times New Roman"/>
          <w:b/>
          <w:sz w:val="52"/>
          <w:szCs w:val="52"/>
          <w:lang w:val="en-US" w:eastAsia="zh-CN"/>
        </w:rPr>
        <w:t>公共资源交易中心</w:t>
      </w:r>
      <w:r>
        <w:rPr>
          <w:rFonts w:hint="eastAsia"/>
          <w:b/>
          <w:sz w:val="52"/>
          <w:szCs w:val="52"/>
        </w:rPr>
        <w:t>产权交易</w:t>
      </w:r>
    </w:p>
    <w:p w14:paraId="1EEA5B4A">
      <w:pPr>
        <w:spacing w:line="600" w:lineRule="auto"/>
        <w:ind w:firstLine="0" w:firstLineChars="0"/>
        <w:jc w:val="distribute"/>
        <w:rPr>
          <w:rFonts w:hint="eastAsia" w:eastAsia="思源宋体 CN ExtraLight"/>
          <w:b/>
          <w:sz w:val="52"/>
          <w:szCs w:val="52"/>
          <w:lang w:eastAsia="zh-CN"/>
        </w:rPr>
      </w:pPr>
      <w:r>
        <w:rPr>
          <w:rFonts w:hint="eastAsia"/>
          <w:b/>
          <w:sz w:val="52"/>
          <w:szCs w:val="52"/>
        </w:rPr>
        <w:t>电子竞价</w:t>
      </w:r>
      <w:r>
        <w:rPr>
          <w:rFonts w:hint="eastAsia"/>
          <w:b/>
          <w:sz w:val="52"/>
          <w:szCs w:val="52"/>
          <w:lang w:val="en-US" w:eastAsia="zh-CN"/>
        </w:rPr>
        <w:t>系统</w:t>
      </w:r>
      <w:r>
        <w:rPr>
          <w:rFonts w:hint="eastAsia"/>
          <w:b/>
          <w:sz w:val="52"/>
          <w:szCs w:val="52"/>
        </w:rPr>
        <w:t>操作手册</w:t>
      </w:r>
      <w:r>
        <w:rPr>
          <w:rFonts w:hint="eastAsia"/>
          <w:b/>
          <w:sz w:val="52"/>
          <w:szCs w:val="52"/>
          <w:lang w:eastAsia="zh-CN"/>
        </w:rPr>
        <w:t>（</w:t>
      </w:r>
      <w:r>
        <w:rPr>
          <w:rFonts w:hint="eastAsia"/>
          <w:b/>
          <w:sz w:val="52"/>
          <w:szCs w:val="52"/>
          <w:lang w:val="en-US" w:eastAsia="zh-CN"/>
        </w:rPr>
        <w:t>竞买人</w:t>
      </w:r>
      <w:r>
        <w:rPr>
          <w:rFonts w:hint="eastAsia"/>
          <w:b/>
          <w:sz w:val="52"/>
          <w:szCs w:val="52"/>
          <w:lang w:eastAsia="zh-CN"/>
        </w:rPr>
        <w:t>）</w:t>
      </w:r>
    </w:p>
    <w:p w14:paraId="51B46C4A">
      <w:pPr>
        <w:pStyle w:val="16"/>
        <w:ind w:firstLine="360"/>
      </w:pPr>
    </w:p>
    <w:p w14:paraId="66B43EB7">
      <w:pPr>
        <w:pStyle w:val="16"/>
        <w:ind w:firstLine="360"/>
      </w:pPr>
      <w:bookmarkStart w:id="17" w:name="_GoBack"/>
      <w:bookmarkEnd w:id="17"/>
    </w:p>
    <w:p w14:paraId="1431FDD0">
      <w:pPr>
        <w:pStyle w:val="16"/>
        <w:ind w:firstLine="360"/>
      </w:pPr>
    </w:p>
    <w:p w14:paraId="50C0DA7E">
      <w:pPr>
        <w:pStyle w:val="16"/>
        <w:ind w:firstLine="360"/>
      </w:pPr>
    </w:p>
    <w:p w14:paraId="2A3F333D">
      <w:pPr>
        <w:pStyle w:val="16"/>
        <w:ind w:firstLine="360"/>
      </w:pPr>
    </w:p>
    <w:p w14:paraId="163CB177">
      <w:pPr>
        <w:pStyle w:val="16"/>
        <w:ind w:firstLine="360"/>
      </w:pPr>
    </w:p>
    <w:p w14:paraId="1E8D7BF5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hint="eastAsia"/>
          <w:b/>
          <w:spacing w:val="200"/>
          <w:sz w:val="32"/>
          <w:lang w:val="en-US" w:eastAsia="zh-CN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797" w:bottom="1440" w:left="1797" w:header="454" w:footer="680" w:gutter="0"/>
          <w:pgNumType w:fmt="decimal" w:start="1"/>
          <w:cols w:space="720" w:num="1"/>
          <w:titlePg/>
          <w:docGrid w:type="lines" w:linePitch="312" w:charSpace="0"/>
        </w:sectPr>
      </w:pPr>
    </w:p>
    <w:sdt>
      <w:sdtPr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  <w:id w:val="147482129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</w:sdtEndPr>
      <w:sdtContent>
        <w:p w14:paraId="4D9440BD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 w14:paraId="16D0FAAF">
          <w:pPr>
            <w:pStyle w:val="10"/>
            <w:tabs>
              <w:tab w:val="right" w:leader="dot" w:pos="8312"/>
            </w:tabs>
          </w:pP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_Toc16556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一、 登录</w:t>
          </w:r>
          <w:r>
            <w:rPr>
              <w:rFonts w:hint="eastAsia"/>
            </w:rPr>
            <w:t>产权交易电子竞价系统</w:t>
          </w:r>
          <w:r>
            <w:tab/>
          </w:r>
          <w:r>
            <w:fldChar w:fldCharType="begin"/>
          </w:r>
          <w:r>
            <w:instrText xml:space="preserve"> PAGEREF _Toc16556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1B93A87C">
          <w:pPr>
            <w:pStyle w:val="7"/>
            <w:tabs>
              <w:tab w:val="right" w:leader="dot" w:pos="8312"/>
            </w:tabs>
          </w:pPr>
          <w:r>
            <w:fldChar w:fldCharType="begin"/>
          </w:r>
          <w:r>
            <w:instrText xml:space="preserve"> HYPERLINK \l _Toc31070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1.1</w:t>
          </w:r>
          <w:r>
            <w:rPr>
              <w:rFonts w:hint="eastAsia"/>
              <w:lang w:eastAsia="zh-CN"/>
            </w:rPr>
            <w:t>登录竞价系统</w:t>
          </w:r>
          <w:r>
            <w:tab/>
          </w:r>
          <w:r>
            <w:fldChar w:fldCharType="begin"/>
          </w:r>
          <w:r>
            <w:instrText xml:space="preserve"> PAGEREF _Toc31070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6CF86DEC">
          <w:pPr>
            <w:pStyle w:val="10"/>
            <w:tabs>
              <w:tab w:val="right" w:leader="dot" w:pos="8312"/>
            </w:tabs>
          </w:pPr>
          <w:r>
            <w:fldChar w:fldCharType="begin"/>
          </w:r>
          <w:r>
            <w:instrText xml:space="preserve"> HYPERLINK \l _Toc26875 </w:instrText>
          </w:r>
          <w:r>
            <w:fldChar w:fldCharType="separate"/>
          </w:r>
          <w:r>
            <w:rPr>
              <w:rFonts w:hint="eastAsia" w:ascii="宋体" w:hAnsi="宋体" w:eastAsia="宋体"/>
              <w:szCs w:val="28"/>
              <w:lang w:val="en-US" w:eastAsia="zh-CN"/>
            </w:rPr>
            <w:t>二、 产权项目报名</w:t>
          </w:r>
          <w:r>
            <w:tab/>
          </w:r>
          <w:r>
            <w:fldChar w:fldCharType="begin"/>
          </w:r>
          <w:r>
            <w:instrText xml:space="preserve"> PAGEREF _Toc26875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 w14:paraId="0DADF4E0">
          <w:pPr>
            <w:pStyle w:val="11"/>
            <w:tabs>
              <w:tab w:val="right" w:leader="dot" w:pos="8312"/>
            </w:tabs>
          </w:pPr>
          <w:r>
            <w:fldChar w:fldCharType="begin"/>
          </w:r>
          <w:r>
            <w:instrText xml:space="preserve"> HYPERLINK \l _Toc22137 </w:instrText>
          </w:r>
          <w:r>
            <w:fldChar w:fldCharType="separate"/>
          </w:r>
          <w:r>
            <w:rPr>
              <w:rFonts w:hint="eastAsia" w:ascii="宋体" w:hAnsi="宋体" w:eastAsia="宋体"/>
              <w:szCs w:val="24"/>
              <w:lang w:val="en-US" w:eastAsia="zh-CN"/>
            </w:rPr>
            <w:t>2</w:t>
          </w:r>
          <w:r>
            <w:rPr>
              <w:rFonts w:ascii="宋体" w:hAnsi="宋体" w:eastAsia="宋体"/>
              <w:szCs w:val="24"/>
            </w:rPr>
            <w:t>.1</w:t>
          </w:r>
          <w:r>
            <w:rPr>
              <w:rFonts w:hint="eastAsia" w:ascii="宋体" w:hAnsi="宋体" w:eastAsia="宋体"/>
              <w:szCs w:val="24"/>
              <w:lang w:val="en-US" w:eastAsia="zh-CN"/>
            </w:rPr>
            <w:t>项目公告信息</w:t>
          </w:r>
          <w:r>
            <w:tab/>
          </w:r>
          <w:r>
            <w:fldChar w:fldCharType="begin"/>
          </w:r>
          <w:r>
            <w:instrText xml:space="preserve"> PAGEREF _Toc22137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 w14:paraId="7758DF1D">
          <w:pPr>
            <w:pStyle w:val="11"/>
            <w:tabs>
              <w:tab w:val="right" w:leader="dot" w:pos="8312"/>
            </w:tabs>
          </w:pPr>
          <w:r>
            <w:fldChar w:fldCharType="begin"/>
          </w:r>
          <w:r>
            <w:instrText xml:space="preserve"> HYPERLINK \l _Toc31918 </w:instrText>
          </w:r>
          <w:r>
            <w:fldChar w:fldCharType="separate"/>
          </w:r>
          <w:r>
            <w:rPr>
              <w:rFonts w:hint="eastAsia" w:ascii="宋体" w:hAnsi="宋体" w:eastAsia="宋体"/>
              <w:szCs w:val="24"/>
              <w:lang w:val="en-US" w:eastAsia="zh-CN"/>
            </w:rPr>
            <w:t>2</w:t>
          </w:r>
          <w:r>
            <w:rPr>
              <w:rFonts w:ascii="宋体" w:hAnsi="宋体" w:eastAsia="宋体"/>
              <w:szCs w:val="24"/>
            </w:rPr>
            <w:t>.</w:t>
          </w:r>
          <w:r>
            <w:rPr>
              <w:rFonts w:hint="eastAsia" w:ascii="宋体" w:hAnsi="宋体" w:eastAsia="宋体"/>
              <w:szCs w:val="24"/>
              <w:lang w:val="en-US" w:eastAsia="zh-CN"/>
            </w:rPr>
            <w:t>2权益类项目报名</w:t>
          </w:r>
          <w:r>
            <w:tab/>
          </w:r>
          <w:r>
            <w:fldChar w:fldCharType="begin"/>
          </w:r>
          <w:r>
            <w:instrText xml:space="preserve"> PAGEREF _Toc31918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63B44B11">
          <w:pPr>
            <w:pStyle w:val="11"/>
            <w:tabs>
              <w:tab w:val="right" w:leader="dot" w:pos="8312"/>
            </w:tabs>
          </w:pPr>
          <w:r>
            <w:fldChar w:fldCharType="begin"/>
          </w:r>
          <w:r>
            <w:instrText xml:space="preserve"> HYPERLINK \l _Toc4847 </w:instrText>
          </w:r>
          <w:r>
            <w:fldChar w:fldCharType="separate"/>
          </w:r>
          <w:r>
            <w:rPr>
              <w:rFonts w:hint="default" w:ascii="Times New Roman" w:hAnsi="Times New Roman" w:cs="Times New Roman"/>
              <w:szCs w:val="30"/>
            </w:rPr>
            <w:t xml:space="preserve">2.1、 </w:t>
          </w:r>
          <w:r>
            <w:rPr>
              <w:rFonts w:hint="eastAsia" w:ascii="宋体" w:hAnsi="宋体" w:eastAsia="宋体"/>
              <w:szCs w:val="24"/>
              <w:lang w:val="en-US" w:eastAsia="zh-CN"/>
            </w:rPr>
            <w:t>保证金到账查询</w:t>
          </w:r>
          <w:r>
            <w:tab/>
          </w:r>
          <w:r>
            <w:fldChar w:fldCharType="begin"/>
          </w:r>
          <w:r>
            <w:instrText xml:space="preserve"> PAGEREF _Toc4847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 w14:paraId="1C9E4D78">
          <w:pPr>
            <w:pStyle w:val="10"/>
            <w:tabs>
              <w:tab w:val="right" w:leader="dot" w:pos="8312"/>
            </w:tabs>
          </w:pPr>
          <w:r>
            <w:fldChar w:fldCharType="begin"/>
          </w:r>
          <w:r>
            <w:instrText xml:space="preserve"> HYPERLINK \l _Toc30401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 xml:space="preserve">三、 </w:t>
          </w:r>
          <w:r>
            <w:rPr>
              <w:rFonts w:hint="eastAsia"/>
            </w:rPr>
            <w:t>产权交易</w:t>
          </w:r>
          <w:r>
            <w:rPr>
              <w:rFonts w:hint="eastAsia"/>
              <w:lang w:val="en-US" w:eastAsia="zh-CN"/>
            </w:rPr>
            <w:t>电子竞价系统报价</w:t>
          </w:r>
          <w:r>
            <w:tab/>
          </w:r>
          <w:r>
            <w:fldChar w:fldCharType="begin"/>
          </w:r>
          <w:r>
            <w:instrText xml:space="preserve"> PAGEREF _Toc30401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 w14:paraId="66732525">
          <w:pPr>
            <w:pStyle w:val="7"/>
            <w:tabs>
              <w:tab w:val="right" w:leader="dot" w:pos="8312"/>
            </w:tabs>
          </w:pPr>
          <w:r>
            <w:fldChar w:fldCharType="begin"/>
          </w:r>
          <w:r>
            <w:instrText xml:space="preserve"> HYPERLINK \l _Toc21500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2.1</w:t>
          </w:r>
          <w:r>
            <w:rPr>
              <w:rFonts w:hint="eastAsia"/>
              <w:lang w:eastAsia="zh-CN"/>
            </w:rPr>
            <w:t>我要报价</w:t>
          </w:r>
          <w:r>
            <w:tab/>
          </w:r>
          <w:r>
            <w:fldChar w:fldCharType="begin"/>
          </w:r>
          <w:r>
            <w:instrText xml:space="preserve"> PAGEREF _Toc21500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 w14:paraId="43C1C8ED">
          <w:pPr>
            <w:pStyle w:val="7"/>
            <w:tabs>
              <w:tab w:val="right" w:leader="dot" w:pos="8312"/>
            </w:tabs>
          </w:pPr>
          <w:r>
            <w:fldChar w:fldCharType="begin"/>
          </w:r>
          <w:r>
            <w:instrText xml:space="preserve"> HYPERLINK \l _Toc27876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2.2</w:t>
          </w:r>
          <w:r>
            <w:rPr>
              <w:rFonts w:hint="eastAsia"/>
              <w:lang w:eastAsia="zh-CN"/>
            </w:rPr>
            <w:t>报价历史</w:t>
          </w:r>
          <w:r>
            <w:tab/>
          </w:r>
          <w:r>
            <w:fldChar w:fldCharType="begin"/>
          </w:r>
          <w:r>
            <w:instrText xml:space="preserve"> PAGEREF _Toc27876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fldChar w:fldCharType="end"/>
          </w:r>
        </w:p>
        <w:p w14:paraId="3A66E673">
          <w:pPr>
            <w:pStyle w:val="7"/>
            <w:tabs>
              <w:tab w:val="right" w:leader="dot" w:pos="8312"/>
            </w:tabs>
          </w:pPr>
          <w:r>
            <w:fldChar w:fldCharType="begin"/>
          </w:r>
          <w:r>
            <w:instrText xml:space="preserve"> HYPERLINK \l _Toc28758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2.3</w:t>
          </w:r>
          <w:r>
            <w:rPr>
              <w:rFonts w:hint="eastAsia"/>
              <w:lang w:eastAsia="zh-CN"/>
            </w:rPr>
            <w:t>退出系统</w:t>
          </w:r>
          <w:r>
            <w:tab/>
          </w:r>
          <w:r>
            <w:fldChar w:fldCharType="begin"/>
          </w:r>
          <w:r>
            <w:instrText xml:space="preserve"> PAGEREF _Toc28758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fldChar w:fldCharType="end"/>
          </w:r>
        </w:p>
        <w:p w14:paraId="2E977F30">
          <w:r>
            <w:fldChar w:fldCharType="end"/>
          </w:r>
        </w:p>
      </w:sdtContent>
    </w:sdt>
    <w:p w14:paraId="33B1FD78"/>
    <w:p w14:paraId="234DF81F">
      <w:r>
        <w:br w:type="page"/>
      </w:r>
    </w:p>
    <w:p w14:paraId="48664E36">
      <w:pPr>
        <w:pStyle w:val="2"/>
        <w:rPr>
          <w:rFonts w:hint="eastAsia"/>
          <w:lang w:val="en-US" w:eastAsia="zh-CN"/>
        </w:rPr>
      </w:pPr>
      <w:bookmarkStart w:id="0" w:name="_Toc16556"/>
      <w:bookmarkStart w:id="1" w:name="_Toc405380050"/>
      <w:r>
        <w:rPr>
          <w:rFonts w:hint="eastAsia"/>
          <w:lang w:val="en-US" w:eastAsia="zh-CN"/>
        </w:rPr>
        <w:t>登录</w:t>
      </w:r>
      <w:r>
        <w:rPr>
          <w:rFonts w:hint="eastAsia"/>
        </w:rPr>
        <w:t>产权交易电子竞价系统</w:t>
      </w:r>
      <w:bookmarkEnd w:id="0"/>
      <w:bookmarkEnd w:id="1"/>
    </w:p>
    <w:p w14:paraId="337A426D">
      <w:pPr>
        <w:pStyle w:val="4"/>
        <w:numPr>
          <w:ilvl w:val="2"/>
          <w:numId w:val="0"/>
        </w:numPr>
        <w:ind w:left="142" w:leftChars="0"/>
      </w:pPr>
      <w:bookmarkStart w:id="2" w:name="_Toc31070"/>
      <w:r>
        <w:rPr>
          <w:rFonts w:hint="eastAsia"/>
          <w:lang w:val="en-US" w:eastAsia="zh-CN"/>
        </w:rPr>
        <w:t>1.1</w:t>
      </w:r>
      <w:r>
        <w:rPr>
          <w:rFonts w:hint="eastAsia"/>
          <w:lang w:eastAsia="zh-CN"/>
        </w:rPr>
        <w:t>登录竞价系统</w:t>
      </w:r>
      <w:bookmarkEnd w:id="2"/>
    </w:p>
    <w:p w14:paraId="4DE31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outlineLvl w:val="9"/>
        <w:rPr>
          <w:rFonts w:hint="eastAsia" w:ascii="宋体" w:hAnsi="宋体" w:eastAsia="宋体"/>
          <w:lang w:eastAsia="zh-CN"/>
        </w:rPr>
      </w:pPr>
      <w:r>
        <w:rPr>
          <w:rFonts w:ascii="宋体" w:hAnsi="宋体"/>
          <w:b/>
        </w:rPr>
        <w:t>前提条件：</w:t>
      </w:r>
      <w:r>
        <w:rPr>
          <w:rFonts w:hint="eastAsia" w:ascii="宋体" w:hAnsi="宋体"/>
          <w:b w:val="0"/>
          <w:bCs/>
          <w:lang w:eastAsia="zh-CN"/>
        </w:rPr>
        <w:t>已报名成功，且交易中心已设置过竞价规则。</w:t>
      </w:r>
    </w:p>
    <w:p w14:paraId="5E612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outlineLvl w:val="9"/>
        <w:rPr>
          <w:rFonts w:hint="eastAsia" w:ascii="宋体" w:hAnsi="宋体" w:eastAsia="宋体"/>
          <w:lang w:eastAsia="zh-CN"/>
        </w:rPr>
      </w:pPr>
      <w:r>
        <w:rPr>
          <w:b/>
        </w:rPr>
        <w:t>基本功能</w:t>
      </w:r>
      <w:r>
        <w:rPr>
          <w:rFonts w:ascii="宋体" w:hAnsi="宋体"/>
          <w:b/>
        </w:rPr>
        <w:t>：</w:t>
      </w:r>
      <w:r>
        <w:rPr>
          <w:rFonts w:hint="eastAsia" w:ascii="宋体" w:hAnsi="宋体"/>
        </w:rPr>
        <w:t>登录竞价系统</w:t>
      </w:r>
      <w:r>
        <w:rPr>
          <w:rFonts w:hint="eastAsia" w:ascii="宋体" w:hAnsi="宋体"/>
          <w:lang w:eastAsia="zh-CN"/>
        </w:rPr>
        <w:t>。</w:t>
      </w:r>
    </w:p>
    <w:p w14:paraId="32B68ACD">
      <w:pPr>
        <w:numPr>
          <w:ilvl w:val="0"/>
          <w:numId w:val="0"/>
        </w:numPr>
        <w:ind w:firstLine="422" w:firstLineChars="200"/>
        <w:rPr>
          <w:rFonts w:ascii="宋体" w:hAnsi="宋体"/>
          <w:b/>
        </w:rPr>
      </w:pPr>
      <w:r>
        <w:rPr>
          <w:rFonts w:ascii="宋体" w:hAnsi="宋体"/>
          <w:b/>
        </w:rPr>
        <w:t>操作步骤：</w:t>
      </w:r>
    </w:p>
    <w:p w14:paraId="2E85FB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/>
          <w:szCs w:val="21"/>
          <w:lang w:val="en-US" w:eastAsia="zh-CN"/>
        </w:rPr>
      </w:pPr>
      <w:r>
        <w:rPr>
          <w:rFonts w:hint="eastAsia"/>
          <w:lang w:val="en-US" w:eastAsia="zh-CN"/>
        </w:rPr>
        <w:t>1、</w:t>
      </w:r>
      <w:r>
        <w:rPr>
          <w:rFonts w:ascii="宋体" w:hAnsi="宋体" w:eastAsia="宋体"/>
          <w:szCs w:val="21"/>
        </w:rPr>
        <w:t>登入</w:t>
      </w:r>
      <w:r>
        <w:rPr>
          <w:rFonts w:hint="eastAsia" w:ascii="宋体" w:hAnsi="宋体" w:eastAsia="宋体"/>
          <w:szCs w:val="21"/>
          <w:lang w:val="en-US" w:eastAsia="zh-CN"/>
        </w:rPr>
        <w:t>三明</w:t>
      </w:r>
      <w:r>
        <w:rPr>
          <w:rFonts w:ascii="宋体" w:hAnsi="宋体" w:eastAsia="宋体"/>
          <w:szCs w:val="21"/>
        </w:rPr>
        <w:t>市公共资源交易中心官网：</w:t>
      </w:r>
      <w:r>
        <w:rPr>
          <w:rFonts w:hint="eastAsia" w:ascii="宋体" w:hAnsi="宋体" w:eastAsia="宋体"/>
          <w:szCs w:val="21"/>
        </w:rPr>
        <w:fldChar w:fldCharType="begin"/>
      </w:r>
      <w:r>
        <w:rPr>
          <w:rFonts w:hint="eastAsia" w:ascii="宋体" w:hAnsi="宋体" w:eastAsia="宋体"/>
          <w:szCs w:val="21"/>
        </w:rPr>
        <w:instrText xml:space="preserve"> HYPERLINK "http://smggzy.sm.gov.cn/smwz/" </w:instrText>
      </w:r>
      <w:r>
        <w:rPr>
          <w:rFonts w:hint="eastAsia" w:ascii="宋体" w:hAnsi="宋体" w:eastAsia="宋体"/>
          <w:szCs w:val="21"/>
        </w:rPr>
        <w:fldChar w:fldCharType="separate"/>
      </w:r>
      <w:r>
        <w:rPr>
          <w:rStyle w:val="14"/>
          <w:rFonts w:hint="eastAsia" w:ascii="宋体" w:hAnsi="宋体" w:eastAsia="宋体"/>
          <w:szCs w:val="21"/>
        </w:rPr>
        <w:t>http://smggzy.sm.gov.cn/smwz/</w:t>
      </w:r>
      <w:r>
        <w:rPr>
          <w:rFonts w:hint="eastAsia" w:ascii="宋体" w:hAnsi="宋体" w:eastAsia="宋体"/>
          <w:szCs w:val="21"/>
        </w:rPr>
        <w:fldChar w:fldCharType="end"/>
      </w:r>
      <w:r>
        <w:rPr>
          <w:rFonts w:hint="eastAsia" w:ascii="宋体" w:hAnsi="宋体" w:eastAsia="宋体"/>
          <w:szCs w:val="21"/>
          <w:lang w:eastAsia="zh-CN"/>
        </w:rPr>
        <w:t>，</w:t>
      </w:r>
      <w:r>
        <w:rPr>
          <w:rFonts w:hint="eastAsia" w:ascii="宋体" w:hAnsi="宋体" w:eastAsia="宋体"/>
          <w:szCs w:val="21"/>
          <w:lang w:val="en-US" w:eastAsia="zh-CN"/>
        </w:rPr>
        <w:t>选择“产权竞价系统”如下图：</w:t>
      </w:r>
      <w:r>
        <w:drawing>
          <wp:inline distT="0" distB="0" distL="114300" distR="114300">
            <wp:extent cx="5273675" cy="2488565"/>
            <wp:effectExtent l="0" t="0" r="14605" b="1079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C67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</w:pPr>
    </w:p>
    <w:p w14:paraId="41B8E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</w:pPr>
    </w:p>
    <w:p w14:paraId="1742207B">
      <w:pPr>
        <w:snapToGrid w:val="0"/>
        <w:ind w:firstLine="420" w:firstLineChars="200"/>
        <w:rPr>
          <w:rFonts w:hint="default"/>
          <w:lang w:val="en-US"/>
        </w:rPr>
      </w:pPr>
      <w:r>
        <w:rPr>
          <w:rFonts w:hint="eastAsia" w:ascii="宋体" w:hAnsi="宋体" w:eastAsia="宋体"/>
          <w:szCs w:val="21"/>
          <w:lang w:val="en-US" w:eastAsia="zh-CN"/>
        </w:rPr>
        <w:t>2、新用户选择免费注册：</w:t>
      </w:r>
      <w:r>
        <w:drawing>
          <wp:inline distT="0" distB="0" distL="114300" distR="114300">
            <wp:extent cx="5267325" cy="2401570"/>
            <wp:effectExtent l="0" t="0" r="5715" b="635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C1799">
      <w:pPr>
        <w:snapToGrid w:val="0"/>
        <w:ind w:left="0" w:leftChars="0" w:firstLine="0" w:firstLineChars="0"/>
      </w:pPr>
      <w:r>
        <w:rPr>
          <w:rFonts w:hint="eastAsia"/>
          <w:lang w:val="en-US" w:eastAsia="zh-CN"/>
        </w:rPr>
        <w:t>3、填写选择用户基本信息进行注册登记</w:t>
      </w:r>
      <w:r>
        <w:drawing>
          <wp:inline distT="0" distB="0" distL="114300" distR="114300">
            <wp:extent cx="5270500" cy="4112260"/>
            <wp:effectExtent l="0" t="0" r="2540" b="254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11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114E0">
      <w:pPr>
        <w:snapToGrid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4、选择基本信息-填写完善用户信息（</w:t>
      </w:r>
      <w:r>
        <w:rPr>
          <w:rFonts w:hint="eastAsia"/>
          <w:color w:val="FF0000"/>
          <w:lang w:val="en-US" w:eastAsia="zh-CN"/>
        </w:rPr>
        <w:t>开户行、银行账户、身份证、名称</w:t>
      </w:r>
      <w:r>
        <w:rPr>
          <w:rFonts w:hint="eastAsia"/>
          <w:lang w:val="en-US" w:eastAsia="zh-CN"/>
        </w:rPr>
        <w:t>）必须填写</w:t>
      </w:r>
    </w:p>
    <w:p w14:paraId="2D799316">
      <w:pPr>
        <w:snapToGrid w:val="0"/>
        <w:ind w:left="0" w:leftChars="0" w:firstLine="0" w:firstLineChars="0"/>
      </w:pPr>
      <w:r>
        <w:drawing>
          <wp:inline distT="0" distB="0" distL="114300" distR="114300">
            <wp:extent cx="5264785" cy="1911985"/>
            <wp:effectExtent l="0" t="0" r="8255" b="825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91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83465">
      <w:pPr>
        <w:snapToGrid w:val="0"/>
        <w:ind w:left="0" w:leftChars="0" w:firstLine="0" w:firstLineChars="0"/>
        <w:rPr>
          <w:rFonts w:hint="default" w:eastAsia="思源宋体 CN ExtraLight"/>
          <w:lang w:val="en-US" w:eastAsia="zh-CN"/>
        </w:rPr>
      </w:pPr>
      <w:r>
        <w:rPr>
          <w:rFonts w:hint="eastAsia"/>
          <w:lang w:val="en-US" w:eastAsia="zh-CN"/>
        </w:rPr>
        <w:t>5、电子建管理上传-承诺书和自然人身份证-下一步提交。（</w:t>
      </w:r>
      <w:r>
        <w:rPr>
          <w:rFonts w:hint="eastAsia"/>
          <w:color w:val="FF0000"/>
          <w:lang w:val="en-US" w:eastAsia="zh-CN"/>
        </w:rPr>
        <w:t>承诺书、自然人身份必填</w:t>
      </w:r>
      <w:r>
        <w:rPr>
          <w:rFonts w:hint="eastAsia"/>
          <w:lang w:val="en-US" w:eastAsia="zh-CN"/>
        </w:rPr>
        <w:t>）</w:t>
      </w:r>
      <w:r>
        <w:drawing>
          <wp:inline distT="0" distB="0" distL="114300" distR="114300">
            <wp:extent cx="5276215" cy="1170940"/>
            <wp:effectExtent l="0" t="0" r="12065" b="254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6215" cy="2072005"/>
            <wp:effectExtent l="0" t="0" r="12065" b="635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207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ECB65">
      <w:pPr>
        <w:snapToGrid w:val="0"/>
      </w:pPr>
    </w:p>
    <w:p w14:paraId="7D81F05F">
      <w:pPr>
        <w:snapToGrid w:val="0"/>
      </w:pPr>
    </w:p>
    <w:p w14:paraId="2CBB805A">
      <w:pPr>
        <w:snapToGrid w:val="0"/>
      </w:pPr>
    </w:p>
    <w:p w14:paraId="1D19DA1B">
      <w:pPr>
        <w:snapToGrid w:val="0"/>
      </w:pPr>
    </w:p>
    <w:p w14:paraId="640CA2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6、已注册用户，交易系统登录页面</w:t>
      </w:r>
      <w:r>
        <w:rPr>
          <w:rFonts w:hint="eastAsia"/>
        </w:rPr>
        <w:t>，如下图：</w:t>
      </w:r>
    </w:p>
    <w:p w14:paraId="6D7E7C3D">
      <w:pPr>
        <w:numPr>
          <w:ilvl w:val="0"/>
          <w:numId w:val="0"/>
        </w:numPr>
      </w:pPr>
      <w:r>
        <w:drawing>
          <wp:inline distT="0" distB="0" distL="114300" distR="114300">
            <wp:extent cx="5269865" cy="2548890"/>
            <wp:effectExtent l="0" t="0" r="6985" b="3810"/>
            <wp:docPr id="136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3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4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A400A">
      <w:pPr>
        <w:bidi w:val="0"/>
        <w:rPr>
          <w:rFonts w:hint="eastAsia"/>
        </w:rPr>
      </w:pPr>
      <w:r>
        <w:rPr>
          <w:rFonts w:hint="eastAsia"/>
          <w:lang w:val="en-US" w:eastAsia="zh-CN"/>
        </w:rPr>
        <w:t>7、</w:t>
      </w:r>
      <w:r>
        <w:rPr>
          <w:rFonts w:hint="eastAsia"/>
        </w:rPr>
        <w:t>输入用户名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密</w:t>
      </w:r>
      <w:r>
        <w:rPr>
          <w:rFonts w:hint="eastAsia"/>
        </w:rPr>
        <w:t>码</w:t>
      </w:r>
      <w:r>
        <w:rPr>
          <w:rFonts w:hint="eastAsia"/>
          <w:lang w:val="en-US" w:eastAsia="zh-CN"/>
        </w:rPr>
        <w:t>和验证码</w:t>
      </w:r>
      <w:r>
        <w:rPr>
          <w:rFonts w:hint="eastAsia"/>
        </w:rPr>
        <w:t>后，点击“</w:t>
      </w:r>
      <w:r>
        <w:rPr>
          <w:rFonts w:hint="eastAsia"/>
          <w:lang w:val="en-US" w:eastAsia="zh-CN"/>
        </w:rPr>
        <w:t>立即</w:t>
      </w:r>
      <w:r>
        <w:rPr>
          <w:rFonts w:hint="eastAsia"/>
        </w:rPr>
        <w:t>登录”按钮</w:t>
      </w:r>
      <w:r>
        <w:rPr>
          <w:rFonts w:hint="eastAsia"/>
          <w:lang w:eastAsia="zh-CN"/>
        </w:rPr>
        <w:t>，</w:t>
      </w:r>
      <w:r>
        <w:rPr>
          <w:rFonts w:hint="eastAsia"/>
        </w:rPr>
        <w:t>如下图：</w:t>
      </w:r>
    </w:p>
    <w:p w14:paraId="0A06B7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</w:pPr>
      <w:r>
        <w:drawing>
          <wp:inline distT="0" distB="0" distL="114300" distR="114300">
            <wp:extent cx="5267325" cy="2475865"/>
            <wp:effectExtent l="0" t="0" r="9525" b="635"/>
            <wp:docPr id="137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3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7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11456">
      <w:pPr>
        <w:numPr>
          <w:ilvl w:val="0"/>
          <w:numId w:val="0"/>
        </w:numPr>
        <w:bidi w:val="0"/>
        <w:ind w:firstLine="420" w:firstLineChars="200"/>
      </w:pPr>
      <w:r>
        <w:rPr>
          <w:rFonts w:hint="eastAsia"/>
          <w:lang w:val="en-US" w:eastAsia="zh-CN"/>
        </w:rPr>
        <w:t>8、</w:t>
      </w:r>
      <w:r>
        <w:rPr>
          <w:rFonts w:hint="eastAsia"/>
        </w:rPr>
        <w:t>登录后点击“</w:t>
      </w:r>
      <w:r>
        <w:rPr>
          <w:rFonts w:hint="eastAsia"/>
          <w:lang w:eastAsia="zh-CN"/>
        </w:rPr>
        <w:t>我的项目</w:t>
      </w:r>
      <w:r>
        <w:rPr>
          <w:rFonts w:hint="eastAsia"/>
        </w:rPr>
        <w:t>－</w:t>
      </w:r>
      <w:r>
        <w:rPr>
          <w:rFonts w:hint="eastAsia"/>
          <w:lang w:val="en-US" w:eastAsia="zh-CN"/>
        </w:rPr>
        <w:t>权益交易</w:t>
      </w:r>
      <w:r>
        <w:rPr>
          <w:rFonts w:hint="eastAsia"/>
        </w:rPr>
        <w:t>”</w:t>
      </w:r>
      <w:r>
        <w:rPr>
          <w:rFonts w:hint="eastAsia"/>
          <w:lang w:eastAsia="zh-CN"/>
        </w:rPr>
        <w:t>，找到需要</w:t>
      </w:r>
      <w:r>
        <w:rPr>
          <w:rFonts w:hint="eastAsia"/>
        </w:rPr>
        <w:t>竞价</w:t>
      </w:r>
      <w:r>
        <w:rPr>
          <w:rFonts w:hint="eastAsia"/>
          <w:lang w:eastAsia="zh-CN"/>
        </w:rPr>
        <w:t>的</w:t>
      </w:r>
      <w:r>
        <w:rPr>
          <w:rFonts w:hint="eastAsia"/>
          <w:lang w:val="en-US" w:eastAsia="zh-CN"/>
        </w:rPr>
        <w:t>标的进入竞价系统，</w:t>
      </w:r>
      <w:r>
        <w:rPr>
          <w:rFonts w:hint="eastAsia"/>
        </w:rPr>
        <w:t>如下图：</w:t>
      </w:r>
    </w:p>
    <w:p w14:paraId="43D01907">
      <w:r>
        <w:br w:type="page"/>
      </w:r>
    </w:p>
    <w:p w14:paraId="03660426">
      <w:pPr>
        <w:pStyle w:val="2"/>
        <w:rPr>
          <w:rFonts w:hint="default" w:ascii="宋体" w:hAnsi="宋体" w:eastAsia="宋体"/>
          <w:sz w:val="28"/>
          <w:szCs w:val="28"/>
          <w:lang w:val="en-US" w:eastAsia="zh-CN"/>
        </w:rPr>
      </w:pPr>
      <w:bookmarkStart w:id="3" w:name="_Toc26875"/>
      <w:bookmarkStart w:id="4" w:name="_Toc31847"/>
      <w:r>
        <w:rPr>
          <w:rFonts w:hint="eastAsia" w:ascii="宋体" w:hAnsi="宋体" w:eastAsia="宋体"/>
          <w:sz w:val="28"/>
          <w:szCs w:val="28"/>
          <w:lang w:val="en-US" w:eastAsia="zh-CN"/>
        </w:rPr>
        <w:t>产权项目报名</w:t>
      </w:r>
      <w:bookmarkEnd w:id="3"/>
      <w:bookmarkEnd w:id="4"/>
    </w:p>
    <w:p w14:paraId="64C6F594">
      <w:pPr>
        <w:pStyle w:val="3"/>
        <w:numPr>
          <w:ilvl w:val="1"/>
          <w:numId w:val="0"/>
        </w:numPr>
        <w:ind w:left="142" w:leftChars="0"/>
        <w:rPr>
          <w:rFonts w:hint="default" w:ascii="宋体" w:hAnsi="宋体" w:eastAsia="宋体"/>
          <w:sz w:val="24"/>
          <w:szCs w:val="24"/>
          <w:lang w:val="en-US" w:eastAsia="zh-CN"/>
        </w:rPr>
      </w:pPr>
      <w:bookmarkStart w:id="5" w:name="_Toc3695"/>
      <w:bookmarkStart w:id="6" w:name="_Toc22137"/>
      <w:r>
        <w:rPr>
          <w:rFonts w:hint="eastAsia" w:ascii="宋体" w:hAnsi="宋体" w:eastAsia="宋体"/>
          <w:sz w:val="24"/>
          <w:szCs w:val="24"/>
          <w:lang w:val="en-US" w:eastAsia="zh-CN"/>
        </w:rPr>
        <w:t>2</w:t>
      </w:r>
      <w:r>
        <w:rPr>
          <w:rFonts w:ascii="宋体" w:hAnsi="宋体" w:eastAsia="宋体"/>
          <w:sz w:val="24"/>
          <w:szCs w:val="24"/>
        </w:rPr>
        <w:t>.1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项目公告信息</w:t>
      </w:r>
      <w:bookmarkEnd w:id="5"/>
      <w:bookmarkEnd w:id="6"/>
    </w:p>
    <w:p w14:paraId="3203E7A6">
      <w:pPr>
        <w:snapToGrid w:val="0"/>
        <w:ind w:firstLine="420" w:firstLineChars="200"/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进入招标公告栏目，</w:t>
      </w:r>
      <w:r>
        <w:rPr>
          <w:rFonts w:hint="default" w:asciiTheme="minorEastAsia" w:hAnsiTheme="minorEastAsia" w:eastAsiaTheme="minorEastAsia" w:cstheme="minorEastAsia"/>
          <w:szCs w:val="21"/>
          <w:lang w:val="en-US" w:eastAsia="zh-CN"/>
        </w:rPr>
        <w:t>显示发布中的交易公告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，如下图：</w:t>
      </w:r>
    </w:p>
    <w:p w14:paraId="6A0B346C">
      <w:pPr>
        <w:numPr>
          <w:ilvl w:val="0"/>
          <w:numId w:val="0"/>
        </w:numPr>
        <w:snapToGrid w:val="0"/>
        <w:jc w:val="left"/>
      </w:pPr>
      <w:r>
        <w:drawing>
          <wp:inline distT="0" distB="0" distL="114300" distR="114300">
            <wp:extent cx="5271135" cy="2498725"/>
            <wp:effectExtent l="0" t="0" r="1905" b="635"/>
            <wp:docPr id="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9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99C02">
      <w:pPr>
        <w:numPr>
          <w:ilvl w:val="0"/>
          <w:numId w:val="0"/>
        </w:numPr>
        <w:snapToGrid w:val="0"/>
        <w:jc w:val="left"/>
      </w:pPr>
    </w:p>
    <w:p w14:paraId="3BEF5749">
      <w:pPr>
        <w:snapToGrid w:val="0"/>
        <w:ind w:firstLine="420" w:firstLineChars="200"/>
        <w:rPr>
          <w:rFonts w:hint="default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鼠标移动到项目上方箭头，自动显示公告详情、我要报名、点击收藏按钮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，如下图：</w:t>
      </w:r>
    </w:p>
    <w:p w14:paraId="5F0C0360">
      <w:pPr>
        <w:widowControl w:val="0"/>
        <w:numPr>
          <w:ilvl w:val="0"/>
          <w:numId w:val="0"/>
        </w:numPr>
        <w:snapToGrid w:val="0"/>
        <w:jc w:val="left"/>
      </w:pPr>
      <w:r>
        <w:drawing>
          <wp:inline distT="0" distB="0" distL="114300" distR="114300">
            <wp:extent cx="5271770" cy="1264920"/>
            <wp:effectExtent l="0" t="0" r="1270" b="0"/>
            <wp:docPr id="2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1807E">
      <w:pPr>
        <w:widowControl w:val="0"/>
        <w:numPr>
          <w:ilvl w:val="0"/>
          <w:numId w:val="0"/>
        </w:numPr>
        <w:snapToGrid w:val="0"/>
        <w:jc w:val="left"/>
      </w:pPr>
    </w:p>
    <w:p w14:paraId="6890DF00">
      <w:pPr>
        <w:snapToGrid w:val="0"/>
        <w:ind w:firstLine="420" w:firstLineChars="200"/>
        <w:rPr>
          <w:rFonts w:hint="default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点击公告详情可查看公告具体情况以及竞价时间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，如下图：</w:t>
      </w:r>
    </w:p>
    <w:p w14:paraId="4C57A33F">
      <w:pPr>
        <w:snapToGrid w:val="0"/>
      </w:pPr>
      <w:r>
        <w:drawing>
          <wp:inline distT="0" distB="0" distL="114300" distR="114300">
            <wp:extent cx="5266690" cy="2499360"/>
            <wp:effectExtent l="0" t="0" r="6350" b="0"/>
            <wp:docPr id="3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43869">
      <w:pPr>
        <w:snapToGrid w:val="0"/>
      </w:pPr>
    </w:p>
    <w:p w14:paraId="3B2F253F">
      <w:pPr>
        <w:snapToGrid w:val="0"/>
        <w:ind w:firstLine="420" w:firstLineChars="200"/>
        <w:rPr>
          <w:rFonts w:hint="default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4、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点击收藏，可在我的收藏里面看到该项目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，如下图：</w:t>
      </w:r>
    </w:p>
    <w:p w14:paraId="731BBB8D">
      <w:pPr>
        <w:snapToGrid w:val="0"/>
      </w:pPr>
      <w:r>
        <w:drawing>
          <wp:inline distT="0" distB="0" distL="114300" distR="114300">
            <wp:extent cx="5276215" cy="1512570"/>
            <wp:effectExtent l="0" t="0" r="12065" b="11430"/>
            <wp:docPr id="4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5A0FB">
      <w:pPr>
        <w:snapToGrid w:val="0"/>
      </w:pPr>
    </w:p>
    <w:p w14:paraId="20217DBD">
      <w:pPr>
        <w:pStyle w:val="3"/>
        <w:numPr>
          <w:ilvl w:val="1"/>
          <w:numId w:val="0"/>
        </w:numPr>
        <w:ind w:left="142" w:leftChars="0"/>
        <w:rPr>
          <w:rFonts w:hint="default" w:ascii="宋体" w:hAnsi="宋体" w:eastAsia="宋体"/>
          <w:sz w:val="24"/>
          <w:szCs w:val="24"/>
          <w:lang w:val="en-US" w:eastAsia="zh-CN"/>
        </w:rPr>
      </w:pPr>
      <w:bookmarkStart w:id="7" w:name="_Toc6736"/>
      <w:bookmarkStart w:id="8" w:name="_Toc31918"/>
      <w:r>
        <w:rPr>
          <w:rFonts w:hint="eastAsia" w:ascii="宋体" w:hAnsi="宋体" w:eastAsia="宋体"/>
          <w:sz w:val="24"/>
          <w:szCs w:val="24"/>
          <w:lang w:val="en-US" w:eastAsia="zh-CN"/>
        </w:rPr>
        <w:t>2</w:t>
      </w:r>
      <w:r>
        <w:rPr>
          <w:rFonts w:ascii="宋体" w:hAnsi="宋体" w:eastAsia="宋体"/>
          <w:sz w:val="24"/>
          <w:szCs w:val="24"/>
        </w:rPr>
        <w:t>.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2权益类项目报名</w:t>
      </w:r>
      <w:bookmarkEnd w:id="7"/>
      <w:bookmarkEnd w:id="8"/>
    </w:p>
    <w:p w14:paraId="28506411">
      <w:pPr>
        <w:snapToGrid w:val="0"/>
        <w:ind w:firstLine="420" w:firstLineChars="200"/>
        <w:rPr>
          <w:rFonts w:hint="default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点击我要报名，进入报名流程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，如下图：</w:t>
      </w:r>
    </w:p>
    <w:p w14:paraId="4770C3D8">
      <w:pPr>
        <w:snapToGrid w:val="0"/>
      </w:pPr>
      <w:r>
        <w:drawing>
          <wp:inline distT="0" distB="0" distL="114300" distR="114300">
            <wp:extent cx="5393055" cy="2324735"/>
            <wp:effectExtent l="0" t="0" r="1905" b="6985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93055" cy="232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A2DE5">
      <w:pPr>
        <w:snapToGrid w:val="0"/>
      </w:pPr>
    </w:p>
    <w:p w14:paraId="20CF4078">
      <w:pPr>
        <w:snapToGrid w:val="0"/>
        <w:ind w:firstLine="420" w:firstLineChars="200"/>
        <w:rPr>
          <w:rFonts w:hint="default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阅读投标报名须知</w:t>
      </w:r>
    </w:p>
    <w:p w14:paraId="5CAA0B84">
      <w:pPr>
        <w:snapToGrid w:val="0"/>
        <w:ind w:firstLine="420" w:firstLineChars="200"/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阅读投标须知后点击“同意”按钮，进入选择竞买方式页面，如下图：</w:t>
      </w:r>
    </w:p>
    <w:p w14:paraId="37967734">
      <w:pPr>
        <w:widowControl w:val="0"/>
        <w:numPr>
          <w:ilvl w:val="0"/>
          <w:numId w:val="0"/>
        </w:numPr>
        <w:snapToGrid w:val="0"/>
        <w:jc w:val="both"/>
        <w:rPr>
          <w:rFonts w:hint="default"/>
          <w:lang w:val="en-US" w:eastAsia="zh-CN"/>
        </w:rPr>
      </w:pPr>
    </w:p>
    <w:p w14:paraId="663218F8">
      <w:pPr>
        <w:widowControl w:val="0"/>
        <w:numPr>
          <w:ilvl w:val="0"/>
          <w:numId w:val="0"/>
        </w:numPr>
        <w:snapToGrid w:val="0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4977130" cy="2421255"/>
            <wp:effectExtent l="0" t="0" r="6350" b="1905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977130" cy="242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A8561">
      <w:pPr>
        <w:snapToGrid w:val="0"/>
        <w:ind w:firstLine="420" w:firstLineChars="200"/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</w:pPr>
    </w:p>
    <w:p w14:paraId="073F362C">
      <w:pPr>
        <w:snapToGrid w:val="0"/>
        <w:ind w:firstLine="420" w:firstLineChars="200"/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选择竞买方式</w:t>
      </w:r>
    </w:p>
    <w:p w14:paraId="498F582C">
      <w:pPr>
        <w:snapToGrid w:val="0"/>
        <w:ind w:firstLine="420" w:firstLineChars="200"/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共有两种选择：①单独申请，②联合申请</w:t>
      </w:r>
    </w:p>
    <w:p w14:paraId="39C9BC72">
      <w:pPr>
        <w:snapToGrid w:val="0"/>
        <w:ind w:firstLine="420" w:firstLineChars="200"/>
        <w:rPr>
          <w:rFonts w:hint="default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注：</w:t>
      </w:r>
      <w:r>
        <w:rPr>
          <w:rFonts w:hint="eastAsia" w:asciiTheme="minorEastAsia" w:hAnsiTheme="minorEastAsia" w:eastAsiaTheme="minorEastAsia" w:cstheme="minorEastAsia"/>
          <w:szCs w:val="21"/>
        </w:rPr>
        <w:t>目前联合体报名只做展示用，不影响业务逻辑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，添加的联合体单位仍可报名，系统不做限制</w:t>
      </w:r>
      <w:r>
        <w:rPr>
          <w:rFonts w:hint="eastAsia" w:asciiTheme="minorEastAsia" w:hAnsiTheme="minorEastAsia" w:cstheme="minorEastAsia"/>
          <w:szCs w:val="21"/>
          <w:lang w:eastAsia="zh-CN"/>
        </w:rPr>
        <w:t>，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如下图：</w:t>
      </w:r>
    </w:p>
    <w:p w14:paraId="4429A2BD">
      <w:pPr>
        <w:widowControl w:val="0"/>
        <w:numPr>
          <w:ilvl w:val="0"/>
          <w:numId w:val="0"/>
        </w:numPr>
        <w:snapToGrid w:val="0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9865" cy="1758315"/>
            <wp:effectExtent l="0" t="0" r="3175" b="9525"/>
            <wp:docPr id="4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75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FE57D">
      <w:pPr>
        <w:snapToGrid w:val="0"/>
      </w:pPr>
    </w:p>
    <w:p w14:paraId="4DF7E4B4">
      <w:pPr>
        <w:snapToGrid w:val="0"/>
        <w:ind w:firstLine="420" w:firstLineChars="200"/>
        <w:rPr>
          <w:rFonts w:hint="default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4、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申请人信息填写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，如下图：</w:t>
      </w:r>
    </w:p>
    <w:p w14:paraId="7C9A7EE1">
      <w:pPr>
        <w:widowControl w:val="0"/>
        <w:numPr>
          <w:ilvl w:val="0"/>
          <w:numId w:val="0"/>
        </w:numPr>
        <w:snapToGrid w:val="0"/>
        <w:jc w:val="both"/>
      </w:pPr>
      <w:r>
        <w:drawing>
          <wp:inline distT="0" distB="0" distL="114300" distR="114300">
            <wp:extent cx="5273040" cy="1654810"/>
            <wp:effectExtent l="0" t="0" r="0" b="6350"/>
            <wp:docPr id="4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CEAB1">
      <w:pPr>
        <w:widowControl w:val="0"/>
        <w:numPr>
          <w:ilvl w:val="0"/>
          <w:numId w:val="0"/>
        </w:numPr>
        <w:snapToGrid w:val="0"/>
        <w:jc w:val="both"/>
      </w:pPr>
    </w:p>
    <w:p w14:paraId="29F7A955">
      <w:pPr>
        <w:snapToGrid w:val="0"/>
        <w:ind w:firstLine="420" w:firstLineChars="200"/>
        <w:rPr>
          <w:rFonts w:hint="default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5、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填写竞买申请书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，如下图：</w:t>
      </w:r>
    </w:p>
    <w:p w14:paraId="2AB30FBB">
      <w:pPr>
        <w:snapToGrid w:val="0"/>
      </w:pPr>
    </w:p>
    <w:p w14:paraId="5D5532A0">
      <w:pPr>
        <w:snapToGrid w:val="0"/>
      </w:pPr>
      <w:r>
        <w:drawing>
          <wp:inline distT="0" distB="0" distL="114300" distR="114300">
            <wp:extent cx="5274945" cy="2436495"/>
            <wp:effectExtent l="0" t="0" r="13335" b="1905"/>
            <wp:docPr id="4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CC6C3">
      <w:pPr>
        <w:snapToGrid w:val="0"/>
      </w:pPr>
    </w:p>
    <w:p w14:paraId="74C62CDC">
      <w:pPr>
        <w:snapToGrid w:val="0"/>
        <w:ind w:firstLine="420" w:firstLineChars="200"/>
        <w:rPr>
          <w:rFonts w:hint="default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6、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上传报名材料，可上传各种文件格式，若不支持上传的文件可使用文件夹压缩上传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，如下图：</w:t>
      </w:r>
    </w:p>
    <w:p w14:paraId="71E69B68">
      <w:pPr>
        <w:snapToGrid w:val="0"/>
      </w:pPr>
      <w:r>
        <w:drawing>
          <wp:inline distT="0" distB="0" distL="114300" distR="114300">
            <wp:extent cx="5277485" cy="2469515"/>
            <wp:effectExtent l="0" t="0" r="10795" b="14605"/>
            <wp:docPr id="4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246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89EB9">
      <w:pPr>
        <w:snapToGrid w:val="0"/>
      </w:pPr>
    </w:p>
    <w:p w14:paraId="722BD377">
      <w:pPr>
        <w:snapToGrid w:val="0"/>
        <w:ind w:firstLine="420" w:firstLineChars="200"/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点击“申请”按钮，进入“选择交纳保证金银行”页面，如下图：</w:t>
      </w:r>
    </w:p>
    <w:p w14:paraId="25A836CB">
      <w:pPr>
        <w:snapToGrid w:val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7960" cy="2233295"/>
            <wp:effectExtent l="0" t="0" r="5080" b="6985"/>
            <wp:docPr id="4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23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02F27">
      <w:pPr>
        <w:snapToGrid w:val="0"/>
      </w:pPr>
    </w:p>
    <w:p w14:paraId="4E54CF4D">
      <w:pPr>
        <w:snapToGrid w:val="0"/>
        <w:ind w:firstLine="420" w:firstLineChars="200"/>
        <w:rPr>
          <w:rFonts w:hint="default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、选择银行，点击“生成子账号”按钮，进入获得保证金随机账号页面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，如下图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：</w:t>
      </w:r>
    </w:p>
    <w:p w14:paraId="1EF45411">
      <w:pPr>
        <w:widowControl w:val="0"/>
        <w:numPr>
          <w:ilvl w:val="0"/>
          <w:numId w:val="0"/>
        </w:numPr>
        <w:snapToGrid w:val="0"/>
        <w:jc w:val="both"/>
        <w:rPr>
          <w:rFonts w:hint="default"/>
          <w:lang w:val="en-US" w:eastAsia="zh-CN"/>
        </w:rPr>
      </w:pPr>
    </w:p>
    <w:p w14:paraId="297F8778">
      <w:pPr>
        <w:snapToGrid w:val="0"/>
      </w:pPr>
      <w:r>
        <w:drawing>
          <wp:inline distT="0" distB="0" distL="114300" distR="114300">
            <wp:extent cx="5269865" cy="2059940"/>
            <wp:effectExtent l="0" t="0" r="3175" b="12700"/>
            <wp:docPr id="5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6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05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5E94E">
      <w:pPr>
        <w:snapToGrid w:val="0"/>
        <w:rPr>
          <w:rFonts w:hint="eastAsia"/>
          <w:lang w:val="en-US" w:eastAsia="zh-CN"/>
        </w:rPr>
      </w:pPr>
    </w:p>
    <w:p w14:paraId="2CE4D2B3">
      <w:pPr>
        <w:snapToGrid w:val="0"/>
        <w:ind w:firstLine="420" w:firstLineChars="200"/>
        <w:rPr>
          <w:rFonts w:hint="default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9、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获得保证金随机账号，由于该项目设定需要资格审核，故保证金账号进行加密处理，只有等到招标代理（交易中心）对报名资格审核通过后，才显示出来。若无资格审核，则保证金账号会直接显示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，如下图：</w:t>
      </w:r>
    </w:p>
    <w:p w14:paraId="6E77564C">
      <w:pPr>
        <w:numPr>
          <w:ilvl w:val="0"/>
          <w:numId w:val="0"/>
        </w:numPr>
      </w:pPr>
      <w:r>
        <w:drawing>
          <wp:inline distT="0" distB="0" distL="114300" distR="114300">
            <wp:extent cx="5274945" cy="2498090"/>
            <wp:effectExtent l="0" t="0" r="13335" b="1270"/>
            <wp:docPr id="5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7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49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80658">
      <w:pPr>
        <w:numPr>
          <w:ilvl w:val="0"/>
          <w:numId w:val="0"/>
        </w:numPr>
      </w:pPr>
    </w:p>
    <w:p w14:paraId="6F8FD255">
      <w:pPr>
        <w:pStyle w:val="3"/>
      </w:pPr>
      <w:bookmarkStart w:id="9" w:name="_Toc21740"/>
      <w:bookmarkStart w:id="10" w:name="_Toc4847"/>
      <w:r>
        <w:rPr>
          <w:rFonts w:hint="eastAsia" w:ascii="宋体" w:hAnsi="宋体" w:eastAsia="宋体"/>
          <w:sz w:val="24"/>
          <w:szCs w:val="24"/>
          <w:lang w:val="en-US" w:eastAsia="zh-CN"/>
        </w:rPr>
        <w:t>保证金到账查询</w:t>
      </w:r>
      <w:bookmarkEnd w:id="9"/>
      <w:bookmarkEnd w:id="10"/>
    </w:p>
    <w:p w14:paraId="2C8CB677">
      <w:pPr>
        <w:snapToGrid w:val="0"/>
        <w:ind w:firstLine="420" w:firstLineChars="200"/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、点击“保证金查询”按钮，进入保证金查询页面（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Cs w:val="21"/>
          <w:lang w:val="en-US" w:eastAsia="zh-CN"/>
        </w:rPr>
        <w:t>转账保证金账号，须与基本信息用户保持一致）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，如下图：</w:t>
      </w:r>
    </w:p>
    <w:p w14:paraId="5A7FB462">
      <w:pPr>
        <w:numPr>
          <w:ilvl w:val="0"/>
          <w:numId w:val="0"/>
        </w:numPr>
      </w:pPr>
      <w:r>
        <w:drawing>
          <wp:inline distT="0" distB="0" distL="114300" distR="114300">
            <wp:extent cx="5265420" cy="2078990"/>
            <wp:effectExtent l="0" t="0" r="7620" b="8890"/>
            <wp:docPr id="5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1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07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21AA9">
      <w:pPr>
        <w:numPr>
          <w:ilvl w:val="0"/>
          <w:numId w:val="0"/>
        </w:numPr>
      </w:pPr>
    </w:p>
    <w:p w14:paraId="51B1A967">
      <w:pPr>
        <w:snapToGrid w:val="0"/>
        <w:ind w:firstLine="420" w:firstLineChars="200"/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保证金缴纳后，点击“查询”按钮，提示查询成功，保证金支付信息中显示支付记录，保证金缴纳成功，如下图：</w:t>
      </w:r>
    </w:p>
    <w:p w14:paraId="368E1A2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right="0" w:rightChars="0"/>
        <w:jc w:val="both"/>
      </w:pPr>
      <w:r>
        <w:drawing>
          <wp:inline distT="0" distB="0" distL="114300" distR="114300">
            <wp:extent cx="5265420" cy="1656080"/>
            <wp:effectExtent l="0" t="0" r="7620" b="5080"/>
            <wp:docPr id="5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6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F8B22">
      <w:pPr>
        <w:snapToGrid w:val="0"/>
        <w:ind w:firstLine="420" w:firstLineChars="200"/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注：需线下缴纳保证金后，点击“查询”按钮才会有效。</w:t>
      </w:r>
    </w:p>
    <w:p w14:paraId="4A4D1D3F">
      <w:pPr>
        <w:snapToGrid w:val="0"/>
        <w:ind w:firstLine="420" w:firstLineChars="200"/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</w:pPr>
    </w:p>
    <w:p w14:paraId="498A13C1">
      <w:pPr>
        <w:snapToGrid w:val="0"/>
        <w:ind w:firstLine="420" w:firstLineChars="200"/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、关闭保证金查询页面，回到获得保证金随机账号页面，点击“资格确认书”按钮，正常弹出资格确认书，报名成功，如下图：</w:t>
      </w:r>
    </w:p>
    <w:p w14:paraId="18BBFD8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right="0" w:rightChars="0"/>
        <w:jc w:val="both"/>
      </w:pPr>
      <w:r>
        <w:drawing>
          <wp:inline distT="0" distB="0" distL="114300" distR="114300">
            <wp:extent cx="5265420" cy="2658110"/>
            <wp:effectExtent l="0" t="0" r="7620" b="8890"/>
            <wp:docPr id="5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1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C9841">
      <w:pPr>
        <w:snapToGrid w:val="0"/>
        <w:ind w:firstLine="420" w:firstLineChars="200"/>
        <w:rPr>
          <w:rFonts w:hint="default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注：竞买人缴纳保证金并且保证金查询成功后，才会正常弹出资格确认书，否则会有提示。</w:t>
      </w:r>
    </w:p>
    <w:p w14:paraId="6EE215DE">
      <w:pPr>
        <w:rPr>
          <w:rFonts w:hint="eastAsia"/>
          <w:lang w:val="en-US" w:eastAsia="zh-CN"/>
        </w:rPr>
      </w:pPr>
    </w:p>
    <w:p w14:paraId="4EFD22AB">
      <w:pPr>
        <w:pStyle w:val="2"/>
        <w:rPr>
          <w:rFonts w:hint="eastAsia"/>
          <w:lang w:val="en-US" w:eastAsia="zh-CN"/>
        </w:rPr>
      </w:pPr>
      <w:bookmarkStart w:id="11" w:name="_Toc30401"/>
      <w:r>
        <w:rPr>
          <w:rFonts w:hint="eastAsia"/>
        </w:rPr>
        <w:t>产权交易</w:t>
      </w:r>
      <w:r>
        <w:rPr>
          <w:rFonts w:hint="eastAsia"/>
          <w:lang w:val="en-US" w:eastAsia="zh-CN"/>
        </w:rPr>
        <w:t>电子竞价系统报价</w:t>
      </w:r>
      <w:bookmarkEnd w:id="11"/>
    </w:p>
    <w:p w14:paraId="557393BF">
      <w:pPr>
        <w:pStyle w:val="4"/>
        <w:numPr>
          <w:ilvl w:val="2"/>
          <w:numId w:val="0"/>
        </w:numPr>
        <w:ind w:left="142" w:leftChars="0"/>
        <w:rPr>
          <w:rFonts w:hint="eastAsia"/>
          <w:lang w:eastAsia="zh-CN"/>
        </w:rPr>
      </w:pPr>
      <w:bookmarkStart w:id="12" w:name="_Toc21500"/>
      <w:r>
        <w:rPr>
          <w:rFonts w:hint="eastAsia"/>
          <w:lang w:val="en-US" w:eastAsia="zh-CN"/>
        </w:rPr>
        <w:t>2.1</w:t>
      </w:r>
      <w:r>
        <w:rPr>
          <w:rFonts w:hint="eastAsia"/>
          <w:lang w:eastAsia="zh-CN"/>
        </w:rPr>
        <w:t>我要报价</w:t>
      </w:r>
      <w:bookmarkEnd w:id="12"/>
    </w:p>
    <w:p w14:paraId="70A7C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/>
        <w:textAlignment w:val="auto"/>
        <w:outlineLvl w:val="9"/>
        <w:rPr>
          <w:rFonts w:ascii="宋体" w:hAnsi="宋体"/>
        </w:rPr>
      </w:pPr>
      <w:r>
        <w:rPr>
          <w:rFonts w:ascii="宋体" w:hAnsi="宋体"/>
          <w:b/>
        </w:rPr>
        <w:t>前提条件：</w:t>
      </w:r>
      <w:r>
        <w:rPr>
          <w:rFonts w:hint="eastAsia" w:ascii="宋体" w:hAnsi="宋体"/>
          <w:b w:val="0"/>
          <w:bCs/>
          <w:lang w:eastAsia="zh-CN"/>
        </w:rPr>
        <w:t>已报名成功，且</w:t>
      </w:r>
      <w:r>
        <w:rPr>
          <w:rFonts w:hint="eastAsia" w:ascii="宋体" w:hAnsi="宋体"/>
          <w:b w:val="0"/>
          <w:bCs/>
          <w:lang w:val="en-US" w:eastAsia="zh-CN"/>
        </w:rPr>
        <w:t>代理（交易中心）</w:t>
      </w:r>
      <w:r>
        <w:rPr>
          <w:rFonts w:hint="eastAsia" w:ascii="宋体" w:hAnsi="宋体"/>
          <w:b w:val="0"/>
          <w:bCs/>
          <w:lang w:eastAsia="zh-CN"/>
        </w:rPr>
        <w:t>已设置过竞价规则。</w:t>
      </w:r>
    </w:p>
    <w:p w14:paraId="464B2F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/>
        <w:textAlignment w:val="auto"/>
        <w:outlineLvl w:val="9"/>
        <w:rPr>
          <w:rFonts w:hint="eastAsia" w:ascii="宋体" w:hAnsi="宋体" w:eastAsia="宋体"/>
          <w:lang w:eastAsia="zh-CN"/>
        </w:rPr>
      </w:pPr>
      <w:r>
        <w:rPr>
          <w:b/>
        </w:rPr>
        <w:t>基本功能</w:t>
      </w:r>
      <w:r>
        <w:rPr>
          <w:rFonts w:ascii="宋体" w:hAnsi="宋体"/>
          <w:b/>
        </w:rPr>
        <w:t>：</w:t>
      </w:r>
      <w:r>
        <w:rPr>
          <w:rFonts w:hint="eastAsia" w:ascii="宋体" w:hAnsi="宋体"/>
          <w:bCs/>
        </w:rPr>
        <w:t>对标的进行竞价</w:t>
      </w:r>
      <w:r>
        <w:rPr>
          <w:rFonts w:hint="eastAsia" w:ascii="宋体" w:hAnsi="宋体"/>
          <w:bCs/>
          <w:lang w:eastAsia="zh-CN"/>
        </w:rPr>
        <w:t>。</w:t>
      </w:r>
    </w:p>
    <w:p w14:paraId="72796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/>
        <w:textAlignment w:val="auto"/>
        <w:outlineLvl w:val="9"/>
      </w:pPr>
      <w:r>
        <w:rPr>
          <w:rFonts w:ascii="宋体" w:hAnsi="宋体"/>
          <w:b/>
        </w:rPr>
        <w:t>操作步骤：</w:t>
      </w:r>
    </w:p>
    <w:p w14:paraId="002AB5FC">
      <w:pPr>
        <w:bidi w:val="0"/>
        <w:ind w:left="0" w:leftChars="0"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1、“我的项目”页面，找到要竞价的标的，点击“我要报价”按钮，进入竞价系统，如下图：</w:t>
      </w:r>
    </w:p>
    <w:p w14:paraId="23C2846D">
      <w:pPr>
        <w:numPr>
          <w:ilvl w:val="0"/>
          <w:numId w:val="0"/>
        </w:numPr>
      </w:pPr>
      <w:r>
        <w:drawing>
          <wp:inline distT="0" distB="0" distL="114300" distR="114300">
            <wp:extent cx="5012055" cy="1845945"/>
            <wp:effectExtent l="0" t="0" r="4445" b="8255"/>
            <wp:docPr id="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012055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1CC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outlineLvl w:val="9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注：未设置竞价规则前，此处显示为“查看报名”；设置完竞价规则，且竞价未结束，此处显示为“我要报价”；竞价结束后，此处显示为“报价历史”。</w:t>
      </w:r>
    </w:p>
    <w:p w14:paraId="29B6B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outlineLvl w:val="9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3748EEB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20" w:firstLineChars="200"/>
        <w:jc w:val="both"/>
        <w:textAlignment w:val="auto"/>
        <w:outlineLvl w:val="9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2、</w:t>
      </w:r>
      <w:bookmarkStart w:id="13" w:name="_Toc536776519"/>
      <w:bookmarkStart w:id="14" w:name="_Toc536776743"/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认真查看电子竞价风险告知及接受确认书</w:t>
      </w:r>
      <w:bookmarkEnd w:id="13"/>
      <w:bookmarkEnd w:id="14"/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，并勾选【我已看过】，点击【同意】，如下图；</w:t>
      </w:r>
    </w:p>
    <w:p w14:paraId="7DFE0CCB">
      <w:pPr>
        <w:ind w:firstLine="0" w:firstLineChars="0"/>
      </w:pPr>
      <w:r>
        <w:drawing>
          <wp:inline distT="0" distB="0" distL="114300" distR="114300">
            <wp:extent cx="4788535" cy="2877185"/>
            <wp:effectExtent l="0" t="0" r="12065" b="5715"/>
            <wp:docPr id="4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25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788535" cy="287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990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</w:rPr>
      </w:pPr>
      <w:r>
        <w:rPr>
          <w:rFonts w:hint="eastAsia"/>
          <w:lang w:val="en-US" w:eastAsia="zh-CN"/>
        </w:rPr>
        <w:t>3、</w:t>
      </w:r>
      <w:r>
        <w:rPr>
          <w:rFonts w:hint="eastAsia"/>
        </w:rPr>
        <w:t>点击“同意”按钮，进入</w:t>
      </w:r>
      <w:r>
        <w:rPr>
          <w:rFonts w:hint="eastAsia"/>
          <w:lang w:eastAsia="zh-CN"/>
        </w:rPr>
        <w:t>加价</w:t>
      </w:r>
      <w:r>
        <w:rPr>
          <w:rFonts w:hint="eastAsia"/>
        </w:rPr>
        <w:t>竞价页面，如下图：</w:t>
      </w:r>
    </w:p>
    <w:p w14:paraId="5CBF29A6">
      <w:pPr>
        <w:ind w:firstLine="0" w:firstLineChars="0"/>
      </w:pPr>
      <w:r>
        <w:drawing>
          <wp:inline distT="0" distB="0" distL="114300" distR="114300">
            <wp:extent cx="5277485" cy="3272790"/>
            <wp:effectExtent l="0" t="0" r="10795" b="381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327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DEE5F">
      <w:pPr>
        <w:bidi w:val="0"/>
        <w:ind w:left="0" w:leftChars="0" w:firstLine="420" w:firstLineChars="200"/>
      </w:pPr>
      <w:r>
        <w:rPr>
          <w:rFonts w:hint="eastAsia"/>
        </w:rPr>
        <w:t>4、</w:t>
      </w:r>
      <w:r>
        <w:rPr>
          <w:rFonts w:hint="eastAsia"/>
          <w:lang w:eastAsia="zh-CN"/>
        </w:rPr>
        <w:t>直接点击“快速报价”，或</w:t>
      </w:r>
      <w:r>
        <w:rPr>
          <w:rFonts w:hint="eastAsia"/>
        </w:rPr>
        <w:t>选择“</w:t>
      </w:r>
      <w:r>
        <w:rPr>
          <w:rFonts w:hint="eastAsia"/>
          <w:lang w:val="en-US" w:eastAsia="zh-CN"/>
        </w:rPr>
        <w:t>加价幅度的</w:t>
      </w:r>
      <w:r>
        <w:rPr>
          <w:rFonts w:hint="eastAsia"/>
        </w:rPr>
        <w:t>倍数”，点击“</w:t>
      </w:r>
      <w:r>
        <w:rPr>
          <w:rFonts w:hint="eastAsia"/>
          <w:lang w:val="en-US" w:eastAsia="zh-CN"/>
        </w:rPr>
        <w:t>提交</w:t>
      </w:r>
      <w:r>
        <w:rPr>
          <w:rFonts w:hint="eastAsia"/>
        </w:rPr>
        <w:t>报价”按钮，会弹出询问对话框，如下图：</w:t>
      </w:r>
      <w:r>
        <w:drawing>
          <wp:inline distT="0" distB="0" distL="114300" distR="114300">
            <wp:extent cx="5271770" cy="2984500"/>
            <wp:effectExtent l="0" t="0" r="1270" b="254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D8B96">
      <w:pPr>
        <w:ind w:firstLine="0" w:firstLineChars="0"/>
      </w:pPr>
    </w:p>
    <w:p w14:paraId="22854681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</w:t>
      </w:r>
    </w:p>
    <w:p w14:paraId="6D5F6A7B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①</w:t>
      </w:r>
      <w:r>
        <w:rPr>
          <w:rFonts w:hint="eastAsia"/>
          <w:lang w:val="en-US" w:eastAsia="zh-CN"/>
        </w:rPr>
        <w:t>“快速报价”直接以当前报价+一倍竞价阶梯的价格报价，“提交报价”是先选择了加价幅度倍数后，提交报价（报价价格为当前最价格+加价幅度倍数）。</w:t>
      </w:r>
    </w:p>
    <w:p w14:paraId="7C0A9D2C">
      <w:pPr>
        <w:ind w:firstLine="420" w:firstLineChars="200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②</w:t>
      </w:r>
      <w:r>
        <w:rPr>
          <w:rFonts w:hint="eastAsia"/>
          <w:lang w:val="en-US" w:eastAsia="zh-CN"/>
        </w:rPr>
        <w:t>设置的竞价规则中如果允许起始价报价，竞价系统中才会展示“起始价”按钮。</w:t>
      </w:r>
    </w:p>
    <w:p w14:paraId="76EBD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outlineLvl w:val="9"/>
      </w:pPr>
      <w:r>
        <w:rPr>
          <w:rFonts w:hint="eastAsia"/>
          <w:lang w:val="en-US" w:eastAsia="zh-CN"/>
        </w:rPr>
        <w:t>5</w:t>
      </w:r>
      <w:r>
        <w:rPr>
          <w:rFonts w:hint="eastAsia"/>
        </w:rPr>
        <w:t>、点击“确定”按钮，完成报价操作，此时“</w:t>
      </w:r>
      <w:r>
        <w:rPr>
          <w:rFonts w:hint="eastAsia"/>
          <w:lang w:eastAsia="zh-CN"/>
        </w:rPr>
        <w:t>当前最高价</w:t>
      </w:r>
      <w:r>
        <w:rPr>
          <w:rFonts w:hint="eastAsia"/>
        </w:rPr>
        <w:t>”显示我的报价</w:t>
      </w:r>
      <w:r>
        <w:rPr>
          <w:rFonts w:hint="eastAsia"/>
          <w:lang w:eastAsia="zh-CN"/>
        </w:rPr>
        <w:t>，“当前最高竞买人”我的竞买编号</w:t>
      </w:r>
      <w:r>
        <w:rPr>
          <w:rFonts w:hint="eastAsia"/>
        </w:rPr>
        <w:t>。如下图：</w:t>
      </w:r>
    </w:p>
    <w:p w14:paraId="3F36FDF8">
      <w:pPr>
        <w:ind w:firstLine="0" w:firstLineChars="0"/>
        <w:rPr>
          <w:rFonts w:hint="eastAsia"/>
        </w:rPr>
      </w:pPr>
      <w:r>
        <w:drawing>
          <wp:inline distT="0" distB="0" distL="114300" distR="114300">
            <wp:extent cx="5271770" cy="3098165"/>
            <wp:effectExtent l="0" t="0" r="1270" b="10795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09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3E6E4">
      <w:pPr>
        <w:ind w:firstLine="0" w:firstLineChars="0"/>
      </w:pPr>
    </w:p>
    <w:p w14:paraId="2956B03C">
      <w:pPr>
        <w:ind w:firstLine="0" w:firstLineChars="0"/>
      </w:pPr>
    </w:p>
    <w:p w14:paraId="30AB13B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outlineLvl w:val="9"/>
      </w:pPr>
      <w:r>
        <w:rPr>
          <w:rFonts w:hint="eastAsia"/>
        </w:rPr>
        <w:t>如果竞价人有“优先权”且当前最高报价不是本人的话，可以行使优先权，点击“行使优先权”按钮，弹出询问对话框，如下图：</w:t>
      </w:r>
      <w:r>
        <w:drawing>
          <wp:inline distT="0" distB="0" distL="114300" distR="114300">
            <wp:extent cx="5272405" cy="2635250"/>
            <wp:effectExtent l="0" t="0" r="635" b="1270"/>
            <wp:docPr id="2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8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3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4945" cy="2731770"/>
            <wp:effectExtent l="0" t="0" r="13335" b="11430"/>
            <wp:docPr id="2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9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73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B56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outlineLvl w:val="9"/>
        <w:rPr>
          <w:rFonts w:hint="eastAsia"/>
        </w:rPr>
      </w:pPr>
      <w:r>
        <w:rPr>
          <w:rFonts w:hint="eastAsia"/>
        </w:rPr>
        <w:t>点击确定，完成行使优先权，当前最高</w:t>
      </w:r>
      <w:r>
        <w:rPr>
          <w:rFonts w:hint="eastAsia" w:eastAsia="思源宋体 CN ExtraLight"/>
          <w:lang w:eastAsia="zh-CN"/>
        </w:rPr>
        <w:t>竞买人</w:t>
      </w:r>
      <w:r>
        <w:rPr>
          <w:rFonts w:hint="eastAsia"/>
        </w:rPr>
        <w:t>变为本人</w:t>
      </w:r>
      <w:r>
        <w:rPr>
          <w:rFonts w:hint="eastAsia" w:eastAsia="思源宋体 CN ExtraLight"/>
          <w:lang w:eastAsia="zh-CN"/>
        </w:rPr>
        <w:t>，当前最高价格不变</w:t>
      </w:r>
      <w:r>
        <w:rPr>
          <w:rFonts w:hint="eastAsia"/>
        </w:rPr>
        <w:t>。</w:t>
      </w:r>
    </w:p>
    <w:p w14:paraId="3741F72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outlineLvl w:val="9"/>
      </w:pPr>
      <w:r>
        <w:rPr>
          <w:rFonts w:hint="eastAsia"/>
        </w:rPr>
        <w:t>点击</w:t>
      </w:r>
      <w:r>
        <w:rPr>
          <w:rFonts w:hint="eastAsia"/>
          <w:lang w:eastAsia="zh-CN"/>
        </w:rPr>
        <w:t>报价</w:t>
      </w:r>
      <w:r>
        <w:rPr>
          <w:rFonts w:hint="eastAsia"/>
        </w:rPr>
        <w:t>记录</w:t>
      </w:r>
      <w:r>
        <w:rPr>
          <w:rFonts w:hint="eastAsia"/>
          <w:lang w:eastAsia="zh-CN"/>
        </w:rPr>
        <w:t>菜单</w:t>
      </w:r>
      <w:r>
        <w:rPr>
          <w:rFonts w:hint="eastAsia"/>
        </w:rPr>
        <w:t>按钮，可以查看全部的报价记录，如下图：</w:t>
      </w:r>
    </w:p>
    <w:p w14:paraId="639C07CC">
      <w:pPr>
        <w:ind w:firstLine="0" w:firstLineChars="0"/>
      </w:pPr>
      <w:r>
        <w:drawing>
          <wp:inline distT="0" distB="0" distL="114300" distR="114300">
            <wp:extent cx="5269865" cy="3272155"/>
            <wp:effectExtent l="0" t="0" r="3175" b="4445"/>
            <wp:docPr id="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27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F6D8F">
      <w:pPr>
        <w:ind w:firstLine="0" w:firstLineChars="0"/>
        <w:rPr>
          <w:rFonts w:hint="eastAsia"/>
          <w:lang w:val="en-US" w:eastAsia="zh-CN"/>
        </w:rPr>
      </w:pPr>
    </w:p>
    <w:p w14:paraId="0C2794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8、</w:t>
      </w:r>
      <w:r>
        <w:rPr>
          <w:rFonts w:hint="eastAsia"/>
        </w:rPr>
        <w:t>点击</w:t>
      </w:r>
      <w:r>
        <w:rPr>
          <w:rFonts w:hint="eastAsia"/>
          <w:lang w:eastAsia="zh-CN"/>
        </w:rPr>
        <w:t>系统消息记录</w:t>
      </w:r>
      <w:r>
        <w:rPr>
          <w:rFonts w:hint="eastAsia"/>
        </w:rPr>
        <w:t>按钮，可以查看全部的</w:t>
      </w:r>
      <w:r>
        <w:rPr>
          <w:rFonts w:hint="eastAsia"/>
          <w:lang w:eastAsia="zh-CN"/>
        </w:rPr>
        <w:t>系统消息</w:t>
      </w:r>
      <w:r>
        <w:rPr>
          <w:rFonts w:hint="eastAsia"/>
        </w:rPr>
        <w:t>记录</w:t>
      </w:r>
      <w:r>
        <w:rPr>
          <w:rFonts w:hint="eastAsia"/>
          <w:lang w:eastAsia="zh-CN"/>
        </w:rPr>
        <w:t>（包括广播信息，及系统竞价提示信息）</w:t>
      </w:r>
      <w:r>
        <w:rPr>
          <w:rFonts w:hint="eastAsia"/>
        </w:rPr>
        <w:t>，如下图：</w:t>
      </w:r>
    </w:p>
    <w:p w14:paraId="696E372A">
      <w:pPr>
        <w:numPr>
          <w:ilvl w:val="0"/>
          <w:numId w:val="0"/>
        </w:numPr>
        <w:ind w:left="420" w:hanging="420" w:hangingChars="200"/>
      </w:pPr>
      <w:r>
        <w:drawing>
          <wp:inline distT="0" distB="0" distL="114300" distR="114300">
            <wp:extent cx="5276850" cy="3421380"/>
            <wp:effectExtent l="0" t="0" r="11430" b="7620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DFA1D">
      <w:pPr>
        <w:numPr>
          <w:ilvl w:val="0"/>
          <w:numId w:val="0"/>
        </w:numPr>
        <w:ind w:left="420" w:hanging="420" w:hangingChars="200"/>
      </w:pPr>
    </w:p>
    <w:p w14:paraId="77A3108D">
      <w:pPr>
        <w:numPr>
          <w:ilvl w:val="0"/>
          <w:numId w:val="0"/>
        </w:numPr>
        <w:ind w:left="420" w:leftChars="20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9、点击左上角切换图标，可以进入竞价项目切换列表页面，点击列表页面中的“切换”</w:t>
      </w:r>
    </w:p>
    <w:p w14:paraId="1F27841B">
      <w:pPr>
        <w:numPr>
          <w:ilvl w:val="0"/>
          <w:numId w:val="0"/>
        </w:numPr>
        <w:ind w:left="420" w:hanging="420" w:hanging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按钮，可以进入对应标的的竞价页面，如下图：</w:t>
      </w:r>
    </w:p>
    <w:p w14:paraId="10678FE5">
      <w:pPr>
        <w:numPr>
          <w:ilvl w:val="0"/>
          <w:numId w:val="0"/>
        </w:numPr>
      </w:pPr>
      <w:r>
        <w:drawing>
          <wp:inline distT="0" distB="0" distL="114300" distR="114300">
            <wp:extent cx="5276215" cy="3462655"/>
            <wp:effectExtent l="0" t="0" r="12065" b="12065"/>
            <wp:docPr id="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346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85319">
      <w:pPr>
        <w:numPr>
          <w:ilvl w:val="0"/>
          <w:numId w:val="0"/>
        </w:numPr>
        <w:rPr>
          <w:rFonts w:hint="default" w:eastAsia="宋体"/>
          <w:lang w:val="en-US" w:eastAsia="zh-CN"/>
        </w:rPr>
      </w:pPr>
      <w:r>
        <w:drawing>
          <wp:inline distT="0" distB="0" distL="114300" distR="114300">
            <wp:extent cx="5271135" cy="1815465"/>
            <wp:effectExtent l="0" t="0" r="5715" b="13335"/>
            <wp:docPr id="72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23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81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8D4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outlineLvl w:val="9"/>
      </w:pPr>
      <w:r>
        <w:rPr>
          <w:rFonts w:hint="eastAsia"/>
          <w:lang w:val="en-US" w:eastAsia="zh-CN"/>
        </w:rPr>
        <w:t>10</w:t>
      </w:r>
      <w:r>
        <w:rPr>
          <w:rFonts w:hint="eastAsia"/>
        </w:rPr>
        <w:t>、当正常竞价时间结束后进入</w:t>
      </w:r>
      <w:r>
        <w:rPr>
          <w:rFonts w:hint="eastAsia"/>
          <w:lang w:val="en-US" w:eastAsia="zh-CN"/>
        </w:rPr>
        <w:t>限时</w:t>
      </w:r>
      <w:r>
        <w:rPr>
          <w:rFonts w:hint="eastAsia"/>
        </w:rPr>
        <w:t>竞价时段，如下图：</w:t>
      </w:r>
      <w:r>
        <w:drawing>
          <wp:inline distT="0" distB="0" distL="114300" distR="114300">
            <wp:extent cx="5276850" cy="3422015"/>
            <wp:effectExtent l="0" t="0" r="11430" b="6985"/>
            <wp:docPr id="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42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157A5">
      <w:pPr>
        <w:ind w:firstLine="0" w:firstLineChars="0"/>
      </w:pPr>
    </w:p>
    <w:p w14:paraId="05EF4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36"/>
        <w:textAlignment w:val="auto"/>
        <w:outlineLvl w:val="9"/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pacing w:val="4"/>
          <w14:textFill>
            <w14:solidFill>
              <w14:schemeClr w14:val="tx1"/>
            </w14:solidFill>
          </w14:textFill>
        </w:rPr>
        <w:t>注：</w:t>
      </w:r>
      <w:r>
        <w:rPr>
          <w:rFonts w:hint="eastAsia"/>
          <w:color w:val="000000" w:themeColor="text1"/>
          <w:spacing w:val="4"/>
          <w:lang w:val="en-US" w:eastAsia="zh-CN"/>
          <w14:textFill>
            <w14:solidFill>
              <w14:schemeClr w14:val="tx1"/>
            </w14:solidFill>
          </w14:textFill>
        </w:rPr>
        <w:t>限时</w:t>
      </w:r>
      <w:r>
        <w:rPr>
          <w:rFonts w:hint="eastAsia"/>
          <w:color w:val="000000" w:themeColor="text1"/>
          <w:spacing w:val="4"/>
          <w14:textFill>
            <w14:solidFill>
              <w14:schemeClr w14:val="tx1"/>
            </w14:solidFill>
          </w14:textFill>
        </w:rPr>
        <w:t>竞价时段报价后，倒计时会重置。</w:t>
      </w:r>
    </w:p>
    <w:p w14:paraId="36E99B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</w:pPr>
      <w:r>
        <w:rPr>
          <w:rFonts w:hint="eastAsia"/>
          <w:lang w:val="en-US" w:eastAsia="zh-CN"/>
        </w:rPr>
        <w:t>11</w:t>
      </w:r>
      <w:r>
        <w:rPr>
          <w:rFonts w:hint="eastAsia"/>
        </w:rPr>
        <w:t>、倒计时结束后，</w:t>
      </w:r>
      <w:r>
        <w:rPr>
          <w:rFonts w:hint="eastAsia"/>
          <w:lang w:val="en-US" w:eastAsia="zh-CN"/>
        </w:rPr>
        <w:t>所有</w:t>
      </w:r>
      <w:r>
        <w:rPr>
          <w:rFonts w:hint="eastAsia"/>
        </w:rPr>
        <w:t>竞价人页面会显示成交，如下图：</w:t>
      </w:r>
    </w:p>
    <w:p w14:paraId="6BD83845">
      <w:pPr>
        <w:ind w:firstLine="0" w:firstLineChars="0"/>
      </w:pPr>
      <w:r>
        <w:drawing>
          <wp:inline distT="0" distB="0" distL="114300" distR="114300">
            <wp:extent cx="5274945" cy="3412490"/>
            <wp:effectExtent l="0" t="0" r="13335" b="1270"/>
            <wp:docPr id="2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6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341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22382">
      <w:pPr>
        <w:ind w:left="0" w:leftChars="0" w:firstLine="0" w:firstLineChars="0"/>
      </w:pPr>
    </w:p>
    <w:p w14:paraId="50AEBD24">
      <w:r>
        <w:br w:type="page"/>
      </w:r>
    </w:p>
    <w:p w14:paraId="3B994BB9">
      <w:pPr>
        <w:pStyle w:val="4"/>
        <w:numPr>
          <w:ilvl w:val="2"/>
          <w:numId w:val="0"/>
        </w:numPr>
        <w:ind w:left="142" w:leftChars="0"/>
        <w:rPr>
          <w:rFonts w:hint="eastAsia"/>
          <w:lang w:eastAsia="zh-CN"/>
        </w:rPr>
      </w:pPr>
      <w:bookmarkStart w:id="15" w:name="_Toc27876"/>
      <w:r>
        <w:rPr>
          <w:rFonts w:hint="eastAsia"/>
          <w:lang w:val="en-US" w:eastAsia="zh-CN"/>
        </w:rPr>
        <w:t>2.2</w:t>
      </w:r>
      <w:r>
        <w:rPr>
          <w:rFonts w:hint="eastAsia"/>
          <w:lang w:eastAsia="zh-CN"/>
        </w:rPr>
        <w:t>报价历史</w:t>
      </w:r>
      <w:bookmarkEnd w:id="15"/>
    </w:p>
    <w:p w14:paraId="0B5082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/>
        <w:textAlignment w:val="auto"/>
        <w:outlineLvl w:val="9"/>
        <w:rPr>
          <w:rFonts w:hint="eastAsia" w:ascii="宋体" w:hAnsi="宋体" w:eastAsia="宋体"/>
          <w:lang w:eastAsia="zh-CN"/>
        </w:rPr>
      </w:pPr>
      <w:r>
        <w:rPr>
          <w:rFonts w:ascii="宋体" w:hAnsi="宋体"/>
          <w:b/>
        </w:rPr>
        <w:t>前提条件：</w:t>
      </w:r>
      <w:r>
        <w:rPr>
          <w:rFonts w:hint="eastAsia" w:ascii="宋体" w:hAnsi="宋体"/>
          <w:b w:val="0"/>
          <w:bCs/>
          <w:lang w:eastAsia="zh-CN"/>
        </w:rPr>
        <w:t>竞价已结束。</w:t>
      </w:r>
    </w:p>
    <w:p w14:paraId="4369A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/>
        <w:textAlignment w:val="auto"/>
        <w:outlineLvl w:val="9"/>
        <w:rPr>
          <w:rFonts w:hint="eastAsia" w:ascii="宋体" w:hAnsi="宋体" w:eastAsia="宋体"/>
          <w:lang w:eastAsia="zh-CN"/>
        </w:rPr>
      </w:pPr>
      <w:r>
        <w:rPr>
          <w:b/>
        </w:rPr>
        <w:t>基本功能</w:t>
      </w:r>
      <w:r>
        <w:rPr>
          <w:rFonts w:ascii="宋体" w:hAnsi="宋体"/>
          <w:b/>
        </w:rPr>
        <w:t>：</w:t>
      </w:r>
      <w:r>
        <w:rPr>
          <w:rFonts w:hint="eastAsia"/>
        </w:rPr>
        <w:t>查看标的</w:t>
      </w:r>
      <w:r>
        <w:rPr>
          <w:rFonts w:hint="eastAsia"/>
          <w:lang w:eastAsia="zh-CN"/>
        </w:rPr>
        <w:t>报价历史记录。</w:t>
      </w:r>
    </w:p>
    <w:p w14:paraId="492F5D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/>
        <w:textAlignment w:val="auto"/>
        <w:outlineLvl w:val="9"/>
        <w:rPr>
          <w:b/>
          <w:bCs/>
        </w:rPr>
      </w:pPr>
      <w:r>
        <w:rPr>
          <w:rFonts w:ascii="宋体" w:hAnsi="宋体"/>
          <w:b/>
        </w:rPr>
        <w:t>操作步骤：</w:t>
      </w:r>
    </w:p>
    <w:p w14:paraId="6120FA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</w:pPr>
      <w:r>
        <w:rPr>
          <w:rFonts w:hint="eastAsia"/>
        </w:rPr>
        <w:t>1、</w:t>
      </w:r>
      <w:r>
        <w:rPr>
          <w:rFonts w:hint="eastAsia"/>
          <w:lang w:eastAsia="zh-CN"/>
        </w:rPr>
        <w:t>打开“我的项目</w:t>
      </w:r>
      <w:r>
        <w:rPr>
          <w:rFonts w:hint="eastAsia"/>
          <w:lang w:val="en-US" w:eastAsia="zh-CN"/>
        </w:rPr>
        <w:t>--权益交易</w:t>
      </w:r>
      <w:r>
        <w:rPr>
          <w:rFonts w:hint="eastAsia"/>
          <w:lang w:eastAsia="zh-CN"/>
        </w:rPr>
        <w:t>”，选择竞价已结束的标的</w:t>
      </w:r>
      <w:r>
        <w:rPr>
          <w:rFonts w:hint="eastAsia"/>
        </w:rPr>
        <w:t>，点击</w:t>
      </w:r>
      <w:r>
        <w:rPr>
          <w:rFonts w:hint="eastAsia"/>
          <w:lang w:eastAsia="zh-CN"/>
        </w:rPr>
        <w:t>“报价历史”，</w:t>
      </w:r>
      <w:r>
        <w:rPr>
          <w:rFonts w:hint="eastAsia"/>
        </w:rPr>
        <w:t>如下图：</w:t>
      </w:r>
    </w:p>
    <w:p w14:paraId="7CFA93B7">
      <w:pPr>
        <w:ind w:firstLine="0" w:firstLineChars="0"/>
      </w:pPr>
      <w:r>
        <w:drawing>
          <wp:inline distT="0" distB="0" distL="114300" distR="114300">
            <wp:extent cx="5267960" cy="1941195"/>
            <wp:effectExtent l="0" t="0" r="2540" b="1905"/>
            <wp:docPr id="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94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59862">
      <w:pPr>
        <w:ind w:firstLine="0" w:firstLineChars="0"/>
      </w:pPr>
    </w:p>
    <w:p w14:paraId="243912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</w:pPr>
      <w:r>
        <w:rPr>
          <w:rFonts w:hint="eastAsia"/>
        </w:rPr>
        <w:t>2、</w:t>
      </w:r>
      <w:r>
        <w:rPr>
          <w:rFonts w:hint="eastAsia"/>
          <w:lang w:val="en-US" w:eastAsia="zh-CN"/>
        </w:rPr>
        <w:t>进入</w:t>
      </w:r>
      <w:r>
        <w:rPr>
          <w:rFonts w:hint="eastAsia"/>
          <w:lang w:eastAsia="zh-CN"/>
        </w:rPr>
        <w:t>报价历史记录</w:t>
      </w:r>
      <w:r>
        <w:rPr>
          <w:rFonts w:hint="eastAsia"/>
        </w:rPr>
        <w:t>页面，如下图：</w:t>
      </w:r>
    </w:p>
    <w:p w14:paraId="4F1C4FC8">
      <w:pPr>
        <w:ind w:left="0" w:leftChars="0" w:firstLine="0" w:firstLineChars="0"/>
        <w:jc w:val="center"/>
      </w:pPr>
      <w:r>
        <w:drawing>
          <wp:inline distT="0" distB="0" distL="114300" distR="114300">
            <wp:extent cx="5267325" cy="2021840"/>
            <wp:effectExtent l="0" t="0" r="9525" b="16510"/>
            <wp:docPr id="141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38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02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2B6AB">
      <w:pPr>
        <w:ind w:left="0" w:leftChars="0" w:firstLine="0" w:firstLineChars="0"/>
        <w:jc w:val="center"/>
      </w:pPr>
    </w:p>
    <w:p w14:paraId="57768DD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7C84972E">
      <w:pPr>
        <w:pStyle w:val="4"/>
        <w:numPr>
          <w:ilvl w:val="2"/>
          <w:numId w:val="0"/>
        </w:numPr>
        <w:ind w:left="142" w:leftChars="0"/>
      </w:pPr>
      <w:bookmarkStart w:id="16" w:name="_Toc28758"/>
      <w:r>
        <w:rPr>
          <w:rFonts w:hint="eastAsia"/>
          <w:lang w:val="en-US" w:eastAsia="zh-CN"/>
        </w:rPr>
        <w:t>2.3</w:t>
      </w:r>
      <w:r>
        <w:rPr>
          <w:rFonts w:hint="eastAsia"/>
          <w:lang w:eastAsia="zh-CN"/>
        </w:rPr>
        <w:t>退出系统</w:t>
      </w:r>
      <w:bookmarkEnd w:id="16"/>
    </w:p>
    <w:p w14:paraId="66286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/>
        <w:textAlignment w:val="auto"/>
        <w:outlineLvl w:val="9"/>
        <w:rPr>
          <w:rFonts w:ascii="宋体" w:hAnsi="宋体"/>
        </w:rPr>
      </w:pPr>
      <w:r>
        <w:rPr>
          <w:rFonts w:ascii="宋体" w:hAnsi="宋体"/>
          <w:b/>
        </w:rPr>
        <w:t>前提条件：</w:t>
      </w:r>
      <w:r>
        <w:rPr>
          <w:rFonts w:ascii="宋体" w:hAnsi="宋体"/>
        </w:rPr>
        <w:t>无</w:t>
      </w:r>
    </w:p>
    <w:p w14:paraId="661708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/>
        <w:textAlignment w:val="auto"/>
        <w:outlineLvl w:val="9"/>
        <w:rPr>
          <w:rFonts w:ascii="宋体" w:hAnsi="宋体"/>
        </w:rPr>
      </w:pPr>
      <w:r>
        <w:rPr>
          <w:b/>
        </w:rPr>
        <w:t>基本功能</w:t>
      </w:r>
      <w:r>
        <w:rPr>
          <w:rFonts w:ascii="宋体" w:hAnsi="宋体"/>
          <w:b/>
        </w:rPr>
        <w:t>：</w:t>
      </w:r>
      <w:r>
        <w:rPr>
          <w:rFonts w:hint="eastAsia" w:ascii="宋体" w:hAnsi="宋体"/>
          <w:bCs/>
        </w:rPr>
        <w:t>退出系统</w:t>
      </w:r>
    </w:p>
    <w:p w14:paraId="4D1505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/>
        <w:textAlignment w:val="auto"/>
        <w:outlineLvl w:val="9"/>
        <w:rPr>
          <w:b/>
          <w:bCs/>
        </w:rPr>
      </w:pPr>
      <w:r>
        <w:rPr>
          <w:rFonts w:ascii="宋体" w:hAnsi="宋体"/>
          <w:b/>
        </w:rPr>
        <w:t>操作步骤：</w:t>
      </w:r>
    </w:p>
    <w:p w14:paraId="37A3A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</w:pPr>
      <w:r>
        <w:rPr>
          <w:rFonts w:hint="eastAsia"/>
        </w:rPr>
        <w:t>1、点击“</w:t>
      </w:r>
      <w:r>
        <w:rPr>
          <w:rFonts w:hint="eastAsia"/>
          <w:lang w:eastAsia="zh-CN"/>
        </w:rPr>
        <w:t>退出登录</w:t>
      </w:r>
      <w:r>
        <w:rPr>
          <w:rFonts w:hint="eastAsia"/>
        </w:rPr>
        <w:t>”按钮，弹出信息确认对话框，如下图：</w:t>
      </w:r>
    </w:p>
    <w:p w14:paraId="408793CA">
      <w:pPr>
        <w:ind w:firstLine="0" w:firstLineChars="0"/>
      </w:pPr>
      <w:r>
        <w:drawing>
          <wp:inline distT="0" distB="0" distL="114300" distR="114300">
            <wp:extent cx="5274945" cy="2226945"/>
            <wp:effectExtent l="0" t="0" r="8255" b="8255"/>
            <wp:docPr id="3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22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1951355"/>
            <wp:effectExtent l="0" t="0" r="1905" b="4445"/>
            <wp:docPr id="3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95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DC6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</w:pPr>
      <w:r>
        <w:rPr>
          <w:rFonts w:hint="eastAsia"/>
        </w:rPr>
        <w:t>2、点击</w:t>
      </w:r>
      <w:r>
        <w:rPr>
          <w:rFonts w:hint="eastAsia"/>
          <w:lang w:eastAsia="zh-CN"/>
        </w:rPr>
        <w:t>“确定”按钮</w:t>
      </w:r>
      <w:r>
        <w:rPr>
          <w:rFonts w:hint="eastAsia"/>
        </w:rPr>
        <w:t>，回到登录首页，如下图：</w:t>
      </w:r>
    </w:p>
    <w:p w14:paraId="7474DF36">
      <w:pPr>
        <w:ind w:left="0" w:leftChars="0" w:firstLine="0" w:firstLineChars="0"/>
      </w:pPr>
      <w:r>
        <w:drawing>
          <wp:inline distT="0" distB="0" distL="114300" distR="114300">
            <wp:extent cx="5274945" cy="2345690"/>
            <wp:effectExtent l="0" t="0" r="8255" b="3810"/>
            <wp:docPr id="4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34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11" w:type="first"/>
      <w:footerReference r:id="rId13" w:type="first"/>
      <w:footerReference r:id="rId12" w:type="default"/>
      <w:pgSz w:w="11906" w:h="16838"/>
      <w:pgMar w:top="1440" w:right="1797" w:bottom="1440" w:left="1797" w:header="454" w:footer="680" w:gutter="0"/>
      <w:pgNumType w:fmt="decimal"/>
      <w:cols w:space="720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思源宋体 CN ExtraLight">
    <w:altName w:val="宋体"/>
    <w:panose1 w:val="02020200000000000000"/>
    <w:charset w:val="86"/>
    <w:family w:val="auto"/>
    <w:pitch w:val="default"/>
    <w:sig w:usb0="00000000" w:usb1="00000000" w:usb2="00000016" w:usb3="00000000" w:csb0="60060107" w:csb1="00000000"/>
  </w:font>
  <w:font w:name="思源宋体 CN">
    <w:altName w:val="宋体"/>
    <w:panose1 w:val="02020400000000000000"/>
    <w:charset w:val="86"/>
    <w:family w:val="auto"/>
    <w:pitch w:val="default"/>
    <w:sig w:usb0="00000000" w:usb1="00000000" w:usb2="00000016" w:usb3="00000000" w:csb0="60060107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8EC93F">
    <w:pPr>
      <w:pStyle w:val="8"/>
      <w:pBdr>
        <w:top w:val="single" w:color="9BBB59" w:sz="24" w:space="5"/>
      </w:pBdr>
      <w:wordWrap/>
      <w:spacing w:line="240" w:lineRule="auto"/>
      <w:ind w:firstLine="360"/>
      <w:jc w:val="center"/>
      <w:rPr>
        <w:rFonts w:hint="eastAsia" w:ascii="思源宋体 CN ExtraLight" w:hAnsi="思源宋体 CN ExtraLight" w:eastAsia="思源宋体 CN ExtraLight" w:cs="思源宋体 CN ExtraLight"/>
        <w:lang w:val="en-US" w:eastAsia="zh-CN"/>
      </w:rPr>
    </w:pPr>
    <w:r>
      <w:rPr>
        <w:rFonts w:hint="eastAsia" w:ascii="思源宋体 CN ExtraLight" w:hAnsi="思源宋体 CN ExtraLight" w:eastAsia="思源宋体 CN ExtraLight" w:cs="思源宋体 CN ExtraLight"/>
        <w:lang w:val="zh-CN"/>
      </w:rPr>
      <w:t>国泰新点软件</w:t>
    </w:r>
    <w:r>
      <w:rPr>
        <w:rFonts w:hint="eastAsia" w:ascii="思源宋体 CN ExtraLight" w:hAnsi="思源宋体 CN ExtraLight" w:eastAsia="思源宋体 CN ExtraLight" w:cs="思源宋体 CN ExtraLight"/>
        <w:lang w:val="en-US" w:eastAsia="zh-CN"/>
      </w:rPr>
      <w:t>股份</w:t>
    </w:r>
    <w:r>
      <w:rPr>
        <w:rFonts w:hint="eastAsia" w:ascii="思源宋体 CN ExtraLight" w:hAnsi="思源宋体 CN ExtraLight" w:eastAsia="思源宋体 CN ExtraLight" w:cs="思源宋体 CN ExtraLight"/>
        <w:lang w:val="zh-CN"/>
      </w:rPr>
      <w:t>有限公司0512-58188000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7FFCD7">
    <w:pPr>
      <w:pStyle w:val="8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0B2229">
    <w:pPr>
      <w:pStyle w:val="8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EC9BA3">
    <w:pPr>
      <w:pStyle w:val="8"/>
      <w:pBdr>
        <w:top w:val="single" w:color="9BBB59" w:sz="24" w:space="5"/>
      </w:pBdr>
      <w:wordWrap/>
      <w:spacing w:line="240" w:lineRule="auto"/>
      <w:ind w:firstLine="360"/>
      <w:jc w:val="center"/>
      <w:rPr>
        <w:rFonts w:hint="eastAsia" w:ascii="思源宋体 CN ExtraLight" w:hAnsi="思源宋体 CN ExtraLight" w:eastAsia="思源宋体 CN ExtraLight" w:cs="思源宋体 CN ExtraLight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636C63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636C63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思源宋体 CN ExtraLight" w:hAnsi="思源宋体 CN ExtraLight" w:eastAsia="思源宋体 CN ExtraLight" w:cs="思源宋体 CN ExtraLight"/>
        <w:lang w:val="zh-CN"/>
      </w:rPr>
      <w:t>国泰新点软件</w:t>
    </w:r>
    <w:r>
      <w:rPr>
        <w:rFonts w:hint="eastAsia" w:ascii="思源宋体 CN ExtraLight" w:hAnsi="思源宋体 CN ExtraLight" w:eastAsia="思源宋体 CN ExtraLight" w:cs="思源宋体 CN ExtraLight"/>
        <w:lang w:val="en-US" w:eastAsia="zh-CN"/>
      </w:rPr>
      <w:t>股份</w:t>
    </w:r>
    <w:r>
      <w:rPr>
        <w:rFonts w:hint="eastAsia" w:ascii="思源宋体 CN ExtraLight" w:hAnsi="思源宋体 CN ExtraLight" w:eastAsia="思源宋体 CN ExtraLight" w:cs="思源宋体 CN ExtraLight"/>
        <w:lang w:val="zh-CN"/>
      </w:rPr>
      <w:t>有限公司0512-58188000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F86BCE">
    <w:pPr>
      <w:pStyle w:val="8"/>
      <w:pBdr>
        <w:top w:val="single" w:color="9BBB59" w:sz="24" w:space="5"/>
      </w:pBdr>
      <w:wordWrap/>
      <w:spacing w:line="240" w:lineRule="auto"/>
      <w:ind w:firstLine="360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09E340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09E340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思源宋体 CN ExtraLight" w:hAnsi="思源宋体 CN ExtraLight" w:eastAsia="思源宋体 CN ExtraLight" w:cs="思源宋体 CN ExtraLight"/>
        <w:lang w:val="zh-CN"/>
      </w:rPr>
      <w:t>国泰新点软件</w:t>
    </w:r>
    <w:r>
      <w:rPr>
        <w:rFonts w:hint="eastAsia" w:ascii="思源宋体 CN ExtraLight" w:hAnsi="思源宋体 CN ExtraLight" w:eastAsia="思源宋体 CN ExtraLight" w:cs="思源宋体 CN ExtraLight"/>
        <w:lang w:val="en-US" w:eastAsia="zh-CN"/>
      </w:rPr>
      <w:t>股份</w:t>
    </w:r>
    <w:r>
      <w:rPr>
        <w:rFonts w:hint="eastAsia" w:ascii="思源宋体 CN ExtraLight" w:hAnsi="思源宋体 CN ExtraLight" w:eastAsia="思源宋体 CN ExtraLight" w:cs="思源宋体 CN ExtraLight"/>
        <w:lang w:val="zh-CN"/>
      </w:rPr>
      <w:t>有限公司0512-58188000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BF6FA2">
    <w:pPr>
      <w:pStyle w:val="9"/>
      <w:pBdr>
        <w:bottom w:val="thickThinSmallGap" w:color="622423" w:sz="24" w:space="1"/>
      </w:pBdr>
      <w:spacing w:line="240" w:lineRule="auto"/>
      <w:ind w:firstLine="1080" w:firstLineChars="600"/>
      <w:jc w:val="left"/>
      <w:rPr>
        <w:rFonts w:hint="eastAsia" w:ascii="思源宋体 CN ExtraLight" w:hAnsi="思源宋体 CN ExtraLight" w:eastAsia="思源宋体 CN ExtraLight" w:cs="思源宋体 CN ExtraLight"/>
      </w:rPr>
    </w:pP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31750</wp:posOffset>
          </wp:positionH>
          <wp:positionV relativeFrom="paragraph">
            <wp:posOffset>15240</wp:posOffset>
          </wp:positionV>
          <wp:extent cx="548640" cy="142240"/>
          <wp:effectExtent l="0" t="0" r="10160" b="10160"/>
          <wp:wrapNone/>
          <wp:docPr id="1" name="图片 6" descr="E:\操作手册\产权图片\图片2.png图片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6" descr="E:\操作手册\产权图片\图片2.png图片2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8640" cy="142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宋体" w:hAnsi="宋体"/>
      </w:rPr>
      <w:t>产权交易电子竞价</w:t>
    </w:r>
    <w:r>
      <w:rPr>
        <w:rFonts w:hint="eastAsia" w:ascii="宋体" w:hAnsi="宋体"/>
        <w:lang w:val="en-US" w:eastAsia="zh-CN"/>
      </w:rPr>
      <w:t>系统</w:t>
    </w:r>
    <w:r>
      <w:rPr>
        <w:rFonts w:hint="eastAsia" w:ascii="Cambria" w:hAnsi="Cambria"/>
      </w:rPr>
      <w:t xml:space="preserve">操作手册     </w:t>
    </w:r>
    <w:r>
      <w:rPr>
        <w:rFonts w:hint="eastAsia" w:ascii="思源宋体 CN ExtraLight" w:hAnsi="思源宋体 CN ExtraLight" w:eastAsia="思源宋体 CN ExtraLight" w:cs="思源宋体 CN ExtraLight"/>
      </w:rPr>
      <w:t>CS-XM-CZSC</w:t>
    </w:r>
    <w:r>
      <w:rPr>
        <w:rFonts w:hint="eastAsia" w:ascii="思源宋体 CN ExtraLight" w:hAnsi="思源宋体 CN ExtraLight" w:eastAsia="思源宋体 CN ExtraLight" w:cs="思源宋体 CN ExtraLight"/>
        <w:color w:val="000000"/>
      </w:rPr>
      <w:t>张家港市2020060128-CQJY</w:t>
    </w:r>
    <w:r>
      <w:rPr>
        <w:rFonts w:hint="eastAsia" w:ascii="思源宋体 CN ExtraLight" w:hAnsi="思源宋体 CN ExtraLight" w:eastAsia="思源宋体 CN ExtraLight" w:cs="思源宋体 CN ExtraLight"/>
        <w:color w:val="000000"/>
        <w:lang w:val="en-US" w:eastAsia="zh-CN"/>
      </w:rPr>
      <w:t>71303</w:t>
    </w:r>
    <w:r>
      <w:rPr>
        <w:rFonts w:hint="eastAsia" w:ascii="思源宋体 CN ExtraLight" w:hAnsi="思源宋体 CN ExtraLight" w:eastAsia="思源宋体 CN ExtraLight" w:cs="思源宋体 CN ExtraLight"/>
        <w:color w:val="000000"/>
      </w:rPr>
      <w:t>0</w:t>
    </w:r>
    <w:r>
      <w:rPr>
        <w:rFonts w:hint="eastAsia" w:ascii="思源宋体 CN ExtraLight" w:hAnsi="思源宋体 CN ExtraLight" w:eastAsia="思源宋体 CN ExtraLight" w:cs="思源宋体 CN ExtraLight"/>
        <w:color w:val="000000"/>
        <w:lang w:val="en-US" w:eastAsia="zh-CN"/>
      </w:rPr>
      <w:t>4</w:t>
    </w:r>
    <w:r>
      <w:rPr>
        <w:rFonts w:hint="eastAsia" w:ascii="思源宋体 CN ExtraLight" w:hAnsi="思源宋体 CN ExtraLight" w:eastAsia="思源宋体 CN ExtraLight" w:cs="思源宋体 CN ExtraLight"/>
        <w:color w:val="000000"/>
      </w:rPr>
      <w:t xml:space="preserve">  </w:t>
    </w:r>
    <w:r>
      <w:rPr>
        <w:rFonts w:hint="eastAsia" w:ascii="思源宋体 CN ExtraLight" w:hAnsi="思源宋体 CN ExtraLight" w:eastAsia="思源宋体 CN ExtraLight" w:cs="思源宋体 CN ExtraLight"/>
      </w:rPr>
      <w:t>V1.0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6B5187">
    <w:pPr>
      <w:pStyle w:val="9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6AC1C9">
    <w:pPr>
      <w:pStyle w:val="9"/>
      <w:pBdr>
        <w:bottom w:val="none" w:color="auto" w:sz="0" w:space="0"/>
      </w:pBd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9B0784">
    <w:pPr>
      <w:pStyle w:val="9"/>
      <w:pBdr>
        <w:bottom w:val="thickThinSmallGap" w:color="622423" w:sz="24" w:space="1"/>
      </w:pBdr>
      <w:spacing w:line="240" w:lineRule="auto"/>
      <w:ind w:firstLine="1080" w:firstLineChars="600"/>
      <w:jc w:val="left"/>
      <w:rPr>
        <w:rFonts w:hint="eastAsia" w:ascii="思源宋体 CN ExtraLight" w:hAnsi="思源宋体 CN ExtraLight" w:eastAsia="思源宋体 CN ExtraLight" w:cs="思源宋体 CN ExtraLight"/>
      </w:rPr>
    </w:pPr>
    <w: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31750</wp:posOffset>
          </wp:positionH>
          <wp:positionV relativeFrom="paragraph">
            <wp:posOffset>15240</wp:posOffset>
          </wp:positionV>
          <wp:extent cx="548640" cy="142240"/>
          <wp:effectExtent l="0" t="0" r="10160" b="10160"/>
          <wp:wrapNone/>
          <wp:docPr id="21" name="图片 6" descr="E:\操作手册\产权图片\图片2.png图片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图片 6" descr="E:\操作手册\产权图片\图片2.png图片2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8640" cy="142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宋体" w:hAnsi="宋体"/>
      </w:rPr>
      <w:t>产权交易电子竞价</w:t>
    </w:r>
    <w:r>
      <w:rPr>
        <w:rFonts w:hint="eastAsia" w:ascii="宋体" w:hAnsi="宋体"/>
        <w:lang w:val="en-US" w:eastAsia="zh-CN"/>
      </w:rPr>
      <w:t>系统</w:t>
    </w:r>
    <w:r>
      <w:rPr>
        <w:rFonts w:hint="eastAsia" w:ascii="Cambria" w:hAnsi="Cambria"/>
      </w:rPr>
      <w:t xml:space="preserve">操作手册     </w:t>
    </w:r>
    <w:r>
      <w:rPr>
        <w:rFonts w:hint="eastAsia" w:ascii="思源宋体 CN ExtraLight" w:hAnsi="思源宋体 CN ExtraLight" w:eastAsia="思源宋体 CN ExtraLight" w:cs="思源宋体 CN ExtraLight"/>
      </w:rPr>
      <w:t>CS-XM-CZSC</w:t>
    </w:r>
    <w:r>
      <w:rPr>
        <w:rFonts w:hint="eastAsia" w:ascii="思源宋体 CN ExtraLight" w:hAnsi="思源宋体 CN ExtraLight" w:eastAsia="思源宋体 CN ExtraLight" w:cs="思源宋体 CN ExtraLight"/>
        <w:color w:val="000000"/>
      </w:rPr>
      <w:t>张家港市2020060128-CQJY</w:t>
    </w:r>
    <w:r>
      <w:rPr>
        <w:rFonts w:hint="eastAsia" w:ascii="思源宋体 CN ExtraLight" w:hAnsi="思源宋体 CN ExtraLight" w:eastAsia="思源宋体 CN ExtraLight" w:cs="思源宋体 CN ExtraLight"/>
        <w:color w:val="000000"/>
        <w:lang w:val="en-US" w:eastAsia="zh-CN"/>
      </w:rPr>
      <w:t>71303</w:t>
    </w:r>
    <w:r>
      <w:rPr>
        <w:rFonts w:hint="eastAsia" w:ascii="思源宋体 CN ExtraLight" w:hAnsi="思源宋体 CN ExtraLight" w:eastAsia="思源宋体 CN ExtraLight" w:cs="思源宋体 CN ExtraLight"/>
        <w:color w:val="000000"/>
      </w:rPr>
      <w:t>0</w:t>
    </w:r>
    <w:r>
      <w:rPr>
        <w:rFonts w:hint="eastAsia" w:ascii="思源宋体 CN ExtraLight" w:hAnsi="思源宋体 CN ExtraLight" w:eastAsia="思源宋体 CN ExtraLight" w:cs="思源宋体 CN ExtraLight"/>
        <w:color w:val="000000"/>
        <w:lang w:val="en-US" w:eastAsia="zh-CN"/>
      </w:rPr>
      <w:t>4</w:t>
    </w:r>
    <w:r>
      <w:rPr>
        <w:rFonts w:hint="eastAsia" w:ascii="思源宋体 CN ExtraLight" w:hAnsi="思源宋体 CN ExtraLight" w:eastAsia="思源宋体 CN ExtraLight" w:cs="思源宋体 CN ExtraLight"/>
        <w:color w:val="000000"/>
      </w:rPr>
      <w:t xml:space="preserve">  </w:t>
    </w:r>
    <w:r>
      <w:rPr>
        <w:rFonts w:hint="eastAsia" w:ascii="思源宋体 CN ExtraLight" w:hAnsi="思源宋体 CN ExtraLight" w:eastAsia="思源宋体 CN ExtraLight" w:cs="思源宋体 CN ExtraLight"/>
      </w:rPr>
      <w:t>V1.0</w:t>
    </w:r>
  </w:p>
  <w:p w14:paraId="0A7AC933">
    <w:pPr>
      <w:pStyle w:val="9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D1FFB7"/>
    <w:multiLevelType w:val="singleLevel"/>
    <w:tmpl w:val="E5D1FFB7"/>
    <w:lvl w:ilvl="0" w:tentative="0">
      <w:start w:val="6"/>
      <w:numFmt w:val="decimal"/>
      <w:suff w:val="nothing"/>
      <w:lvlText w:val="%1、"/>
      <w:lvlJc w:val="left"/>
    </w:lvl>
  </w:abstractNum>
  <w:abstractNum w:abstractNumId="1">
    <w:nsid w:val="5C4C21CA"/>
    <w:multiLevelType w:val="multilevel"/>
    <w:tmpl w:val="5C4C21CA"/>
    <w:lvl w:ilvl="0" w:tentative="0">
      <w:start w:val="1"/>
      <w:numFmt w:val="chineseCountingThousand"/>
      <w:pStyle w:val="2"/>
      <w:suff w:val="nothing"/>
      <w:lvlText w:val="%1、"/>
      <w:lvlJc w:val="left"/>
      <w:pPr>
        <w:ind w:left="142" w:firstLine="0"/>
      </w:pPr>
      <w:rPr>
        <w:rFonts w:hint="eastAsia"/>
        <w:lang w:val="en-US"/>
      </w:rPr>
    </w:lvl>
    <w:lvl w:ilvl="1" w:tentative="0">
      <w:start w:val="1"/>
      <w:numFmt w:val="decimal"/>
      <w:pStyle w:val="3"/>
      <w:isLgl/>
      <w:suff w:val="nothing"/>
      <w:lvlText w:val="%1.%2、"/>
      <w:lvlJc w:val="left"/>
      <w:pPr>
        <w:ind w:left="142" w:firstLine="0"/>
      </w:pPr>
      <w:rPr>
        <w:rFonts w:hint="default" w:ascii="Times New Roman" w:hAnsi="Times New Roman" w:cs="Times New Roman"/>
        <w:color w:val="auto"/>
        <w:sz w:val="30"/>
        <w:szCs w:val="30"/>
      </w:rPr>
    </w:lvl>
    <w:lvl w:ilvl="2" w:tentative="0">
      <w:start w:val="1"/>
      <w:numFmt w:val="decimal"/>
      <w:pStyle w:val="4"/>
      <w:isLgl/>
      <w:suff w:val="nothing"/>
      <w:lvlText w:val="%1.%2.%3、"/>
      <w:lvlJc w:val="left"/>
      <w:pPr>
        <w:ind w:left="284" w:firstLine="0"/>
      </w:pPr>
      <w:rPr>
        <w:rFonts w:hint="default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3" w:tentative="0">
      <w:start w:val="1"/>
      <w:numFmt w:val="decimal"/>
      <w:pStyle w:val="5"/>
      <w:isLgl/>
      <w:suff w:val="nothing"/>
      <w:lvlText w:val="%1.%2.%3.%4、"/>
      <w:lvlJc w:val="left"/>
      <w:pPr>
        <w:ind w:left="993" w:hanging="851"/>
      </w:pPr>
      <w:rPr>
        <w:rFonts w:hint="default" w:ascii="Times New Roman" w:hAnsi="Times New Roman" w:eastAsia="宋体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:spacing w:val="0"/>
        <w:w w:val="0"/>
        <w:kern w:val="0"/>
        <w:position w:val="0"/>
        <w:sz w:val="24"/>
        <w:szCs w:val="24"/>
        <w:u w:val="none"/>
      </w:rPr>
    </w:lvl>
    <w:lvl w:ilvl="4" w:tentative="0">
      <w:start w:val="1"/>
      <w:numFmt w:val="decimal"/>
      <w:pStyle w:val="6"/>
      <w:isLgl/>
      <w:suff w:val="nothing"/>
      <w:lvlText w:val="%1.%2.%3.%4.%5、"/>
      <w:lvlJc w:val="left"/>
      <w:pPr>
        <w:ind w:left="1134" w:hanging="992"/>
      </w:pPr>
      <w:rPr>
        <w:rFonts w:hint="eastAsia"/>
      </w:rPr>
    </w:lvl>
    <w:lvl w:ilvl="5" w:tentative="0">
      <w:start w:val="1"/>
      <w:numFmt w:val="decimal"/>
      <w:isLgl/>
      <w:suff w:val="nothing"/>
      <w:lvlText w:val="%1.%2.%3.%4.%5.%6、"/>
      <w:lvlJc w:val="left"/>
      <w:pPr>
        <w:ind w:left="1276" w:hanging="1134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1942"/>
        </w:tabs>
        <w:ind w:left="1418" w:hanging="1276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1942"/>
        </w:tabs>
        <w:ind w:left="1560" w:hanging="1418"/>
      </w:pPr>
      <w:rPr>
        <w:rFonts w:hint="eastAsia"/>
      </w:rPr>
    </w:lvl>
    <w:lvl w:ilvl="8" w:tentative="0">
      <w:start w:val="1"/>
      <w:numFmt w:val="decimal"/>
      <w:isLgl/>
      <w:lvlText w:val="%1.%2.%3.%4.%5.%6.%7.%8.%9"/>
      <w:lvlJc w:val="left"/>
      <w:pPr>
        <w:tabs>
          <w:tab w:val="left" w:pos="2302"/>
        </w:tabs>
        <w:ind w:left="1701" w:hanging="1559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iOTExZDAxYzIyNGE0ODJmY2EyYzRlOGZjZWJkODgifQ=="/>
  </w:docVars>
  <w:rsids>
    <w:rsidRoot w:val="2F632E4E"/>
    <w:rsid w:val="00061651"/>
    <w:rsid w:val="04DA7046"/>
    <w:rsid w:val="08307759"/>
    <w:rsid w:val="09D775FA"/>
    <w:rsid w:val="0AF67B2D"/>
    <w:rsid w:val="0C4E21D3"/>
    <w:rsid w:val="0FA933C0"/>
    <w:rsid w:val="100116B9"/>
    <w:rsid w:val="1160659B"/>
    <w:rsid w:val="143A0F71"/>
    <w:rsid w:val="15465881"/>
    <w:rsid w:val="180521D8"/>
    <w:rsid w:val="1B234855"/>
    <w:rsid w:val="1D007C09"/>
    <w:rsid w:val="206631DE"/>
    <w:rsid w:val="21296A4B"/>
    <w:rsid w:val="22834648"/>
    <w:rsid w:val="22C131F1"/>
    <w:rsid w:val="234E4F70"/>
    <w:rsid w:val="2AF179F3"/>
    <w:rsid w:val="2CC31B0E"/>
    <w:rsid w:val="2E2F7CB4"/>
    <w:rsid w:val="2EE638A7"/>
    <w:rsid w:val="2F632E4E"/>
    <w:rsid w:val="3AC32516"/>
    <w:rsid w:val="3C2A5F65"/>
    <w:rsid w:val="3DE876B1"/>
    <w:rsid w:val="3E5E0787"/>
    <w:rsid w:val="42F40FF8"/>
    <w:rsid w:val="44D83825"/>
    <w:rsid w:val="45F7290A"/>
    <w:rsid w:val="46F9610A"/>
    <w:rsid w:val="47F526EC"/>
    <w:rsid w:val="50D036D5"/>
    <w:rsid w:val="5A797B72"/>
    <w:rsid w:val="5AA728B0"/>
    <w:rsid w:val="5CEA6AD8"/>
    <w:rsid w:val="5EB74ED7"/>
    <w:rsid w:val="5ECE4DCA"/>
    <w:rsid w:val="63085825"/>
    <w:rsid w:val="63932865"/>
    <w:rsid w:val="661459F5"/>
    <w:rsid w:val="66A80D27"/>
    <w:rsid w:val="67146646"/>
    <w:rsid w:val="6AC20051"/>
    <w:rsid w:val="6B4078AA"/>
    <w:rsid w:val="6C7157A1"/>
    <w:rsid w:val="6D3E5D3E"/>
    <w:rsid w:val="6E44360C"/>
    <w:rsid w:val="6E9D768C"/>
    <w:rsid w:val="734B14E2"/>
    <w:rsid w:val="75F01BE0"/>
    <w:rsid w:val="75FD4045"/>
    <w:rsid w:val="76481D9B"/>
    <w:rsid w:val="76B03283"/>
    <w:rsid w:val="79765CFB"/>
    <w:rsid w:val="7AE36F28"/>
    <w:rsid w:val="7B851426"/>
    <w:rsid w:val="7C4D4B5B"/>
    <w:rsid w:val="7C503B3C"/>
    <w:rsid w:val="7F19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ind w:firstLine="420" w:firstLineChars="200"/>
    </w:pPr>
    <w:rPr>
      <w:rFonts w:ascii="Times New Roman" w:hAnsi="Times New Roman" w:eastAsia="思源宋体 CN ExtraLight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numPr>
        <w:ilvl w:val="0"/>
        <w:numId w:val="1"/>
      </w:numPr>
      <w:tabs>
        <w:tab w:val="left" w:pos="425"/>
      </w:tabs>
      <w:spacing w:before="120" w:after="120"/>
      <w:ind w:firstLineChars="0"/>
      <w:jc w:val="both"/>
      <w:outlineLvl w:val="0"/>
    </w:pPr>
    <w:rPr>
      <w:b/>
      <w:bCs/>
      <w:kern w:val="44"/>
      <w:sz w:val="32"/>
      <w:szCs w:val="28"/>
    </w:rPr>
  </w:style>
  <w:style w:type="paragraph" w:styleId="3">
    <w:name w:val="heading 2"/>
    <w:basedOn w:val="1"/>
    <w:next w:val="1"/>
    <w:link w:val="19"/>
    <w:autoRedefine/>
    <w:qFormat/>
    <w:uiPriority w:val="0"/>
    <w:pPr>
      <w:keepNext/>
      <w:keepLines/>
      <w:numPr>
        <w:ilvl w:val="1"/>
        <w:numId w:val="1"/>
      </w:numPr>
      <w:tabs>
        <w:tab w:val="left" w:pos="567"/>
      </w:tabs>
      <w:spacing w:before="120" w:after="120"/>
      <w:ind w:firstLineChars="0"/>
      <w:jc w:val="both"/>
      <w:outlineLvl w:val="1"/>
    </w:pPr>
    <w:rPr>
      <w:b/>
      <w:bCs/>
      <w:sz w:val="30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tabs>
        <w:tab w:val="left" w:pos="567"/>
      </w:tabs>
      <w:spacing w:before="120" w:after="120"/>
      <w:ind w:left="142" w:firstLineChars="0"/>
      <w:jc w:val="both"/>
      <w:outlineLvl w:val="2"/>
    </w:pPr>
    <w:rPr>
      <w:b/>
      <w:bCs/>
      <w:sz w:val="28"/>
      <w:szCs w:val="18"/>
    </w:rPr>
  </w:style>
  <w:style w:type="paragraph" w:styleId="5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tabs>
        <w:tab w:val="left" w:pos="504"/>
      </w:tabs>
      <w:spacing w:before="120" w:after="120"/>
      <w:ind w:firstLine="0" w:firstLineChars="0"/>
      <w:outlineLvl w:val="3"/>
    </w:pPr>
    <w:rPr>
      <w:rFonts w:hAnsi="Arial"/>
      <w:b/>
      <w:bCs/>
      <w:sz w:val="24"/>
      <w:szCs w:val="28"/>
    </w:rPr>
  </w:style>
  <w:style w:type="paragraph" w:styleId="6">
    <w:name w:val="heading 5"/>
    <w:basedOn w:val="1"/>
    <w:next w:val="1"/>
    <w:autoRedefine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ind w:firstLine="0" w:firstLineChars="0"/>
      <w:outlineLvl w:val="4"/>
    </w:pPr>
    <w:rPr>
      <w:b/>
      <w:bCs/>
      <w:sz w:val="28"/>
      <w:szCs w:val="28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3"/>
    <w:basedOn w:val="1"/>
    <w:next w:val="1"/>
    <w:qFormat/>
    <w:uiPriority w:val="39"/>
    <w:pPr>
      <w:spacing w:line="240" w:lineRule="auto"/>
      <w:ind w:firstLine="400" w:firstLineChars="400"/>
    </w:pPr>
    <w:rPr>
      <w:rFonts w:cs="Calibri"/>
      <w:iCs/>
      <w:szCs w:val="20"/>
    </w:rPr>
  </w:style>
  <w:style w:type="paragraph" w:styleId="8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eader"/>
    <w:basedOn w:val="1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autoRedefine/>
    <w:qFormat/>
    <w:uiPriority w:val="39"/>
    <w:pPr>
      <w:spacing w:line="240" w:lineRule="auto"/>
      <w:ind w:firstLine="0" w:firstLineChars="0"/>
    </w:pPr>
    <w:rPr>
      <w:rFonts w:cs="Calibri"/>
      <w:bCs/>
      <w:caps/>
      <w:szCs w:val="20"/>
    </w:rPr>
  </w:style>
  <w:style w:type="paragraph" w:styleId="11">
    <w:name w:val="toc 2"/>
    <w:basedOn w:val="1"/>
    <w:next w:val="1"/>
    <w:autoRedefine/>
    <w:qFormat/>
    <w:uiPriority w:val="39"/>
    <w:pPr>
      <w:spacing w:line="240" w:lineRule="auto"/>
      <w:ind w:firstLine="200"/>
    </w:pPr>
    <w:rPr>
      <w:rFonts w:cs="Calibri"/>
      <w:smallCaps/>
      <w:szCs w:val="20"/>
    </w:rPr>
  </w:style>
  <w:style w:type="character" w:styleId="14">
    <w:name w:val="Hyperlink"/>
    <w:basedOn w:val="13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5">
    <w:name w:val="1"/>
    <w:basedOn w:val="1"/>
    <w:autoRedefine/>
    <w:qFormat/>
    <w:uiPriority w:val="0"/>
    <w:pPr>
      <w:ind w:firstLine="0" w:firstLineChars="0"/>
    </w:pPr>
  </w:style>
  <w:style w:type="paragraph" w:customStyle="1" w:styleId="16">
    <w:name w:val="Indent Normal"/>
    <w:basedOn w:val="1"/>
    <w:autoRedefine/>
    <w:qFormat/>
    <w:uiPriority w:val="0"/>
    <w:pPr>
      <w:ind w:firstLine="150" w:firstLineChars="150"/>
    </w:pPr>
    <w:rPr>
      <w:sz w:val="24"/>
    </w:rPr>
  </w:style>
  <w:style w:type="paragraph" w:customStyle="1" w:styleId="17">
    <w:name w:val="样式1"/>
    <w:basedOn w:val="1"/>
    <w:autoRedefine/>
    <w:qFormat/>
    <w:uiPriority w:val="0"/>
    <w:pPr>
      <w:spacing w:line="300" w:lineRule="auto"/>
      <w:ind w:firstLine="480"/>
    </w:pPr>
    <w:rPr>
      <w:sz w:val="24"/>
    </w:rPr>
  </w:style>
  <w:style w:type="paragraph" w:styleId="18">
    <w:name w:val="No Spacing"/>
    <w:autoRedefine/>
    <w:qFormat/>
    <w:uiPriority w:val="1"/>
    <w:pPr>
      <w:widowControl w:val="0"/>
      <w:spacing w:line="360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9">
    <w:name w:val="标题 2 Char"/>
    <w:link w:val="3"/>
    <w:autoRedefine/>
    <w:qFormat/>
    <w:uiPriority w:val="0"/>
    <w:rPr>
      <w:b/>
      <w:bCs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0" Type="http://schemas.openxmlformats.org/officeDocument/2006/relationships/fontTable" Target="fontTable.xml"/><Relationship Id="rId6" Type="http://schemas.openxmlformats.org/officeDocument/2006/relationships/header" Target="header2.xml"/><Relationship Id="rId59" Type="http://schemas.openxmlformats.org/officeDocument/2006/relationships/numbering" Target="numbering.xml"/><Relationship Id="rId58" Type="http://schemas.openxmlformats.org/officeDocument/2006/relationships/customXml" Target="../customXml/item1.xml"/><Relationship Id="rId57" Type="http://schemas.openxmlformats.org/officeDocument/2006/relationships/image" Target="media/image44.png"/><Relationship Id="rId56" Type="http://schemas.openxmlformats.org/officeDocument/2006/relationships/image" Target="media/image43.png"/><Relationship Id="rId55" Type="http://schemas.openxmlformats.org/officeDocument/2006/relationships/image" Target="media/image42.png"/><Relationship Id="rId54" Type="http://schemas.openxmlformats.org/officeDocument/2006/relationships/image" Target="media/image41.png"/><Relationship Id="rId53" Type="http://schemas.openxmlformats.org/officeDocument/2006/relationships/image" Target="media/image40.png"/><Relationship Id="rId52" Type="http://schemas.openxmlformats.org/officeDocument/2006/relationships/image" Target="media/image39.png"/><Relationship Id="rId51" Type="http://schemas.openxmlformats.org/officeDocument/2006/relationships/image" Target="media/image38.png"/><Relationship Id="rId50" Type="http://schemas.openxmlformats.org/officeDocument/2006/relationships/image" Target="media/image37.png"/><Relationship Id="rId5" Type="http://schemas.openxmlformats.org/officeDocument/2006/relationships/header" Target="header1.xml"/><Relationship Id="rId49" Type="http://schemas.openxmlformats.org/officeDocument/2006/relationships/image" Target="media/image36.png"/><Relationship Id="rId48" Type="http://schemas.openxmlformats.org/officeDocument/2006/relationships/image" Target="media/image35.png"/><Relationship Id="rId47" Type="http://schemas.openxmlformats.org/officeDocument/2006/relationships/image" Target="media/image34.png"/><Relationship Id="rId46" Type="http://schemas.openxmlformats.org/officeDocument/2006/relationships/image" Target="media/image33.png"/><Relationship Id="rId45" Type="http://schemas.openxmlformats.org/officeDocument/2006/relationships/image" Target="media/image32.png"/><Relationship Id="rId44" Type="http://schemas.openxmlformats.org/officeDocument/2006/relationships/image" Target="media/image31.png"/><Relationship Id="rId43" Type="http://schemas.openxmlformats.org/officeDocument/2006/relationships/image" Target="media/image30.png"/><Relationship Id="rId42" Type="http://schemas.openxmlformats.org/officeDocument/2006/relationships/image" Target="media/image29.png"/><Relationship Id="rId41" Type="http://schemas.openxmlformats.org/officeDocument/2006/relationships/image" Target="media/image28.png"/><Relationship Id="rId40" Type="http://schemas.openxmlformats.org/officeDocument/2006/relationships/image" Target="media/image27.png"/><Relationship Id="rId4" Type="http://schemas.openxmlformats.org/officeDocument/2006/relationships/endnotes" Target="endnotes.xml"/><Relationship Id="rId39" Type="http://schemas.openxmlformats.org/officeDocument/2006/relationships/image" Target="media/image26.png"/><Relationship Id="rId38" Type="http://schemas.openxmlformats.org/officeDocument/2006/relationships/image" Target="media/image25.png"/><Relationship Id="rId37" Type="http://schemas.openxmlformats.org/officeDocument/2006/relationships/image" Target="media/image24.png"/><Relationship Id="rId36" Type="http://schemas.openxmlformats.org/officeDocument/2006/relationships/image" Target="media/image23.png"/><Relationship Id="rId35" Type="http://schemas.openxmlformats.org/officeDocument/2006/relationships/image" Target="media/image22.png"/><Relationship Id="rId34" Type="http://schemas.openxmlformats.org/officeDocument/2006/relationships/image" Target="media/image21.png"/><Relationship Id="rId33" Type="http://schemas.openxmlformats.org/officeDocument/2006/relationships/image" Target="media/image20.png"/><Relationship Id="rId32" Type="http://schemas.openxmlformats.org/officeDocument/2006/relationships/image" Target="media/image19.png"/><Relationship Id="rId31" Type="http://schemas.openxmlformats.org/officeDocument/2006/relationships/image" Target="media/image18.png"/><Relationship Id="rId30" Type="http://schemas.openxmlformats.org/officeDocument/2006/relationships/image" Target="media/image17.png"/><Relationship Id="rId3" Type="http://schemas.openxmlformats.org/officeDocument/2006/relationships/footnotes" Target="footnotes.xml"/><Relationship Id="rId29" Type="http://schemas.openxmlformats.org/officeDocument/2006/relationships/image" Target="media/image16.png"/><Relationship Id="rId28" Type="http://schemas.openxmlformats.org/officeDocument/2006/relationships/image" Target="media/image15.png"/><Relationship Id="rId27" Type="http://schemas.openxmlformats.org/officeDocument/2006/relationships/image" Target="media/image14.png"/><Relationship Id="rId26" Type="http://schemas.openxmlformats.org/officeDocument/2006/relationships/image" Target="media/image13.png"/><Relationship Id="rId25" Type="http://schemas.openxmlformats.org/officeDocument/2006/relationships/image" Target="media/image12.png"/><Relationship Id="rId24" Type="http://schemas.openxmlformats.org/officeDocument/2006/relationships/image" Target="media/image11.png"/><Relationship Id="rId23" Type="http://schemas.openxmlformats.org/officeDocument/2006/relationships/image" Target="media/image10.png"/><Relationship Id="rId22" Type="http://schemas.openxmlformats.org/officeDocument/2006/relationships/image" Target="media/image9.png"/><Relationship Id="rId21" Type="http://schemas.openxmlformats.org/officeDocument/2006/relationships/image" Target="media/image8.png"/><Relationship Id="rId20" Type="http://schemas.openxmlformats.org/officeDocument/2006/relationships/image" Target="media/image7.png"/><Relationship Id="rId2" Type="http://schemas.openxmlformats.org/officeDocument/2006/relationships/settings" Target="settings.xml"/><Relationship Id="rId19" Type="http://schemas.openxmlformats.org/officeDocument/2006/relationships/image" Target="media/image6.png"/><Relationship Id="rId18" Type="http://schemas.openxmlformats.org/officeDocument/2006/relationships/image" Target="media/image5.png"/><Relationship Id="rId17" Type="http://schemas.openxmlformats.org/officeDocument/2006/relationships/image" Target="media/image4.png"/><Relationship Id="rId16" Type="http://schemas.openxmlformats.org/officeDocument/2006/relationships/image" Target="media/image3.png"/><Relationship Id="rId15" Type="http://schemas.openxmlformats.org/officeDocument/2006/relationships/image" Target="media/image2.png"/><Relationship Id="rId14" Type="http://schemas.openxmlformats.org/officeDocument/2006/relationships/theme" Target="theme/theme1.xml"/><Relationship Id="rId13" Type="http://schemas.openxmlformats.org/officeDocument/2006/relationships/footer" Target="footer5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2066</Words>
  <Characters>2128</Characters>
  <Lines>0</Lines>
  <Paragraphs>0</Paragraphs>
  <TotalTime>3</TotalTime>
  <ScaleCrop>false</ScaleCrop>
  <LinksUpToDate>false</LinksUpToDate>
  <CharactersWithSpaces>2162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2019-03-25T06:54:00Z</dcterms:created>
  <dc:creator>GKB2900</dc:creator>
  <cp:lastModifiedBy>NTKO</cp:lastModifiedBy>
  <dcterms:modified xsi:type="dcterms:W3CDTF">2024-11-26T01:22:56Z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DD9093931A4C4A3D9695DBF64F247593</vt:lpwstr>
  </property>
</Properties>
</file>