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A1A0D">
      <w:pPr>
        <w:spacing w:line="500" w:lineRule="exact"/>
        <w:jc w:val="center"/>
        <w:rPr>
          <w:rFonts w:ascii="仿宋" w:hAnsi="仿宋" w:eastAsia="仿宋" w:cs="仿宋"/>
          <w:sz w:val="36"/>
          <w:szCs w:val="36"/>
        </w:rPr>
      </w:pPr>
      <w:r>
        <w:rPr>
          <w:rFonts w:hint="eastAsia" w:ascii="仿宋" w:hAnsi="仿宋" w:eastAsia="仿宋" w:cs="仿宋"/>
          <w:b/>
          <w:sz w:val="36"/>
          <w:szCs w:val="36"/>
        </w:rPr>
        <w:t>肥料交易合同</w:t>
      </w:r>
    </w:p>
    <w:p w14:paraId="6E79A8EE">
      <w:pPr>
        <w:spacing w:line="360" w:lineRule="auto"/>
        <w:jc w:val="center"/>
        <w:rPr>
          <w:rFonts w:ascii="仿宋_GB2312" w:hAnsi="宋体" w:eastAsia="仿宋_GB2312"/>
          <w:sz w:val="28"/>
          <w:szCs w:val="28"/>
        </w:rPr>
      </w:pPr>
      <w:r>
        <w:rPr>
          <w:rFonts w:hint="eastAsia" w:ascii="仿宋_GB2312" w:hAnsi="宋体" w:eastAsia="仿宋_GB2312"/>
          <w:sz w:val="28"/>
          <w:szCs w:val="28"/>
        </w:rPr>
        <w:t>合同编号：将林场[202</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val="en-US" w:eastAsia="zh-CN"/>
        </w:rPr>
        <w:t>营采</w:t>
      </w:r>
      <w:r>
        <w:rPr>
          <w:rFonts w:hint="eastAsia" w:ascii="仿宋_GB2312" w:hAnsi="宋体" w:eastAsia="仿宋_GB2312"/>
          <w:sz w:val="28"/>
          <w:szCs w:val="28"/>
        </w:rPr>
        <w:t>第</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号</w:t>
      </w:r>
    </w:p>
    <w:p w14:paraId="1A4648B7">
      <w:pPr>
        <w:spacing w:line="480" w:lineRule="exact"/>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u w:val="single"/>
        </w:rPr>
        <w:t xml:space="preserve">  福建省将乐国有林场      </w:t>
      </w:r>
      <w:r>
        <w:rPr>
          <w:rFonts w:hint="eastAsia" w:ascii="仿宋_GB2312" w:hAnsi="宋体" w:eastAsia="仿宋_GB2312"/>
          <w:sz w:val="28"/>
          <w:szCs w:val="28"/>
        </w:rPr>
        <w:t xml:space="preserve"> （以下简称甲方）</w:t>
      </w:r>
    </w:p>
    <w:p w14:paraId="53B901C3">
      <w:pPr>
        <w:spacing w:line="480" w:lineRule="exact"/>
        <w:rPr>
          <w:rFonts w:ascii="仿宋_GB2312" w:hAnsi="宋体" w:eastAsia="仿宋_GB2312"/>
          <w:sz w:val="28"/>
          <w:szCs w:val="28"/>
        </w:rPr>
      </w:pPr>
      <w:r>
        <w:rPr>
          <w:rFonts w:hint="eastAsia" w:ascii="仿宋_GB2312" w:hAnsi="宋体" w:eastAsia="仿宋_GB2312"/>
          <w:sz w:val="28"/>
          <w:szCs w:val="28"/>
        </w:rPr>
        <w:t>供应方：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（以下简称乙方）</w:t>
      </w:r>
    </w:p>
    <w:p w14:paraId="3BC2331C">
      <w:pPr>
        <w:pStyle w:val="2"/>
        <w:tabs>
          <w:tab w:val="left" w:pos="5278"/>
        </w:tabs>
        <w:spacing w:line="440" w:lineRule="exact"/>
        <w:ind w:firstLine="560"/>
        <w:rPr>
          <w:rFonts w:ascii="仿宋_GB2312" w:hAnsi="宋体" w:eastAsia="仿宋_GB2312"/>
          <w:sz w:val="28"/>
          <w:szCs w:val="28"/>
        </w:rPr>
      </w:pPr>
      <w:r>
        <w:rPr>
          <w:rFonts w:hint="eastAsia" w:ascii="仿宋_GB2312" w:hAnsi="宋体" w:eastAsia="仿宋_GB2312"/>
          <w:sz w:val="28"/>
          <w:szCs w:val="28"/>
        </w:rPr>
        <w:t>甲方在福建沙县农村产权交易中心面向社会公开采购服务，乙方成交。经甲乙双方充分协商同意，签订本合同条款。</w:t>
      </w:r>
    </w:p>
    <w:p w14:paraId="71756344">
      <w:pPr>
        <w:autoSpaceDE w:val="0"/>
        <w:autoSpaceDN w:val="0"/>
        <w:adjustRightInd w:val="0"/>
        <w:spacing w:line="400" w:lineRule="exact"/>
        <w:rPr>
          <w:rFonts w:ascii="仿宋_GB2312" w:eastAsia="仿宋_GB2312" w:cs="宋体"/>
          <w:b w:val="0"/>
          <w:bCs w:val="0"/>
          <w:color w:val="000000"/>
          <w:sz w:val="32"/>
          <w:szCs w:val="32"/>
          <w:lang w:val="zh-CN"/>
        </w:rPr>
      </w:pPr>
      <w:r>
        <w:rPr>
          <w:rFonts w:hint="eastAsia" w:ascii="仿宋_GB2312" w:hAnsi="宋体" w:eastAsia="仿宋_GB2312"/>
          <w:b/>
          <w:bCs/>
          <w:sz w:val="28"/>
          <w:szCs w:val="28"/>
          <w:lang w:val="zh-CN"/>
        </w:rPr>
        <w:t>一、合同标的和价格</w:t>
      </w:r>
    </w:p>
    <w:tbl>
      <w:tblPr>
        <w:tblStyle w:val="7"/>
        <w:tblW w:w="8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965"/>
        <w:gridCol w:w="2070"/>
        <w:gridCol w:w="1800"/>
        <w:gridCol w:w="1500"/>
      </w:tblGrid>
      <w:tr w14:paraId="058D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40" w:type="dxa"/>
            <w:noWrap/>
          </w:tcPr>
          <w:p w14:paraId="383785B6">
            <w:pPr>
              <w:spacing w:line="400" w:lineRule="exact"/>
              <w:jc w:val="center"/>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kern w:val="2"/>
                <w:sz w:val="24"/>
                <w:szCs w:val="24"/>
                <w:lang w:val="en-US" w:eastAsia="zh-CN" w:bidi="ar-SA"/>
              </w:rPr>
              <w:t>产品名称</w:t>
            </w:r>
          </w:p>
        </w:tc>
        <w:tc>
          <w:tcPr>
            <w:tcW w:w="1965" w:type="dxa"/>
            <w:noWrap/>
          </w:tcPr>
          <w:p w14:paraId="2C06D3D2">
            <w:pPr>
              <w:widowControl/>
              <w:spacing w:line="400" w:lineRule="exact"/>
              <w:jc w:val="center"/>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kern w:val="2"/>
                <w:sz w:val="24"/>
                <w:szCs w:val="24"/>
                <w:lang w:val="en-US" w:eastAsia="zh-CN" w:bidi="ar-SA"/>
              </w:rPr>
              <w:t>数量（吨）</w:t>
            </w:r>
          </w:p>
        </w:tc>
        <w:tc>
          <w:tcPr>
            <w:tcW w:w="2070" w:type="dxa"/>
            <w:noWrap/>
          </w:tcPr>
          <w:p w14:paraId="09F07C83">
            <w:pPr>
              <w:widowControl/>
              <w:spacing w:line="400" w:lineRule="exact"/>
              <w:jc w:val="center"/>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kern w:val="2"/>
                <w:sz w:val="24"/>
                <w:szCs w:val="24"/>
                <w:lang w:val="en-US" w:eastAsia="zh-CN" w:bidi="ar-SA"/>
              </w:rPr>
              <w:t>规格（公斤/包）</w:t>
            </w:r>
          </w:p>
        </w:tc>
        <w:tc>
          <w:tcPr>
            <w:tcW w:w="1800" w:type="dxa"/>
            <w:noWrap/>
          </w:tcPr>
          <w:p w14:paraId="33EC199A">
            <w:pPr>
              <w:widowControl/>
              <w:spacing w:line="400" w:lineRule="exact"/>
              <w:jc w:val="center"/>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kern w:val="2"/>
                <w:sz w:val="24"/>
                <w:szCs w:val="24"/>
                <w:lang w:val="en-US" w:eastAsia="zh-CN" w:bidi="ar-SA"/>
              </w:rPr>
              <w:t>单价（元/吨）</w:t>
            </w:r>
          </w:p>
        </w:tc>
        <w:tc>
          <w:tcPr>
            <w:tcW w:w="1500" w:type="dxa"/>
            <w:noWrap/>
          </w:tcPr>
          <w:p w14:paraId="711573F6">
            <w:pPr>
              <w:widowControl/>
              <w:spacing w:line="400" w:lineRule="exact"/>
              <w:jc w:val="center"/>
              <w:rPr>
                <w:rFonts w:hint="eastAsia" w:ascii="仿宋_GB2312" w:hAnsi="宋体" w:eastAsia="仿宋_GB2312" w:cs="Times New Roman"/>
                <w:b w:val="0"/>
                <w:bCs w:val="0"/>
                <w:kern w:val="2"/>
                <w:sz w:val="24"/>
                <w:szCs w:val="24"/>
                <w:lang w:val="en-US" w:eastAsia="zh-CN" w:bidi="ar-SA"/>
              </w:rPr>
            </w:pPr>
            <w:r>
              <w:rPr>
                <w:rFonts w:hint="eastAsia" w:ascii="仿宋_GB2312" w:hAnsi="宋体" w:eastAsia="仿宋_GB2312" w:cs="Times New Roman"/>
                <w:b w:val="0"/>
                <w:bCs w:val="0"/>
                <w:kern w:val="2"/>
                <w:sz w:val="24"/>
                <w:szCs w:val="24"/>
                <w:lang w:val="en-US" w:eastAsia="zh-CN" w:bidi="ar-SA"/>
              </w:rPr>
              <w:t>总价（元）</w:t>
            </w:r>
          </w:p>
        </w:tc>
      </w:tr>
      <w:tr w14:paraId="519B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40" w:type="dxa"/>
            <w:noWrap/>
          </w:tcPr>
          <w:p w14:paraId="6822C0D2">
            <w:pPr>
              <w:spacing w:line="400" w:lineRule="exact"/>
              <w:jc w:val="center"/>
              <w:rPr>
                <w:rFonts w:hint="eastAsia" w:ascii="仿宋_GB2312" w:hAnsi="宋体" w:eastAsia="仿宋_GB2312" w:cs="Times New Roman"/>
                <w:kern w:val="2"/>
                <w:sz w:val="24"/>
                <w:szCs w:val="24"/>
                <w:lang w:val="en-US" w:eastAsia="zh-CN" w:bidi="ar-SA"/>
              </w:rPr>
            </w:pPr>
          </w:p>
        </w:tc>
        <w:tc>
          <w:tcPr>
            <w:tcW w:w="1965" w:type="dxa"/>
            <w:noWrap/>
          </w:tcPr>
          <w:p w14:paraId="1E638FCF">
            <w:pPr>
              <w:widowControl/>
              <w:spacing w:line="400" w:lineRule="exact"/>
              <w:jc w:val="center"/>
              <w:rPr>
                <w:rFonts w:hint="default" w:ascii="仿宋_GB2312" w:hAnsi="宋体" w:eastAsia="仿宋_GB2312" w:cs="Times New Roman"/>
                <w:kern w:val="2"/>
                <w:sz w:val="24"/>
                <w:szCs w:val="24"/>
                <w:lang w:val="en-US" w:eastAsia="zh-CN" w:bidi="ar-SA"/>
              </w:rPr>
            </w:pPr>
          </w:p>
        </w:tc>
        <w:tc>
          <w:tcPr>
            <w:tcW w:w="2070" w:type="dxa"/>
            <w:noWrap/>
          </w:tcPr>
          <w:p w14:paraId="5074734F">
            <w:pPr>
              <w:widowControl/>
              <w:spacing w:line="400" w:lineRule="exact"/>
              <w:jc w:val="center"/>
              <w:rPr>
                <w:rFonts w:hint="default" w:ascii="仿宋_GB2312" w:hAnsi="宋体" w:eastAsia="仿宋_GB2312" w:cs="Times New Roman"/>
                <w:kern w:val="2"/>
                <w:sz w:val="24"/>
                <w:szCs w:val="24"/>
                <w:lang w:val="en-US" w:eastAsia="zh-CN" w:bidi="ar-SA"/>
              </w:rPr>
            </w:pPr>
          </w:p>
        </w:tc>
        <w:tc>
          <w:tcPr>
            <w:tcW w:w="1800" w:type="dxa"/>
            <w:noWrap/>
          </w:tcPr>
          <w:p w14:paraId="49C0E7DA">
            <w:pPr>
              <w:widowControl/>
              <w:spacing w:line="400" w:lineRule="exact"/>
              <w:jc w:val="center"/>
              <w:rPr>
                <w:rFonts w:hint="default" w:ascii="仿宋_GB2312" w:hAnsi="宋体" w:eastAsia="仿宋_GB2312" w:cs="Times New Roman"/>
                <w:kern w:val="2"/>
                <w:sz w:val="24"/>
                <w:szCs w:val="24"/>
                <w:lang w:val="en-US" w:eastAsia="zh-CN" w:bidi="ar-SA"/>
              </w:rPr>
            </w:pPr>
          </w:p>
        </w:tc>
        <w:tc>
          <w:tcPr>
            <w:tcW w:w="1500" w:type="dxa"/>
            <w:noWrap/>
          </w:tcPr>
          <w:p w14:paraId="0D018F4E">
            <w:pPr>
              <w:widowControl/>
              <w:spacing w:line="400" w:lineRule="exact"/>
              <w:jc w:val="center"/>
              <w:rPr>
                <w:rFonts w:hint="default" w:ascii="仿宋_GB2312" w:hAnsi="宋体" w:eastAsia="仿宋_GB2312" w:cs="Times New Roman"/>
                <w:kern w:val="2"/>
                <w:sz w:val="24"/>
                <w:szCs w:val="24"/>
                <w:lang w:val="en-US" w:eastAsia="zh-CN" w:bidi="ar-SA"/>
              </w:rPr>
            </w:pPr>
          </w:p>
        </w:tc>
      </w:tr>
      <w:tr w14:paraId="6ED40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40" w:type="dxa"/>
            <w:noWrap/>
          </w:tcPr>
          <w:p w14:paraId="0E184AA8">
            <w:pPr>
              <w:spacing w:line="400" w:lineRule="exact"/>
              <w:jc w:val="center"/>
              <w:rPr>
                <w:rFonts w:hint="default" w:ascii="仿宋_GB2312" w:hAnsi="宋体" w:eastAsia="仿宋_GB2312" w:cs="Times New Roman"/>
                <w:kern w:val="2"/>
                <w:sz w:val="24"/>
                <w:szCs w:val="24"/>
                <w:lang w:val="en-US" w:eastAsia="zh-CN" w:bidi="ar-SA"/>
              </w:rPr>
            </w:pPr>
          </w:p>
        </w:tc>
        <w:tc>
          <w:tcPr>
            <w:tcW w:w="1965" w:type="dxa"/>
            <w:noWrap/>
          </w:tcPr>
          <w:p w14:paraId="08BFDDFE">
            <w:pPr>
              <w:widowControl/>
              <w:spacing w:line="400" w:lineRule="exact"/>
              <w:jc w:val="center"/>
              <w:rPr>
                <w:rFonts w:hint="default" w:ascii="仿宋_GB2312" w:hAnsi="宋体" w:eastAsia="仿宋_GB2312" w:cs="Times New Roman"/>
                <w:kern w:val="2"/>
                <w:sz w:val="24"/>
                <w:szCs w:val="24"/>
                <w:lang w:val="en-US" w:eastAsia="zh-CN" w:bidi="ar-SA"/>
              </w:rPr>
            </w:pPr>
          </w:p>
        </w:tc>
        <w:tc>
          <w:tcPr>
            <w:tcW w:w="2070" w:type="dxa"/>
            <w:noWrap/>
          </w:tcPr>
          <w:p w14:paraId="3E552873">
            <w:pPr>
              <w:widowControl/>
              <w:spacing w:line="400" w:lineRule="exact"/>
              <w:jc w:val="center"/>
              <w:rPr>
                <w:rFonts w:hint="default" w:ascii="仿宋_GB2312" w:hAnsi="宋体" w:eastAsia="仿宋_GB2312" w:cs="Times New Roman"/>
                <w:kern w:val="2"/>
                <w:sz w:val="24"/>
                <w:szCs w:val="24"/>
                <w:lang w:val="en-US" w:eastAsia="zh-CN" w:bidi="ar-SA"/>
              </w:rPr>
            </w:pPr>
          </w:p>
        </w:tc>
        <w:tc>
          <w:tcPr>
            <w:tcW w:w="1800" w:type="dxa"/>
            <w:noWrap/>
          </w:tcPr>
          <w:p w14:paraId="22A22D05">
            <w:pPr>
              <w:widowControl/>
              <w:spacing w:line="400" w:lineRule="exact"/>
              <w:jc w:val="center"/>
              <w:rPr>
                <w:rFonts w:hint="default" w:ascii="仿宋_GB2312" w:hAnsi="宋体" w:eastAsia="仿宋_GB2312" w:cs="Times New Roman"/>
                <w:kern w:val="2"/>
                <w:sz w:val="24"/>
                <w:szCs w:val="24"/>
                <w:lang w:val="en-US" w:eastAsia="zh-CN" w:bidi="ar-SA"/>
              </w:rPr>
            </w:pPr>
          </w:p>
        </w:tc>
        <w:tc>
          <w:tcPr>
            <w:tcW w:w="1500" w:type="dxa"/>
            <w:noWrap/>
          </w:tcPr>
          <w:p w14:paraId="79ADCBB8">
            <w:pPr>
              <w:widowControl/>
              <w:spacing w:line="400" w:lineRule="exact"/>
              <w:jc w:val="center"/>
              <w:rPr>
                <w:rFonts w:hint="default" w:ascii="仿宋_GB2312" w:hAnsi="宋体" w:eastAsia="仿宋_GB2312" w:cs="Times New Roman"/>
                <w:kern w:val="2"/>
                <w:sz w:val="24"/>
                <w:szCs w:val="24"/>
                <w:lang w:val="en-US" w:eastAsia="zh-CN" w:bidi="ar-SA"/>
              </w:rPr>
            </w:pPr>
          </w:p>
        </w:tc>
      </w:tr>
    </w:tbl>
    <w:p w14:paraId="09887F2E">
      <w:pPr>
        <w:spacing w:line="400" w:lineRule="exact"/>
        <w:rPr>
          <w:rFonts w:ascii="宋体" w:hAnsi="宋体"/>
          <w:szCs w:val="21"/>
        </w:rPr>
      </w:pPr>
      <w:r>
        <w:rPr>
          <w:rFonts w:hint="eastAsia" w:ascii="宋体" w:hAnsi="宋体"/>
          <w:szCs w:val="21"/>
        </w:rPr>
        <w:t>注：单价含税收、装车费、售后服务等费用。</w:t>
      </w:r>
    </w:p>
    <w:p w14:paraId="638C758C">
      <w:pPr>
        <w:spacing w:line="400" w:lineRule="exact"/>
        <w:rPr>
          <w:rFonts w:ascii="仿宋_GB2312" w:hAnsi="宋体" w:eastAsia="仿宋_GB2312"/>
          <w:sz w:val="28"/>
          <w:szCs w:val="28"/>
        </w:rPr>
      </w:pPr>
      <w:r>
        <w:rPr>
          <w:rFonts w:hint="eastAsia" w:ascii="仿宋_GB2312" w:hAnsi="宋体" w:eastAsia="仿宋_GB2312"/>
          <w:b/>
          <w:bCs/>
          <w:sz w:val="28"/>
          <w:szCs w:val="28"/>
        </w:rPr>
        <w:t>二、交货地址：</w:t>
      </w:r>
      <w:r>
        <w:rPr>
          <w:rFonts w:hint="eastAsia" w:ascii="仿宋_GB2312" w:hAnsi="宋体" w:eastAsia="仿宋_GB2312"/>
          <w:sz w:val="28"/>
          <w:szCs w:val="28"/>
        </w:rPr>
        <w:t>乙方存货仓库。</w:t>
      </w:r>
    </w:p>
    <w:p w14:paraId="4164E1BB">
      <w:pPr>
        <w:spacing w:line="400" w:lineRule="exact"/>
        <w:rPr>
          <w:rFonts w:ascii="仿宋_GB2312" w:hAnsi="宋体" w:eastAsia="仿宋_GB2312"/>
          <w:sz w:val="28"/>
          <w:szCs w:val="28"/>
        </w:rPr>
      </w:pPr>
      <w:r>
        <w:rPr>
          <w:rFonts w:hint="eastAsia" w:ascii="仿宋_GB2312" w:hAnsi="宋体" w:eastAsia="仿宋_GB2312"/>
          <w:b/>
          <w:bCs/>
          <w:sz w:val="28"/>
          <w:szCs w:val="28"/>
        </w:rPr>
        <w:t>三、交货方式：</w:t>
      </w:r>
      <w:r>
        <w:rPr>
          <w:rFonts w:hint="eastAsia" w:ascii="仿宋_GB2312" w:hAnsi="宋体" w:eastAsia="仿宋_GB2312"/>
          <w:sz w:val="28"/>
          <w:szCs w:val="28"/>
        </w:rPr>
        <w:t>双方签订合同之日起，至202</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月分期分批交货。</w:t>
      </w:r>
    </w:p>
    <w:p w14:paraId="0D931340">
      <w:pPr>
        <w:spacing w:line="440" w:lineRule="exact"/>
        <w:jc w:val="left"/>
        <w:rPr>
          <w:rFonts w:hint="eastAsia" w:ascii="仿宋_GB2312" w:hAnsi="宋体" w:eastAsia="仿宋_GB2312"/>
          <w:sz w:val="28"/>
          <w:szCs w:val="28"/>
        </w:rPr>
      </w:pPr>
      <w:r>
        <w:rPr>
          <w:rFonts w:hint="eastAsia" w:ascii="仿宋_GB2312" w:hAnsi="宋体" w:eastAsia="仿宋_GB2312"/>
          <w:b/>
          <w:bCs/>
          <w:sz w:val="28"/>
          <w:szCs w:val="28"/>
        </w:rPr>
        <w:t>四、使用时间和期限：</w:t>
      </w:r>
      <w:r>
        <w:rPr>
          <w:rFonts w:hint="eastAsia" w:ascii="仿宋_GB2312" w:hAnsi="宋体" w:eastAsia="仿宋_GB2312"/>
          <w:sz w:val="28"/>
          <w:szCs w:val="28"/>
        </w:rPr>
        <w:t>服从</w:t>
      </w:r>
      <w:r>
        <w:rPr>
          <w:rFonts w:hint="eastAsia" w:ascii="仿宋_GB2312" w:hAnsi="宋体" w:eastAsia="仿宋_GB2312"/>
          <w:sz w:val="28"/>
          <w:szCs w:val="28"/>
          <w:lang w:eastAsia="zh-CN"/>
        </w:rPr>
        <w:t>甲</w:t>
      </w:r>
      <w:r>
        <w:rPr>
          <w:rFonts w:hint="eastAsia" w:ascii="仿宋_GB2312" w:hAnsi="宋体" w:eastAsia="仿宋_GB2312"/>
          <w:sz w:val="28"/>
          <w:szCs w:val="28"/>
        </w:rPr>
        <w:t>方通知的装运时间，使用期限至202</w:t>
      </w:r>
      <w:r>
        <w:rPr>
          <w:rFonts w:hint="eastAsia" w:ascii="仿宋_GB2312" w:hAnsi="宋体" w:eastAsia="仿宋_GB2312"/>
          <w:sz w:val="28"/>
          <w:szCs w:val="28"/>
          <w:lang w:val="en-US" w:eastAsia="zh-CN"/>
        </w:rPr>
        <w:t>6</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p>
    <w:p w14:paraId="47032BA9">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五、产品质量及包装规格</w:t>
      </w:r>
    </w:p>
    <w:p w14:paraId="3645267F">
      <w:pPr>
        <w:spacing w:line="44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45%复合肥：外观呈白色颗粒，无机械杂质；高塔造粒，低氯或硫酸钾型；上市公司或国有企业生产；总养分（N+P2O5+K2O）≥45﹪(N≧22%:P2O5≧5%:K2O≧18%)；含硝态氮。25公斤/包；产品技术要求、包装运输和贮存等符合复合肥料国家标准(GB/T 15063-2020)。</w:t>
      </w:r>
    </w:p>
    <w:p w14:paraId="61DB844C">
      <w:pPr>
        <w:spacing w:line="44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2.钙镁磷钾肥：外观呈灰色粉末，无机械杂质；总养分P2O5+K2O≧13%，其中P2O5≧12%，K2O≧1%；包装规格：25公斤/包；产品技术要求、包装运输和贮存等符合钙镁磷钾肥国家标准。</w:t>
      </w:r>
    </w:p>
    <w:p w14:paraId="72F75CD4">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六、验收</w:t>
      </w:r>
    </w:p>
    <w:p w14:paraId="3F7C4B12">
      <w:pPr>
        <w:spacing w:line="440" w:lineRule="exact"/>
        <w:jc w:val="left"/>
        <w:rPr>
          <w:rFonts w:ascii="仿宋_GB2312" w:hAnsi="宋体" w:eastAsia="仿宋_GB2312"/>
          <w:sz w:val="28"/>
          <w:szCs w:val="28"/>
        </w:rPr>
      </w:pPr>
      <w:r>
        <w:rPr>
          <w:rFonts w:hint="eastAsia" w:ascii="仿宋_GB2312" w:hAnsi="宋体" w:eastAsia="仿宋_GB2312"/>
          <w:sz w:val="28"/>
          <w:szCs w:val="28"/>
        </w:rPr>
        <w:t>1.验收标准</w:t>
      </w:r>
    </w:p>
    <w:p w14:paraId="101252B5">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须按照中华人民共和国有关行业标准及项目公告中规定的技术指标、规格要求进行验收。产品质量应达到设计要求，各项指标和技术参数的安装调试应符合验收标准要求。</w:t>
      </w:r>
    </w:p>
    <w:p w14:paraId="31D9CD6C">
      <w:pPr>
        <w:spacing w:line="440" w:lineRule="exact"/>
        <w:jc w:val="left"/>
        <w:rPr>
          <w:rFonts w:ascii="仿宋_GB2312" w:hAnsi="宋体" w:eastAsia="仿宋_GB2312"/>
          <w:sz w:val="28"/>
          <w:szCs w:val="28"/>
        </w:rPr>
      </w:pPr>
      <w:r>
        <w:rPr>
          <w:rFonts w:hint="eastAsia" w:ascii="仿宋_GB2312" w:hAnsi="宋体" w:eastAsia="仿宋_GB2312"/>
          <w:sz w:val="28"/>
          <w:szCs w:val="28"/>
        </w:rPr>
        <w:t>2.验收方法</w:t>
      </w:r>
    </w:p>
    <w:p w14:paraId="0DA3C1E7">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1）应由生产厂家的质量检验部门进行检验，肥料的产品质量指标必须符合有关质监部门规定的质量指标；要求指标等级为合格品以上，且满足甲方使用要求，供货同时必须提供产品出厂检验合格证等相关资料。</w:t>
      </w:r>
    </w:p>
    <w:p w14:paraId="76889231">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（2）供货时甲方严格按照质量标准及指标要求进行验收，验收中有一项指标不符合标准要求的，甲方有权终止本合同。</w:t>
      </w:r>
    </w:p>
    <w:p w14:paraId="2DE95610">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（3）在使用过程中出现质量问题，乙方则无条件给予免费更换，并承担因此给甲方造成的一切经济损失。</w:t>
      </w:r>
    </w:p>
    <w:p w14:paraId="5FB5CFD9">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（4）验收合格后，经双方授权代表在验收单上签字认定验收合格。验收清单一式</w:t>
      </w:r>
      <w:r>
        <w:rPr>
          <w:rFonts w:hint="eastAsia" w:ascii="仿宋_GB2312" w:hAnsi="宋体" w:eastAsia="仿宋_GB2312"/>
          <w:sz w:val="28"/>
          <w:szCs w:val="28"/>
          <w:lang w:eastAsia="zh-CN"/>
        </w:rPr>
        <w:t>贰</w:t>
      </w:r>
      <w:r>
        <w:rPr>
          <w:rFonts w:hint="eastAsia" w:ascii="仿宋_GB2312" w:hAnsi="宋体" w:eastAsia="仿宋_GB2312"/>
          <w:sz w:val="28"/>
          <w:szCs w:val="28"/>
        </w:rPr>
        <w:t>份，甲乙双方各执一份。</w:t>
      </w:r>
    </w:p>
    <w:p w14:paraId="454E2D6C">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七、质量保证</w:t>
      </w:r>
    </w:p>
    <w:p w14:paraId="79AD12F8">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1.按国家有关规定或厂家承诺实行“三包”（两者不同时，以条件优的为准），产品质量保质期不得少于壹年，质保期自双方代表在验收报告上签字之日起计算。</w:t>
      </w:r>
    </w:p>
    <w:p w14:paraId="04F5D51F">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2.乙方须提供肥料使用说明书、出产合格证、并确保产品有效期在一年以上。</w:t>
      </w:r>
    </w:p>
    <w:p w14:paraId="307A9ED9">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3.乙方需无偿提供肥料使用、存贮等技术指导，在质保期内，提供技术服务热线（24小时），负责解答用户在货物使用中遇到的问题，并及时提出解决问题的建议和操作方法。如有需要，乙方必须在24小时内到达现场并解决问题（节假日照常服务）。</w:t>
      </w:r>
    </w:p>
    <w:p w14:paraId="607BABF4">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八、付款方式</w:t>
      </w:r>
    </w:p>
    <w:p w14:paraId="11E85494">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lang w:eastAsia="zh-CN"/>
        </w:rPr>
        <w:t>根据施肥</w:t>
      </w:r>
      <w:r>
        <w:rPr>
          <w:rFonts w:hint="eastAsia" w:ascii="仿宋_GB2312" w:hAnsi="宋体" w:eastAsia="仿宋_GB2312"/>
          <w:sz w:val="28"/>
          <w:szCs w:val="28"/>
        </w:rPr>
        <w:t>进度，</w:t>
      </w:r>
      <w:r>
        <w:rPr>
          <w:rFonts w:hint="eastAsia" w:ascii="仿宋_GB2312" w:hAnsi="宋体" w:eastAsia="仿宋_GB2312"/>
          <w:sz w:val="28"/>
          <w:szCs w:val="28"/>
          <w:lang w:eastAsia="zh-CN"/>
        </w:rPr>
        <w:t>予以结算。乙方开具与甲方实际使用</w:t>
      </w:r>
      <w:r>
        <w:rPr>
          <w:rFonts w:hint="eastAsia" w:ascii="仿宋_GB2312" w:hAnsi="宋体" w:eastAsia="仿宋_GB2312"/>
          <w:sz w:val="28"/>
          <w:szCs w:val="28"/>
        </w:rPr>
        <w:t>数量的等额发票，</w:t>
      </w:r>
      <w:r>
        <w:rPr>
          <w:rFonts w:hint="eastAsia" w:ascii="仿宋_GB2312" w:hAnsi="宋体" w:eastAsia="仿宋_GB2312"/>
          <w:sz w:val="28"/>
          <w:szCs w:val="28"/>
          <w:lang w:eastAsia="zh-CN"/>
        </w:rPr>
        <w:t>甲方</w:t>
      </w:r>
      <w:r>
        <w:rPr>
          <w:rFonts w:hint="eastAsia" w:ascii="仿宋_GB2312" w:hAnsi="宋体" w:eastAsia="仿宋_GB2312"/>
          <w:sz w:val="28"/>
          <w:szCs w:val="28"/>
        </w:rPr>
        <w:t>于15个工作日内付款结账。</w:t>
      </w:r>
    </w:p>
    <w:p w14:paraId="22904B56">
      <w:pPr>
        <w:spacing w:line="440" w:lineRule="exact"/>
        <w:jc w:val="left"/>
        <w:rPr>
          <w:rFonts w:hint="eastAsia" w:ascii="仿宋_GB2312" w:hAnsi="宋体" w:eastAsia="仿宋_GB2312"/>
          <w:b/>
          <w:bCs/>
          <w:sz w:val="28"/>
          <w:szCs w:val="28"/>
          <w:lang w:eastAsia="zh-CN"/>
        </w:rPr>
      </w:pPr>
      <w:r>
        <w:rPr>
          <w:rFonts w:hint="eastAsia" w:ascii="仿宋_GB2312" w:hAnsi="宋体" w:eastAsia="仿宋_GB2312"/>
          <w:b/>
          <w:bCs/>
          <w:sz w:val="28"/>
          <w:szCs w:val="28"/>
        </w:rPr>
        <w:t>九、其他</w:t>
      </w:r>
      <w:r>
        <w:rPr>
          <w:rFonts w:hint="eastAsia" w:ascii="仿宋_GB2312" w:hAnsi="宋体" w:eastAsia="仿宋_GB2312"/>
          <w:b/>
          <w:bCs/>
          <w:sz w:val="28"/>
          <w:szCs w:val="28"/>
          <w:lang w:eastAsia="zh-CN"/>
        </w:rPr>
        <w:t>约定事项</w:t>
      </w:r>
    </w:p>
    <w:p w14:paraId="510997EB">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1.乙方逾期供货，应按照逾期供货金额的的每日0.5‰支付逾期供货违约金。</w:t>
      </w:r>
      <w:r>
        <w:rPr>
          <w:rFonts w:hint="eastAsia" w:ascii="仿宋_GB2312" w:hAnsi="宋体" w:eastAsia="仿宋_GB2312"/>
          <w:sz w:val="28"/>
          <w:szCs w:val="28"/>
          <w:lang w:eastAsia="zh-CN"/>
        </w:rPr>
        <w:t>若</w:t>
      </w:r>
      <w:r>
        <w:rPr>
          <w:rFonts w:hint="eastAsia" w:ascii="仿宋_GB2312" w:hAnsi="宋体" w:eastAsia="仿宋_GB2312"/>
          <w:sz w:val="28"/>
          <w:szCs w:val="28"/>
        </w:rPr>
        <w:t>逾期供货10天以上</w:t>
      </w:r>
      <w:r>
        <w:rPr>
          <w:rFonts w:hint="eastAsia" w:ascii="仿宋_GB2312" w:hAnsi="宋体" w:eastAsia="仿宋_GB2312"/>
          <w:sz w:val="28"/>
          <w:szCs w:val="28"/>
          <w:lang w:eastAsia="zh-CN"/>
        </w:rPr>
        <w:t>，</w:t>
      </w:r>
      <w:r>
        <w:rPr>
          <w:rFonts w:hint="eastAsia" w:ascii="仿宋_GB2312" w:hAnsi="宋体" w:eastAsia="仿宋_GB2312"/>
          <w:sz w:val="28"/>
          <w:szCs w:val="28"/>
        </w:rPr>
        <w:t>甲方有权单方解除本合同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不予退还20000元交易保证金，且</w:t>
      </w:r>
      <w:r>
        <w:rPr>
          <w:rFonts w:hint="eastAsia" w:ascii="仿宋_GB2312" w:hAnsi="宋体" w:eastAsia="仿宋_GB2312"/>
          <w:sz w:val="28"/>
          <w:szCs w:val="28"/>
        </w:rPr>
        <w:t>乙方</w:t>
      </w:r>
      <w:r>
        <w:rPr>
          <w:rFonts w:hint="eastAsia" w:ascii="仿宋_GB2312" w:hAnsi="宋体" w:eastAsia="仿宋_GB2312"/>
          <w:sz w:val="28"/>
          <w:szCs w:val="28"/>
          <w:lang w:eastAsia="zh-CN"/>
        </w:rPr>
        <w:t>应</w:t>
      </w:r>
      <w:r>
        <w:rPr>
          <w:rFonts w:hint="eastAsia" w:ascii="仿宋_GB2312" w:hAnsi="宋体" w:eastAsia="仿宋_GB2312"/>
          <w:sz w:val="28"/>
          <w:szCs w:val="28"/>
        </w:rPr>
        <w:t>赔偿</w:t>
      </w:r>
      <w:r>
        <w:rPr>
          <w:rFonts w:hint="eastAsia" w:ascii="仿宋_GB2312" w:hAnsi="宋体" w:eastAsia="仿宋_GB2312"/>
          <w:sz w:val="28"/>
          <w:szCs w:val="28"/>
          <w:lang w:eastAsia="zh-CN"/>
        </w:rPr>
        <w:t>甲方</w:t>
      </w:r>
      <w:r>
        <w:rPr>
          <w:rFonts w:hint="eastAsia" w:ascii="仿宋_GB2312" w:hAnsi="宋体" w:eastAsia="仿宋_GB2312"/>
          <w:sz w:val="28"/>
          <w:szCs w:val="28"/>
          <w:lang w:val="en-US" w:eastAsia="zh-CN"/>
        </w:rPr>
        <w:t>80000元经济损失</w:t>
      </w:r>
      <w:r>
        <w:rPr>
          <w:rFonts w:hint="eastAsia" w:ascii="仿宋_GB2312" w:hAnsi="宋体" w:eastAsia="仿宋_GB2312"/>
          <w:sz w:val="28"/>
          <w:szCs w:val="28"/>
        </w:rPr>
        <w:t>。</w:t>
      </w:r>
    </w:p>
    <w:p w14:paraId="5B310FCD">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2.乙方供应的肥料若检验不合格或不符合采购合同约定的，甲方有权拒收，造成甲方经济损失的，乙方应承担赔偿责任。</w:t>
      </w:r>
    </w:p>
    <w:p w14:paraId="28D323BF">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3.甲方逾期付款的（有正当拒付理由的除外）应按照逾期应付金额的每日0.5‰支付逾付款违约金。</w:t>
      </w:r>
    </w:p>
    <w:p w14:paraId="2DFB5F2F">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4.乙方需</w:t>
      </w:r>
      <w:r>
        <w:rPr>
          <w:rFonts w:hint="eastAsia" w:ascii="仿宋_GB2312" w:hAnsi="宋体" w:eastAsia="仿宋_GB2312"/>
          <w:sz w:val="28"/>
          <w:szCs w:val="28"/>
          <w:lang w:eastAsia="zh-CN"/>
        </w:rPr>
        <w:t>在将乐县城区内</w:t>
      </w:r>
      <w:r>
        <w:rPr>
          <w:rFonts w:hint="eastAsia" w:ascii="仿宋_GB2312" w:hAnsi="宋体" w:eastAsia="仿宋_GB2312"/>
          <w:sz w:val="28"/>
          <w:szCs w:val="28"/>
        </w:rPr>
        <w:t>做好肥料的库存。</w:t>
      </w:r>
    </w:p>
    <w:p w14:paraId="06A5F432">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5.乙方负责其产品所涉及的有关项目的所有费用，包括生产、运输（从生产点到存货点）、保险、检验、售后服务以及其他相关费用。</w:t>
      </w:r>
    </w:p>
    <w:p w14:paraId="203ADD97">
      <w:pPr>
        <w:spacing w:line="440" w:lineRule="exact"/>
        <w:ind w:firstLine="560" w:firstLineChars="200"/>
        <w:jc w:val="left"/>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6.乙</w:t>
      </w:r>
      <w:r>
        <w:rPr>
          <w:rFonts w:ascii="仿宋_GB2312" w:hAnsi="Arial" w:eastAsia="仿宋_GB2312" w:cs="Arial"/>
          <w:kern w:val="0"/>
          <w:sz w:val="28"/>
          <w:szCs w:val="28"/>
        </w:rPr>
        <w:t>方交纳</w:t>
      </w:r>
      <w:r>
        <w:rPr>
          <w:rFonts w:hint="eastAsia" w:ascii="仿宋_GB2312" w:hAnsi="Arial" w:eastAsia="仿宋_GB2312" w:cs="Arial"/>
          <w:kern w:val="0"/>
          <w:sz w:val="28"/>
          <w:szCs w:val="28"/>
        </w:rPr>
        <w:t>履约保证金</w:t>
      </w:r>
      <w:r>
        <w:rPr>
          <w:rFonts w:hint="eastAsia" w:ascii="仿宋_GB2312" w:hAnsi="Arial" w:eastAsia="仿宋_GB2312" w:cs="Arial"/>
          <w:kern w:val="0"/>
          <w:sz w:val="28"/>
          <w:szCs w:val="28"/>
          <w:lang w:val="en-US" w:eastAsia="zh-CN"/>
        </w:rPr>
        <w:t>80000元</w:t>
      </w:r>
      <w:r>
        <w:rPr>
          <w:rFonts w:hint="eastAsia" w:ascii="仿宋_GB2312" w:hAnsi="Arial" w:eastAsia="仿宋_GB2312" w:cs="Arial"/>
          <w:kern w:val="0"/>
          <w:sz w:val="28"/>
          <w:szCs w:val="28"/>
          <w:lang w:eastAsia="zh-CN"/>
        </w:rPr>
        <w:t>，</w:t>
      </w:r>
      <w:r>
        <w:rPr>
          <w:rFonts w:hint="eastAsia" w:ascii="仿宋_GB2312" w:hAnsi="宋体" w:eastAsia="仿宋_GB2312"/>
          <w:sz w:val="28"/>
          <w:szCs w:val="28"/>
        </w:rPr>
        <w:t>待此合同履行完</w:t>
      </w:r>
      <w:bookmarkStart w:id="0" w:name="_GoBack"/>
      <w:bookmarkEnd w:id="0"/>
      <w:r>
        <w:rPr>
          <w:rFonts w:hint="eastAsia" w:ascii="仿宋_GB2312" w:hAnsi="宋体" w:eastAsia="仿宋_GB2312"/>
          <w:sz w:val="28"/>
          <w:szCs w:val="28"/>
        </w:rPr>
        <w:t>后，</w:t>
      </w:r>
      <w:r>
        <w:rPr>
          <w:rFonts w:hint="eastAsia" w:ascii="仿宋_GB2312" w:hAnsi="宋体" w:eastAsia="仿宋_GB2312"/>
          <w:sz w:val="28"/>
          <w:szCs w:val="28"/>
          <w:lang w:eastAsia="zh-CN"/>
        </w:rPr>
        <w:t>无息返还。</w:t>
      </w:r>
    </w:p>
    <w:p w14:paraId="364812F6">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.解决合同纠纷的处理方式：本合同在履行中若发生争议或纠纷，由甲乙双方友好协商解决，协商不成提交甲方所在地人民法院诉讼解决。</w:t>
      </w:r>
    </w:p>
    <w:p w14:paraId="1913B654">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16E64C48">
      <w:pPr>
        <w:spacing w:line="44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rPr>
        <w:t>本合同中的不可抗力指不能预见、不能避免并不能克服的客观情况。包括但不限于：自然灾害如地震、台风、洪水、火灾；政府行为、法律规定或其适用的变化或者其他任何无法预见、避免或者控制的事件。</w:t>
      </w:r>
    </w:p>
    <w:p w14:paraId="53875316">
      <w:pPr>
        <w:tabs>
          <w:tab w:val="left" w:pos="5278"/>
        </w:tabs>
        <w:spacing w:line="44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十、</w:t>
      </w:r>
      <w:r>
        <w:rPr>
          <w:rFonts w:hint="eastAsia" w:ascii="仿宋_GB2312" w:hAnsi="宋体" w:eastAsia="仿宋_GB2312"/>
          <w:sz w:val="28"/>
          <w:szCs w:val="28"/>
        </w:rPr>
        <w:t>因本合同或与本合同有关的一切事项发生争议，由双方友好协商解决。未经双方协商，甲乙双方不得随意变更合同；本合同一式</w:t>
      </w:r>
      <w:r>
        <w:rPr>
          <w:rFonts w:hint="eastAsia" w:ascii="仿宋_GB2312" w:hAnsi="宋体" w:eastAsia="仿宋_GB2312"/>
          <w:sz w:val="28"/>
          <w:szCs w:val="28"/>
          <w:lang w:val="en-US" w:eastAsia="zh-CN"/>
        </w:rPr>
        <w:t>肆</w:t>
      </w:r>
      <w:r>
        <w:rPr>
          <w:rFonts w:hint="eastAsia" w:ascii="仿宋_GB2312" w:hAnsi="宋体" w:eastAsia="仿宋_GB2312"/>
          <w:sz w:val="28"/>
          <w:szCs w:val="28"/>
        </w:rPr>
        <w:t>份，甲乙双方各执</w:t>
      </w:r>
      <w:r>
        <w:rPr>
          <w:rFonts w:hint="eastAsia" w:ascii="仿宋_GB2312" w:hAnsi="宋体" w:eastAsia="仿宋_GB2312"/>
          <w:sz w:val="28"/>
          <w:szCs w:val="28"/>
          <w:lang w:eastAsia="zh-CN"/>
        </w:rPr>
        <w:t>贰</w:t>
      </w:r>
      <w:r>
        <w:rPr>
          <w:rFonts w:hint="eastAsia" w:ascii="仿宋_GB2312" w:hAnsi="宋体" w:eastAsia="仿宋_GB2312"/>
          <w:sz w:val="28"/>
          <w:szCs w:val="28"/>
        </w:rPr>
        <w:t>份。</w:t>
      </w:r>
    </w:p>
    <w:p w14:paraId="736C4891">
      <w:pPr>
        <w:spacing w:line="440" w:lineRule="exact"/>
        <w:jc w:val="left"/>
        <w:rPr>
          <w:rFonts w:ascii="仿宋_GB2312" w:hAnsi="宋体" w:eastAsia="仿宋_GB2312"/>
          <w:sz w:val="28"/>
          <w:szCs w:val="28"/>
        </w:rPr>
      </w:pPr>
    </w:p>
    <w:p w14:paraId="19D24108">
      <w:pPr>
        <w:spacing w:line="440" w:lineRule="exact"/>
        <w:jc w:val="left"/>
        <w:rPr>
          <w:rFonts w:ascii="仿宋_GB2312" w:hAnsi="宋体" w:eastAsia="仿宋_GB2312"/>
          <w:sz w:val="28"/>
          <w:szCs w:val="28"/>
        </w:rPr>
      </w:pPr>
    </w:p>
    <w:p w14:paraId="4DD7EDF0">
      <w:pPr>
        <w:spacing w:line="440" w:lineRule="exact"/>
        <w:jc w:val="left"/>
        <w:rPr>
          <w:rFonts w:ascii="仿宋_GB2312" w:hAnsi="宋体" w:eastAsia="仿宋_GB2312"/>
          <w:sz w:val="28"/>
          <w:szCs w:val="28"/>
        </w:rPr>
      </w:pPr>
      <w:r>
        <w:rPr>
          <w:rFonts w:hint="eastAsia" w:ascii="仿宋_GB2312" w:hAnsi="宋体" w:eastAsia="仿宋_GB2312"/>
          <w:sz w:val="28"/>
          <w:szCs w:val="28"/>
        </w:rPr>
        <w:t>甲方（公章）:                       乙方（公章）：</w:t>
      </w:r>
    </w:p>
    <w:p w14:paraId="3EA6E771">
      <w:pPr>
        <w:spacing w:line="440" w:lineRule="exact"/>
        <w:ind w:firstLine="560" w:firstLineChars="200"/>
        <w:jc w:val="left"/>
        <w:rPr>
          <w:rFonts w:ascii="仿宋_GB2312" w:hAnsi="宋体" w:eastAsia="仿宋_GB2312"/>
          <w:sz w:val="28"/>
          <w:szCs w:val="28"/>
        </w:rPr>
      </w:pPr>
    </w:p>
    <w:p w14:paraId="213F7ED2">
      <w:pPr>
        <w:spacing w:line="440" w:lineRule="exact"/>
        <w:jc w:val="left"/>
        <w:rPr>
          <w:rFonts w:ascii="仿宋_GB2312" w:hAnsi="宋体" w:eastAsia="仿宋_GB2312"/>
          <w:sz w:val="28"/>
          <w:szCs w:val="28"/>
        </w:rPr>
      </w:pPr>
      <w:r>
        <w:rPr>
          <w:rFonts w:hint="eastAsia" w:ascii="仿宋_GB2312" w:hAnsi="宋体" w:eastAsia="仿宋_GB2312"/>
          <w:sz w:val="28"/>
          <w:szCs w:val="28"/>
        </w:rPr>
        <w:t xml:space="preserve">法人代表：                          </w:t>
      </w:r>
    </w:p>
    <w:p w14:paraId="0AE59C87">
      <w:pPr>
        <w:spacing w:line="440" w:lineRule="exact"/>
        <w:ind w:firstLine="560" w:firstLineChars="200"/>
        <w:jc w:val="left"/>
        <w:rPr>
          <w:rFonts w:ascii="仿宋_GB2312" w:hAnsi="宋体" w:eastAsia="仿宋_GB2312"/>
          <w:sz w:val="28"/>
          <w:szCs w:val="28"/>
        </w:rPr>
      </w:pPr>
    </w:p>
    <w:p w14:paraId="713B64AA">
      <w:pPr>
        <w:spacing w:line="440" w:lineRule="exact"/>
        <w:jc w:val="left"/>
        <w:rPr>
          <w:rFonts w:ascii="仿宋_GB2312" w:hAnsi="宋体" w:eastAsia="仿宋_GB2312"/>
          <w:sz w:val="28"/>
          <w:szCs w:val="28"/>
        </w:rPr>
      </w:pPr>
      <w:r>
        <w:rPr>
          <w:rFonts w:hint="eastAsia" w:ascii="仿宋_GB2312" w:hAnsi="宋体" w:eastAsia="仿宋_GB2312"/>
          <w:sz w:val="28"/>
          <w:szCs w:val="28"/>
        </w:rPr>
        <w:t>分管领导：                          代       表：</w:t>
      </w:r>
    </w:p>
    <w:p w14:paraId="41ACCF26">
      <w:pPr>
        <w:spacing w:line="440" w:lineRule="exact"/>
        <w:jc w:val="left"/>
        <w:rPr>
          <w:rFonts w:ascii="仿宋_GB2312" w:hAnsi="宋体" w:eastAsia="仿宋_GB2312"/>
          <w:sz w:val="28"/>
          <w:szCs w:val="28"/>
        </w:rPr>
      </w:pPr>
    </w:p>
    <w:p w14:paraId="06A74F6B">
      <w:pPr>
        <w:spacing w:line="440" w:lineRule="exact"/>
        <w:jc w:val="left"/>
        <w:rPr>
          <w:rFonts w:ascii="仿宋_GB2312" w:hAnsi="宋体" w:eastAsia="仿宋_GB2312"/>
          <w:sz w:val="28"/>
          <w:szCs w:val="28"/>
        </w:rPr>
      </w:pPr>
      <w:r>
        <w:rPr>
          <w:rFonts w:hint="eastAsia" w:ascii="仿宋_GB2312" w:hAnsi="宋体" w:eastAsia="仿宋_GB2312"/>
          <w:sz w:val="28"/>
          <w:szCs w:val="28"/>
        </w:rPr>
        <w:t xml:space="preserve">科室：                       </w:t>
      </w:r>
    </w:p>
    <w:p w14:paraId="5BAFA05D">
      <w:pPr>
        <w:spacing w:line="440" w:lineRule="exact"/>
        <w:ind w:firstLine="560" w:firstLineChars="200"/>
        <w:jc w:val="left"/>
        <w:rPr>
          <w:rFonts w:ascii="仿宋_GB2312" w:hAnsi="宋体" w:eastAsia="仿宋_GB2312"/>
          <w:sz w:val="28"/>
          <w:szCs w:val="28"/>
        </w:rPr>
      </w:pPr>
    </w:p>
    <w:p w14:paraId="5D6BECF2">
      <w:pPr>
        <w:spacing w:line="440" w:lineRule="exact"/>
        <w:ind w:firstLine="560" w:firstLineChars="200"/>
        <w:jc w:val="left"/>
        <w:rPr>
          <w:rFonts w:ascii="仿宋_GB2312" w:hAnsi="宋体" w:eastAsia="仿宋_GB2312"/>
          <w:sz w:val="28"/>
          <w:szCs w:val="28"/>
        </w:rPr>
      </w:pPr>
    </w:p>
    <w:p w14:paraId="1698FCE4">
      <w:pPr>
        <w:spacing w:line="440" w:lineRule="exact"/>
        <w:ind w:firstLine="560" w:firstLineChars="200"/>
        <w:jc w:val="left"/>
        <w:rPr>
          <w:rFonts w:ascii="仿宋_GB2312" w:hAnsi="宋体" w:eastAsia="仿宋_GB2312"/>
          <w:sz w:val="28"/>
          <w:szCs w:val="28"/>
        </w:rPr>
      </w:pPr>
    </w:p>
    <w:p w14:paraId="32FE8C30">
      <w:pPr>
        <w:spacing w:line="440" w:lineRule="exact"/>
        <w:ind w:firstLine="560" w:firstLineChars="200"/>
        <w:jc w:val="left"/>
        <w:rPr>
          <w:rFonts w:ascii="仿宋_GB2312" w:hAnsi="宋体" w:eastAsia="仿宋_GB2312"/>
          <w:sz w:val="28"/>
          <w:szCs w:val="28"/>
        </w:rPr>
      </w:pPr>
    </w:p>
    <w:p w14:paraId="3331E9DA">
      <w:pPr>
        <w:spacing w:line="440" w:lineRule="exact"/>
        <w:ind w:firstLine="5320" w:firstLineChars="1900"/>
        <w:jc w:val="left"/>
        <w:rPr>
          <w:rFonts w:ascii="仿宋_GB2312" w:hAnsi="宋体" w:eastAsia="仿宋_GB2312"/>
          <w:sz w:val="28"/>
          <w:szCs w:val="28"/>
        </w:rPr>
      </w:pPr>
      <w:r>
        <w:rPr>
          <w:rFonts w:hint="eastAsia" w:ascii="仿宋_GB2312" w:hAnsi="宋体" w:eastAsia="仿宋_GB2312"/>
          <w:sz w:val="28"/>
          <w:szCs w:val="28"/>
        </w:rPr>
        <w:t>年</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月</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日</w:t>
      </w:r>
    </w:p>
    <w:p w14:paraId="333EFFE5">
      <w:pPr>
        <w:pStyle w:val="3"/>
        <w:adjustRightInd w:val="0"/>
        <w:snapToGrid w:val="0"/>
        <w:spacing w:line="314" w:lineRule="exact"/>
        <w:rPr>
          <w:rFonts w:hAnsi="宋体"/>
        </w:rPr>
      </w:pPr>
    </w:p>
    <w:sectPr>
      <w:footerReference r:id="rId3" w:type="default"/>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512B">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VmNGU1MzNhODYzYWRlOGE3OWI4ZTllNDk4ZTNjYmQifQ=="/>
  </w:docVars>
  <w:rsids>
    <w:rsidRoot w:val="00E51FE2"/>
    <w:rsid w:val="00022CB2"/>
    <w:rsid w:val="000237F0"/>
    <w:rsid w:val="000348A8"/>
    <w:rsid w:val="0004001E"/>
    <w:rsid w:val="00046E6C"/>
    <w:rsid w:val="0005087F"/>
    <w:rsid w:val="00096A01"/>
    <w:rsid w:val="000A6F8F"/>
    <w:rsid w:val="000C2A36"/>
    <w:rsid w:val="000E44DA"/>
    <w:rsid w:val="00132D9E"/>
    <w:rsid w:val="00140627"/>
    <w:rsid w:val="0015241E"/>
    <w:rsid w:val="00153313"/>
    <w:rsid w:val="001806BE"/>
    <w:rsid w:val="001914F8"/>
    <w:rsid w:val="0019354C"/>
    <w:rsid w:val="001B1102"/>
    <w:rsid w:val="00201DA1"/>
    <w:rsid w:val="00204B8D"/>
    <w:rsid w:val="00222132"/>
    <w:rsid w:val="00236975"/>
    <w:rsid w:val="00262619"/>
    <w:rsid w:val="0026769C"/>
    <w:rsid w:val="002A4761"/>
    <w:rsid w:val="002C6497"/>
    <w:rsid w:val="0031625F"/>
    <w:rsid w:val="00333F67"/>
    <w:rsid w:val="0039456F"/>
    <w:rsid w:val="00395EBD"/>
    <w:rsid w:val="003A372E"/>
    <w:rsid w:val="003B43A0"/>
    <w:rsid w:val="003C52F4"/>
    <w:rsid w:val="003D0573"/>
    <w:rsid w:val="003D08F3"/>
    <w:rsid w:val="003D2DA7"/>
    <w:rsid w:val="003E2488"/>
    <w:rsid w:val="00400448"/>
    <w:rsid w:val="00413241"/>
    <w:rsid w:val="004200BF"/>
    <w:rsid w:val="00460326"/>
    <w:rsid w:val="004612BC"/>
    <w:rsid w:val="00462E4D"/>
    <w:rsid w:val="00477332"/>
    <w:rsid w:val="0049789B"/>
    <w:rsid w:val="004C2F58"/>
    <w:rsid w:val="004D3EBA"/>
    <w:rsid w:val="004E28EF"/>
    <w:rsid w:val="004F0116"/>
    <w:rsid w:val="004F61F3"/>
    <w:rsid w:val="00500412"/>
    <w:rsid w:val="00527F43"/>
    <w:rsid w:val="005A0499"/>
    <w:rsid w:val="005C3142"/>
    <w:rsid w:val="005F1487"/>
    <w:rsid w:val="00665BFA"/>
    <w:rsid w:val="006A2E49"/>
    <w:rsid w:val="006D45AC"/>
    <w:rsid w:val="006E1D29"/>
    <w:rsid w:val="006E575D"/>
    <w:rsid w:val="00704247"/>
    <w:rsid w:val="00730DF6"/>
    <w:rsid w:val="00762A01"/>
    <w:rsid w:val="00806601"/>
    <w:rsid w:val="00806C79"/>
    <w:rsid w:val="0083287D"/>
    <w:rsid w:val="008437C5"/>
    <w:rsid w:val="00845373"/>
    <w:rsid w:val="00884122"/>
    <w:rsid w:val="008A608F"/>
    <w:rsid w:val="008C2541"/>
    <w:rsid w:val="008C474A"/>
    <w:rsid w:val="008D3B6B"/>
    <w:rsid w:val="00932FF2"/>
    <w:rsid w:val="0095440E"/>
    <w:rsid w:val="009576DE"/>
    <w:rsid w:val="009641F2"/>
    <w:rsid w:val="0098240B"/>
    <w:rsid w:val="009D3B29"/>
    <w:rsid w:val="009F2020"/>
    <w:rsid w:val="009F39CC"/>
    <w:rsid w:val="009F71BE"/>
    <w:rsid w:val="00A21679"/>
    <w:rsid w:val="00AA3073"/>
    <w:rsid w:val="00AF18EA"/>
    <w:rsid w:val="00AF4ACD"/>
    <w:rsid w:val="00B10CC0"/>
    <w:rsid w:val="00B3566F"/>
    <w:rsid w:val="00B812A5"/>
    <w:rsid w:val="00BA5F44"/>
    <w:rsid w:val="00BB024C"/>
    <w:rsid w:val="00BD1C4A"/>
    <w:rsid w:val="00C40723"/>
    <w:rsid w:val="00C41C1E"/>
    <w:rsid w:val="00C749E1"/>
    <w:rsid w:val="00C872C3"/>
    <w:rsid w:val="00CB10D7"/>
    <w:rsid w:val="00CC2827"/>
    <w:rsid w:val="00CF2FE9"/>
    <w:rsid w:val="00DC42EA"/>
    <w:rsid w:val="00DD17C7"/>
    <w:rsid w:val="00DF5B50"/>
    <w:rsid w:val="00E001EF"/>
    <w:rsid w:val="00E34166"/>
    <w:rsid w:val="00E51FE2"/>
    <w:rsid w:val="00E55403"/>
    <w:rsid w:val="00E9413F"/>
    <w:rsid w:val="00F07639"/>
    <w:rsid w:val="00F23086"/>
    <w:rsid w:val="00F4632B"/>
    <w:rsid w:val="00F86744"/>
    <w:rsid w:val="00FA0D55"/>
    <w:rsid w:val="00FF212E"/>
    <w:rsid w:val="02E76E45"/>
    <w:rsid w:val="03DF1EFE"/>
    <w:rsid w:val="042B1FE7"/>
    <w:rsid w:val="04606CD3"/>
    <w:rsid w:val="04BE5F85"/>
    <w:rsid w:val="05FC375F"/>
    <w:rsid w:val="08DD26E1"/>
    <w:rsid w:val="0CB267F1"/>
    <w:rsid w:val="0DAD6BC9"/>
    <w:rsid w:val="116A2B4F"/>
    <w:rsid w:val="11C22850"/>
    <w:rsid w:val="12993BC0"/>
    <w:rsid w:val="13E64E1B"/>
    <w:rsid w:val="144D4480"/>
    <w:rsid w:val="16426ED2"/>
    <w:rsid w:val="167E1DB3"/>
    <w:rsid w:val="16A51D93"/>
    <w:rsid w:val="16F615E1"/>
    <w:rsid w:val="171C78F4"/>
    <w:rsid w:val="19EB786F"/>
    <w:rsid w:val="1E2F2F6E"/>
    <w:rsid w:val="1F0E1113"/>
    <w:rsid w:val="285919D0"/>
    <w:rsid w:val="290F2404"/>
    <w:rsid w:val="2C1F31B7"/>
    <w:rsid w:val="2C5A2AE2"/>
    <w:rsid w:val="2E646316"/>
    <w:rsid w:val="41276A31"/>
    <w:rsid w:val="42B07346"/>
    <w:rsid w:val="43A03775"/>
    <w:rsid w:val="45C03039"/>
    <w:rsid w:val="496976B2"/>
    <w:rsid w:val="49F46BE4"/>
    <w:rsid w:val="4D330F64"/>
    <w:rsid w:val="516275B8"/>
    <w:rsid w:val="52E365C1"/>
    <w:rsid w:val="53E67D0C"/>
    <w:rsid w:val="58D95A58"/>
    <w:rsid w:val="5A453BAF"/>
    <w:rsid w:val="5A7F233C"/>
    <w:rsid w:val="5A8262B5"/>
    <w:rsid w:val="5ABB3B4A"/>
    <w:rsid w:val="5C7A6649"/>
    <w:rsid w:val="5DD40BD5"/>
    <w:rsid w:val="60EA0710"/>
    <w:rsid w:val="63534C92"/>
    <w:rsid w:val="6BA53BB1"/>
    <w:rsid w:val="70341239"/>
    <w:rsid w:val="7ABB17A7"/>
    <w:rsid w:val="7DFA7D8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ascii="华文中宋" w:hAnsi="华文中宋" w:eastAsia="华文中宋"/>
      <w:sz w:val="24"/>
    </w:rPr>
  </w:style>
  <w:style w:type="paragraph" w:styleId="3">
    <w:name w:val="Plain Text"/>
    <w:basedOn w:val="1"/>
    <w:link w:val="11"/>
    <w:qFormat/>
    <w:uiPriority w:val="0"/>
    <w:rPr>
      <w:rFonts w:ascii="宋体" w:hAnsi="Courier New"/>
      <w:szCs w:val="2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纯文本 Char"/>
    <w:link w:val="3"/>
    <w:qFormat/>
    <w:uiPriority w:val="0"/>
    <w:rPr>
      <w:rFonts w:ascii="宋体" w:hAnsi="Courier New" w:eastAsia="宋体"/>
      <w:kern w:val="2"/>
      <w:sz w:val="21"/>
      <w:lang w:val="en-US" w:eastAsia="zh-CN" w:bidi="ar-SA"/>
    </w:rPr>
  </w:style>
  <w:style w:type="character" w:customStyle="1" w:styleId="12">
    <w:name w:val="批注框文本 Char"/>
    <w:basedOn w:val="9"/>
    <w:link w:val="4"/>
    <w:qFormat/>
    <w:uiPriority w:val="0"/>
    <w:rPr>
      <w:kern w:val="2"/>
      <w:sz w:val="18"/>
      <w:szCs w:val="18"/>
    </w:rPr>
  </w:style>
  <w:style w:type="paragraph" w:customStyle="1" w:styleId="13">
    <w:name w:val="p0"/>
    <w:basedOn w:val="1"/>
    <w:qFormat/>
    <w:uiPriority w:val="0"/>
    <w:pPr>
      <w:widowControl/>
    </w:pPr>
    <w:rPr>
      <w:kern w:val="0"/>
      <w:szCs w:val="21"/>
    </w:rPr>
  </w:style>
  <w:style w:type="paragraph" w:customStyle="1" w:styleId="14">
    <w:name w:val="Char"/>
    <w:basedOn w:val="1"/>
    <w:qFormat/>
    <w:uiPriority w:val="0"/>
    <w:rPr>
      <w:rFonts w:ascii="Tahoma" w:hAnsi="Tahoma"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1709</Words>
  <Characters>1816</Characters>
  <Lines>17</Lines>
  <Paragraphs>5</Paragraphs>
  <TotalTime>86</TotalTime>
  <ScaleCrop>false</ScaleCrop>
  <LinksUpToDate>false</LinksUpToDate>
  <CharactersWithSpaces>1969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2020-09-27T02:35:00Z</dcterms:created>
  <dc:creator>admin</dc:creator>
  <cp:lastModifiedBy>一条大菜狗</cp:lastModifiedBy>
  <cp:lastPrinted>2020-05-20T06:45:00Z</cp:lastPrinted>
  <dcterms:modified xsi:type="dcterms:W3CDTF">2025-05-21T07:25:25Z</dcterms:modified>
  <dc:title>53%高塔复合肥采购合同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611BE514709948CAB18AD8BED9927CCA</vt:lpwstr>
  </property>
  <property fmtid="{D5CDD505-2E9C-101B-9397-08002B2CF9AE}" pid="4" name="KSOTemplateDocerSaveRecord">
    <vt:lpwstr>eyJoZGlkIjoiZTVmNGU1MzNhODYzYWRlOGE3OWI4ZTllNDk4ZTNjYmQiLCJ1c2VySWQiOiI1MzY1OTc3NjAifQ==</vt:lpwstr>
  </property>
</Properties>
</file>